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F4D78"/>
          <w:sz w:val="32"/>
        </w:rPr>
        <w:t>Cover letter</w:t>
      </w:r>
    </w:p>
    <w:p>
      <w:pPr>
        <w:spacing w:after="240"/>
      </w:pPr>
      <w:r>
        <w:rPr>
          <w:rFonts w:ascii="Calibri" w:hAnsi="Calibri"/>
          <w:i/>
          <w:color w:val="555555"/>
          <w:sz w:val="20"/>
        </w:rPr>
        <w:t>Journal of Nuclear Materials submission companion document</w:t>
      </w:r>
    </w:p>
    <w:p>
      <w:r>
        <w:t>Dear Editors of the Journal of Nuclear Materials,</w:t>
      </w:r>
    </w:p>
    <w:p/>
    <w:p>
      <w:r>
        <w:t>We are pleased to submit our manuscript entitled "Acceptance-gated bonded-template DEM reveals localized fracture sequences in Li4SiO4 ceramic breeder beds" for consideration as a Research Article in the Journal of Nuclear Materials.</w:t>
      </w:r>
    </w:p>
    <w:p/>
    <w:p>
      <w:r>
        <w:t>Lithium orthosilicate pebbles are functional ceramic breeder materials for solid breeder blankets, where mechanical degradation is coupled to load redistribution, thermal-contact networks and helium purge pathways. Crushing and fragmentation are therefore not only granular-mechanics events; they are material-degradation processes that can change the service-relevant contact skeleton of a breeder bed. What remains difficult to access experimentally is the hidden time sequence: which mother pebble first loses internal integrity, whether damage remains confined or spreads, and how the surrounding force network changes at the onset of microcracking. The submitted manuscript addresses this materials-level problem by developing a bonded-template discrete-element workflow in which each nominal 1 mm Li4SiO4 mother pebble is represented by 500 bonded subparticles, inserted intact into a gravity-settled random bed, and allowed to break only during subsequent compression. By comparing internal bond graphs between local dumps and reconstructing native force-connectivity metrics, the workflow converts crushable-bed simulations into mother-pebble-resolved damage histories.</w:t>
      </w:r>
    </w:p>
    <w:p/>
    <w:p>
      <w:r>
        <w:t>The main findings are that a weak-plane bonded template reproduces the target crush-load scale and a split-type fragment morphology as a current calibration candidate; controlled 250-, 500- and 1000-subparticle calculations preserve first-break onset and split topology while quantifying the remaining peak-load sensitivity; and matched 0.03-0.10 m s-1 calculations retain the same onset window and two-fragment mode. At the bed scale, the manuscript introduces explicit zero-pre-damage, native force-connectivity and gravity-baseline-corrected force-balance gates before fracture is interpreted. The corrected 100-mother-pebble pilot then shows that compression to 60 micrometres produces only five lost internal bonds, all localized in one upper-bed mother pebble, while the native force network remains spanning and reorganizes. The resulting outputs are not only final broken-bond counts, but material-degradation state variables: event time, damaged mother-pebble identity, bond-loss increment, native force connectivity and macroscopic force relaxation. A mechanism-index audit quantifies this coupled degradation signature: the endpoint broken-bond fraction is approximately 1.0e-5, yet the inter-mother force-edge count densifies by 1.44x, the top-reachable mother-pebble population by 1.35x, and the peak-to-endpoint top-wall force relaxes by 46.4%. A separate event-topology mechanism audit links each localized bond-loss increment at 25, 35 and 60 micrometres to the nearest native force-network states, making the force-chain reorganization directly auditable. An independently settled corrected bed remains intact to the same displacement, including under 0.5x and 0.25x bond-strength audits, which indicates that early damage is controlled by local force-path topology rather than by a deterministic displacement-only threshold.</w:t>
      </w:r>
    </w:p>
    <w:p/>
    <w:p>
      <w:r>
        <w:t>We believe the manuscript fits Journal of Nuclear Materials because it focuses on the mechanical degradation of a nuclear ceramic breeder material and on the mesoscale mechanisms by which pebble damage can modify load-bearing and transport-relevant contact networks in breeder beds. This is aligned with the journal's scope for nuclear-application materials research, including fusion reactor materials and computational studies that advance materials understanding. The computational workflow is used as a diagnostic instrument for material degradation: it exposes when and where a ceramic mother pebble first loses internal bonds, whether that damage remains confined, and how the surrounding force network evolves. This positioning makes the manuscript distinct from a generic DEM-method paper, a reactor-design calculation or a thermal-hydraulic study; the numerical method is used to obtain otherwise inaccessible evidence about breeder-material damage initiation and local structural shielding. The novelty is therefore methodological and mechanistic, not incremental: the study combines zero-pre-damage template insertion, acceptance-gated load-path validation and mother-pebble-resolved fracture-event extraction to interpret degradation in a fusion-blanket ceramic material. The conclusions are conservative: the selected bonded template is treated as a calibration candidate rather than a final Li4SiO4 material law, and the corrected 100-mother-pebble result is interpreted as pilot event-sequence evidence rather than a converged failure probability.</w:t>
      </w:r>
    </w:p>
    <w:p/>
    <w:p>
      <w:r>
        <w:t>All authors have approved the manuscript submission. The manuscript is original, is not under consideration elsewhere, and does not contain previously published material except where properly cited. A graphical abstract, Highlights file, supplementary file and reduced reproducibility package have been prepared for upload. Processed figure data, event tables, representative simulation inputs and post-processing scripts have been assembled in the reduced reproducibility package with a checksum manifest; the repository DOI or stable URL is https://doi.org/10.5281/zenodo.20687351.</w:t>
      </w:r>
    </w:p>
    <w:p/>
    <w:p>
      <w:r>
        <w:t>Sincerely,</w:t>
      </w:r>
    </w:p>
    <w:p/>
    <w:p>
      <w:r>
        <w:t>Jian Wang</w:t>
      </w:r>
    </w:p>
    <w:p>
      <w:r>
        <w:t>Corresponding author</w:t>
      </w:r>
    </w:p>
    <w:p>
      <w:r>
        <w:t>Anhui University of Science and Technology; Institute of Plasma Physics, Chinese Academy of Sciences</w:t>
      </w:r>
    </w:p>
    <w:p>
      <w:r>
        <w:t>wjfttt@mail.ustc.edu.cn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