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111"/>
          <w:sz w:val="30"/>
        </w:rPr>
        <w:t>Highlights</w:t>
      </w:r>
    </w:p>
    <w:p>
      <w:pPr>
        <w:jc w:val="center"/>
      </w:pPr>
      <w:r>
        <w:rPr>
          <w:rFonts w:ascii="Arial" w:hAnsi="Arial"/>
          <w:color w:val="555555"/>
          <w:sz w:val="20"/>
        </w:rPr>
        <w:t>Chemical Engineering Science submission</w:t>
      </w:r>
    </w:p>
    <w:p>
      <w:pPr>
        <w:pStyle w:val="ListBullet"/>
        <w:spacing w:after="60"/>
      </w:pPr>
      <w:r>
        <w:t>DEM resolves fines transport in a stiff gas-purged Li4SiO4 pebble bed.</w:t>
      </w:r>
    </w:p>
    <w:p>
      <w:pPr>
        <w:pStyle w:val="ListBullet"/>
        <w:spacing w:after="60"/>
      </w:pPr>
      <w:r>
        <w:t>Topology metrics separate breakthrough from pore-network degradation in the sampled cases.</w:t>
      </w:r>
    </w:p>
    <w:p>
      <w:pPr>
        <w:pStyle w:val="ListBullet"/>
        <w:spacing w:after="60"/>
      </w:pPr>
      <w:r>
        <w:t>Drive, source release and inventory activate different debris observables.</w:t>
      </w:r>
    </w:p>
    <w:p>
      <w:pPr>
        <w:pStyle w:val="ListBullet"/>
        <w:spacing w:after="60"/>
      </w:pPr>
      <w:r>
        <w:t>Discrete coverage mapping bounds evidence without phase-map claims.</w:t>
      </w:r>
    </w:p>
    <w:p>
      <w:pPr>
        <w:pStyle w:val="ListBullet"/>
        <w:spacing w:after="60"/>
      </w:pPr>
      <w:r>
        <w:t>Cropped-domain pressure checks support a bounded pre-clogging interpretation.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