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111"/>
          <w:sz w:val="30"/>
        </w:rPr>
        <w:t>Graphical Abstract</w:t>
      </w:r>
    </w:p>
    <w:p>
      <w:pPr>
        <w:jc w:val="center"/>
      </w:pPr>
      <w:r>
        <w:rPr>
          <w:rFonts w:ascii="Arial" w:hAnsi="Arial"/>
          <w:color w:val="555555"/>
          <w:sz w:val="20"/>
        </w:rPr>
        <w:t>Chemical Engineering Science submission</w:t>
      </w:r>
    </w:p>
    <w:p>
      <w:r>
        <w:drawing>
          <wp:inline xmlns:a="http://schemas.openxmlformats.org/drawingml/2006/main" xmlns:pic="http://schemas.openxmlformats.org/drawingml/2006/picture">
            <wp:extent cx="5943600" cy="2448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2_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Graphical abstract. DEM trajectories, pore reconstruction and bounded pressure checks provide complementary indicators for interpreting fines breakthrough, local deposition, connected-pore loss and hydraulic confirmation in the sampled Li4SiO4 pebble-bed cases.</w:t>
      </w:r>
    </w:p>
    <w:p>
      <w:r>
        <w:rPr>
          <w:b/>
        </w:rPr>
        <w:t xml:space="preserve">Scope note: </w:t>
      </w:r>
      <w:r>
        <w:t>The workflow is bounded to the studied parameter space, finite voxel resolution and present one-way DEM assumptions; it is not a universal transition law or pressure-calibrated safety criterion.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