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0" w:line="264" w:lineRule="auto"/>
        <w:jc w:val="center"/>
      </w:pPr>
      <w:r>
        <w:rPr>
          <w:rFonts w:ascii="Calibri" w:hAnsi="Calibri"/>
          <w:b/>
          <w:color w:val="2E74B5"/>
          <w:sz w:val="32"/>
        </w:rPr>
        <w:t>Cover Letter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88"/>
            <w:shd w:fill="F2F4F7"/>
          </w:tcPr>
          <w:p>
            <w:pPr>
              <w:spacing w:before="0" w:after="40" w:line="264" w:lineRule="auto"/>
            </w:pPr>
            <w:r>
              <w:rPr>
                <w:rFonts w:ascii="Calibri" w:hAnsi="Calibri"/>
                <w:b/>
                <w:sz w:val="22"/>
              </w:rPr>
              <w:t>Journal</w:t>
            </w:r>
          </w:p>
        </w:tc>
        <w:tc>
          <w:tcPr>
            <w:tcW w:type="dxa" w:w="7272"/>
          </w:tcPr>
          <w:p>
            <w:pPr>
              <w:spacing w:before="0" w:after="40" w:line="264" w:lineRule="auto"/>
            </w:pPr>
            <w:r>
              <w:rPr>
                <w:rFonts w:ascii="Calibri" w:hAnsi="Calibri"/>
                <w:b w:val="0"/>
                <w:sz w:val="22"/>
              </w:rPr>
              <w:t>Annals of Nuclear Energy</w:t>
            </w:r>
          </w:p>
        </w:tc>
      </w:tr>
      <w:tr>
        <w:tc>
          <w:tcPr>
            <w:tcW w:type="dxa" w:w="2088"/>
            <w:shd w:fill="F2F4F7"/>
          </w:tcPr>
          <w:p>
            <w:pPr>
              <w:spacing w:before="0" w:after="40" w:line="264" w:lineRule="auto"/>
            </w:pPr>
            <w:r>
              <w:rPr>
                <w:rFonts w:ascii="Calibri" w:hAnsi="Calibri"/>
                <w:b/>
                <w:sz w:val="22"/>
              </w:rPr>
              <w:t>Article type</w:t>
            </w:r>
          </w:p>
        </w:tc>
        <w:tc>
          <w:tcPr>
            <w:tcW w:type="dxa" w:w="7272"/>
          </w:tcPr>
          <w:p>
            <w:pPr>
              <w:spacing w:before="0" w:after="40" w:line="264" w:lineRule="auto"/>
            </w:pPr>
            <w:r>
              <w:rPr>
                <w:rFonts w:ascii="Calibri" w:hAnsi="Calibri"/>
                <w:b w:val="0"/>
                <w:sz w:val="22"/>
              </w:rPr>
              <w:t>Technical Paper</w:t>
            </w:r>
          </w:p>
        </w:tc>
      </w:tr>
    </w:tbl>
    <w:p/>
    <w:p>
      <w:pPr>
        <w:spacing w:before="0" w:after="160" w:line="264" w:lineRule="auto"/>
      </w:pPr>
      <w:r>
        <w:rPr>
          <w:rFonts w:ascii="Calibri" w:hAnsi="Calibri"/>
          <w:b/>
          <w:sz w:val="22"/>
        </w:rPr>
        <w:t>Dear Editor,</w:t>
      </w:r>
    </w:p>
    <w:p>
      <w:pPr>
        <w:spacing w:before="0" w:after="120" w:line="264" w:lineRule="auto"/>
      </w:pPr>
      <w:r>
        <w:rPr>
          <w:rFonts w:ascii="Calibri" w:hAnsi="Calibri"/>
          <w:sz w:val="22"/>
        </w:rPr>
        <w:t>We submit the manuscript entitled "Pebble-scale topology effects on homogenised neutronics of Li₄SiO₄/Be breeder beds" for consideration as a Technical Paper in Annals of Nuclear Energy.</w:t>
      </w:r>
    </w:p>
    <w:p>
      <w:pPr>
        <w:spacing w:before="0" w:after="120" w:line="264" w:lineRule="auto"/>
      </w:pPr>
      <w:r>
        <w:rPr>
          <w:rFonts w:ascii="Calibri" w:hAnsi="Calibri"/>
          <w:sz w:val="22"/>
        </w:rPr>
        <w:t>The manuscript addresses a modelling question relevant to fusion breeder-blanket neutronics: how pebble-scale void topology and breeder--multiplier interfaces affect source-normalised local neutronic responses when a Li₄SiO₄/Be pebble bed is represented by a volume-homogenised material. The work uses paired OpenMC calculations with matched material inventories, strict non-overlapping hard-sphere geometry audits, propagated tally uncertainties, boundary-condition sensitivity, photon-transport heating sensitivity, and ENDF/B-VIII.0/FENDL-3.2c neutron-data sensitivity reruns. The study is deliberately framed as a local representative-volume-element homogenisation-bias analysis, not as a full-blanket tritium breeding ratio margin or blanket design calculation.</w:t>
      </w:r>
    </w:p>
    <w:p>
      <w:pPr>
        <w:spacing w:before="0" w:after="120" w:line="264" w:lineRule="auto"/>
      </w:pPr>
      <w:r>
        <w:rPr>
          <w:rFonts w:ascii="Calibri" w:hAnsi="Calibri"/>
          <w:sz w:val="22"/>
        </w:rPr>
        <w:t>The revised manuscript includes an executable Li₂O/FNS screening benchmark, audited PF = 0.618 baseline results, a packing-fraction sweep, Be-fraction sensitivity, independent packing realisations, an all-reflective boundary check, a photon-transport heating check, and neutron-data sensitivity calculations. These additions strengthen the reproducibility and reviewer robustness of the work while preserving a clear mechanism-level interpretation of void-channel streaming, delayed solid collisions, Be multiplier exposure, and heating-score redistribution.</w:t>
      </w:r>
    </w:p>
    <w:p>
      <w:pPr>
        <w:spacing w:before="0" w:after="120" w:line="264" w:lineRule="auto"/>
      </w:pPr>
      <w:r>
        <w:rPr>
          <w:rFonts w:ascii="Calibri" w:hAnsi="Calibri"/>
          <w:sz w:val="22"/>
        </w:rPr>
        <w:t>The processed particle lists, OpenMC input-generation scripts, post-processing scripts, result CSV files, figure source data, and manuscript build files are publicly available through the project data repository and Zenodo DOI 10.5281/zenodo.20636518. Continuous-energy nuclear-data libraries are not redistributed because of size and licensing constraints; the exact library names, source URLs, processing tools, checksums, and local cross_sections.xml paths used in the calculations are recorded in the data package.</w:t>
      </w:r>
    </w:p>
    <w:p>
      <w:pPr>
        <w:spacing w:before="0" w:after="160" w:line="264" w:lineRule="auto"/>
      </w:pPr>
      <w:r>
        <w:rPr>
          <w:rFonts w:ascii="Calibri" w:hAnsi="Calibri"/>
          <w:sz w:val="22"/>
        </w:rPr>
        <w:t>We confirm that this manuscript is original, is not under consideration elsewhere, and that all authors have approved its submission to Annals of Nuclear Energy.</w:t>
      </w:r>
    </w:p>
    <w:p>
      <w:pPr>
        <w:spacing w:before="0" w:after="160" w:line="264" w:lineRule="auto"/>
      </w:pPr>
      <w:r>
        <w:rPr>
          <w:rFonts w:ascii="Calibri" w:hAnsi="Calibri"/>
          <w:b/>
          <w:sz w:val="22"/>
        </w:rPr>
        <w:t>Sincerely,</w:t>
      </w:r>
    </w:p>
    <w:p>
      <w:pPr>
        <w:spacing w:before="0" w:after="120" w:line="264" w:lineRule="auto"/>
      </w:pPr>
      <w:r>
        <w:rPr>
          <w:rFonts w:ascii="Calibri" w:hAnsi="Calibri"/>
          <w:sz w:val="22"/>
        </w:rPr>
        <w:t>Jian Wang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