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64" w:lineRule="auto"/>
        <w:jc w:val="center"/>
      </w:pPr>
      <w:r>
        <w:rPr>
          <w:rFonts w:ascii="Calibri" w:hAnsi="Calibri"/>
          <w:b/>
          <w:color w:val="2E74B5"/>
          <w:sz w:val="32"/>
        </w:rPr>
        <w:t>Cover Letter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sz w:val="22"/>
              </w:rPr>
              <w:t>Journal</w:t>
            </w:r>
          </w:p>
        </w:tc>
        <w:tc>
          <w:tcPr>
            <w:tcW w:type="dxa" w:w="7272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sz w:val="22"/>
              </w:rPr>
              <w:t>Fusion Engineering and Design</w:t>
            </w:r>
          </w:p>
        </w:tc>
      </w:tr>
      <w:tr>
        <w:tc>
          <w:tcPr>
            <w:tcW w:type="dxa" w:w="2088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sz w:val="22"/>
              </w:rPr>
              <w:t>Article type</w:t>
            </w:r>
          </w:p>
        </w:tc>
        <w:tc>
          <w:tcPr>
            <w:tcW w:type="dxa" w:w="7272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sz w:val="22"/>
              </w:rPr>
              <w:t>Full-length research article</w:t>
            </w:r>
          </w:p>
        </w:tc>
      </w:tr>
    </w:tbl>
    <w:p/>
    <w:p>
      <w:pPr>
        <w:spacing w:before="0" w:after="160" w:line="264" w:lineRule="auto"/>
      </w:pPr>
      <w:r>
        <w:rPr>
          <w:rFonts w:ascii="Calibri" w:hAnsi="Calibri"/>
          <w:b/>
          <w:sz w:val="22"/>
        </w:rPr>
        <w:t>Dear Editor,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We submit the manuscript entitled "Pebble-scale topology effects on homogenised neutronics of Li₄SiO₄/Be breeder beds" for consideration as a full-length research article in Fusion Engineering and Design.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manuscript addresses a modelling issue directly relevant to fusion breeder-blanket engineering: how pebble-scale He void topology and discrete breeder--multiplier interfaces affect local neutronic responses when a Li₄SiO₄/Be breeder bed is represented by a volume-homogenised material. This question is important for fusion blanket design workflows because homogenised material descriptions are routinely used in sector and full-device Monte Carlo models, whereas local pebble-scale topology can alter fast-neutron streaming, Be multiplier exposure, tritium-production response, and heating-score redistribution.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work uses paired OpenMC calculations with matched material inventories, strict non-overlapping hard-sphere geometry audits, propagated tally uncertainties, packing-fraction and Be-fraction sensitivity studies, independent packing realisations, boundary-condition sensitivity, photon-transport heating sensitivity, and ENDF/B-VIII.0/FENDL-3.2c neutron-data sensitivity reruns. These elements are intended to provide a reproducible fusion-blanket modelling assessment rather than a generic code-comparison exercise. The study is deliberately framed as a source-normalised local representative-volume-element analysis, not as a full-blanket tritium breeding ratio margin or a final blanket design calculation.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main engineering implication is that connected void topology in Li₄SiO₄/Be breeder beds can change the partitioning of local multiplication, tritium-production response, flux, and OpenMC heating-score response even when the homogenised and geometry-resolved models use the same total material inventory. The manuscript therefore provides practical evidence for when homogenised blanket neutronics models should be interpreted cautiously and where geometry-resolved checks may be warranted.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processed particle lists, OpenMC input-generation scripts, post-processing scripts, result CSV files, figure source data, and manuscript build files are publicly available through the project data repository and Zenodo DOI 10.5281/zenodo.20636518. Continuous-energy nuclear-data libraries are not redistributed because of size and licensing constraints; the exact library names, source URLs, processing tools, checksums, and local cross_sections.xml paths used in the calculations are recorded in the data package.</w:t>
      </w:r>
    </w:p>
    <w:p>
      <w:pPr>
        <w:spacing w:before="0" w:after="160" w:line="264" w:lineRule="auto"/>
      </w:pPr>
      <w:r>
        <w:rPr>
          <w:rFonts w:ascii="Calibri" w:hAnsi="Calibri"/>
          <w:sz w:val="22"/>
        </w:rPr>
        <w:t>We confirm that this manuscript is original, is not under consideration elsewhere, and that all authors have approved its submission to Fusion Engineering and Design.</w:t>
      </w:r>
    </w:p>
    <w:p>
      <w:pPr>
        <w:spacing w:before="0" w:after="160" w:line="264" w:lineRule="auto"/>
      </w:pPr>
      <w:r>
        <w:rPr>
          <w:rFonts w:ascii="Calibri" w:hAnsi="Calibri"/>
          <w:b/>
          <w:sz w:val="22"/>
        </w:rPr>
        <w:t>Sincerely,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Jian Wang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