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7475AD">
      <w:pPr>
        <w:spacing w:before="1100" w:after="80"/>
        <w:jc w:val="center"/>
      </w:pPr>
      <w:r>
        <w:rPr>
          <w:rFonts w:ascii="微软雅黑" w:hAnsi="微软雅黑" w:eastAsia="微软雅黑"/>
          <w:b/>
          <w:i w:val="0"/>
          <w:color w:val="1F4D78"/>
          <w:sz w:val="50"/>
        </w:rPr>
        <w:t>工业设备</w:t>
      </w:r>
      <w:r>
        <w:rPr>
          <w:rFonts w:ascii="微软雅黑" w:hAnsi="微软雅黑" w:eastAsia="微软雅黑"/>
          <w:b/>
          <w:i w:val="0"/>
          <w:color w:val="2E74B5"/>
          <w:sz w:val="50"/>
        </w:rPr>
        <w:t>智能诊断平台</w:t>
      </w:r>
    </w:p>
    <w:p w14:paraId="2FD4CE0B">
      <w:pPr>
        <w:spacing w:after="280"/>
        <w:jc w:val="center"/>
      </w:pPr>
      <w:r>
        <w:rPr>
          <w:rFonts w:ascii="微软雅黑" w:hAnsi="微软雅黑" w:eastAsia="微软雅黑"/>
          <w:b/>
          <w:i w:val="0"/>
          <w:color w:val="1F4D78"/>
          <w:sz w:val="44"/>
        </w:rPr>
        <w:t>使用说明书</w:t>
      </w:r>
    </w:p>
    <w:p w14:paraId="2C4BEFAA">
      <w:pPr>
        <w:spacing w:after="700"/>
        <w:jc w:val="center"/>
      </w:pPr>
      <w:r>
        <w:rPr>
          <w:rFonts w:ascii="微软雅黑" w:hAnsi="微软雅黑" w:eastAsia="微软雅黑"/>
          <w:b w:val="0"/>
          <w:i w:val="0"/>
          <w:color w:val="666666"/>
          <w:sz w:val="22"/>
        </w:rPr>
        <w:t>根据当前菜单、页面组件与接口能力整理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11132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5C23CC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9"/>
              </w:rPr>
              <w:t>项目</w:t>
            </w:r>
          </w:p>
        </w:tc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23578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9"/>
              </w:rPr>
              <w:t>说明</w:t>
            </w:r>
          </w:p>
        </w:tc>
      </w:tr>
      <w:tr w14:paraId="1CAC9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4BFC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适用对象</w:t>
            </w:r>
          </w:p>
        </w:tc>
        <w:tc>
          <w:tcPr>
            <w:tcW w:w="756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6E64C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平台管理员、设备运维人员、诊断分析人员、值守人员</w:t>
            </w:r>
          </w:p>
        </w:tc>
      </w:tr>
      <w:tr w14:paraId="630153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DCC7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功能范围</w:t>
            </w:r>
          </w:p>
        </w:tc>
        <w:tc>
          <w:tcPr>
            <w:tcW w:w="756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0E89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监测与数据、诊断分析、PHM 健康管理、告警闭环与报表导出</w:t>
            </w:r>
          </w:p>
        </w:tc>
      </w:tr>
      <w:tr w14:paraId="2508D2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0359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文档版本</w:t>
            </w:r>
          </w:p>
        </w:tc>
        <w:tc>
          <w:tcPr>
            <w:tcW w:w="756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52B1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1.0</w:t>
            </w:r>
          </w:p>
        </w:tc>
      </w:tr>
      <w:tr w14:paraId="79CEC3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7752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编制日期</w:t>
            </w:r>
          </w:p>
        </w:tc>
        <w:tc>
          <w:tcPr>
            <w:tcW w:w="756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E65EF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2026 年 8 月</w:t>
            </w:r>
          </w:p>
        </w:tc>
      </w:tr>
    </w:tbl>
    <w:p w14:paraId="67C8068E">
      <w:pPr>
        <w:spacing w:after="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6C9FD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FFF6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D71F9A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阅读提示</w:t>
            </w:r>
          </w:p>
          <w:p w14:paraId="59536C7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截图中的设备、时间和数值为示例数据，用于说明页面布局与操作位置；实际菜单、数据范围和按钮权限以当前账号及部署环境为准。</w:t>
            </w:r>
          </w:p>
        </w:tc>
      </w:tr>
    </w:tbl>
    <w:p w14:paraId="29ADA81F">
      <w:pPr>
        <w:spacing w:after="0"/>
      </w:pPr>
    </w:p>
    <w:p w14:paraId="52C9D8AC">
      <w:r>
        <w:br w:type="page"/>
      </w:r>
    </w:p>
    <w:p w14:paraId="4CBB118A">
      <w:pPr>
        <w:pStyle w:val="3"/>
      </w:pPr>
      <w:r>
        <w:t>目录与阅</w:t>
      </w:r>
      <w:bookmarkStart w:id="0" w:name="_GoBack"/>
      <w:bookmarkEnd w:id="0"/>
      <w:r>
        <w:t>读建议</w:t>
      </w:r>
    </w:p>
    <w:p w14:paraId="188A956A">
      <w:r>
        <w:rPr>
          <w:rFonts w:ascii="微软雅黑" w:hAnsi="微软雅黑" w:eastAsia="微软雅黑"/>
          <w:b w:val="0"/>
          <w:i w:val="0"/>
          <w:sz w:val="22"/>
        </w:rPr>
        <w:t>本说明书按当前系统的页面入口组织内容。首次使用建议先阅读第 1～3 章，确认菜单权限、设备/测点、采集通道和模型准备情况；日常值守可直接阅读第 4～9 章。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6336"/>
      </w:tblGrid>
      <w:tr w14:paraId="43EB78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D294B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29896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主要内容</w:t>
            </w:r>
          </w:p>
        </w:tc>
      </w:tr>
      <w:tr w14:paraId="7968E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832E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 平台定位与数据闭环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2D48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平台能做什么、菜单边界、数据从采集到报告的流向</w:t>
            </w:r>
          </w:p>
        </w:tc>
      </w:tr>
      <w:tr w14:paraId="0C65E2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AEA9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 登录与通用操作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2C55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登录、筛选、刷新、图表、导出和状态识别</w:t>
            </w:r>
          </w:p>
        </w:tc>
      </w:tr>
      <w:tr w14:paraId="729D5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480D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 使用前配置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0FB0D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设备、测点、MAT 通道、告警规则、特征值和模型准备</w:t>
            </w:r>
          </w:p>
        </w:tc>
      </w:tr>
      <w:tr w14:paraId="66624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8BC6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 日常值守流程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E8E2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从实时监测到诊断、告警处置和留痕的推荐路径</w:t>
            </w:r>
          </w:p>
        </w:tc>
      </w:tr>
      <w:tr w14:paraId="3C013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590E0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 监测与数据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34009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实时监测、8 路振动、振动/温度分析、接收台账、历史下载、油液页</w:t>
            </w:r>
          </w:p>
        </w:tc>
      </w:tr>
      <w:tr w14:paraId="7AD261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03E21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 PHM 健康管理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2234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设备集群、测点接入、机器大脑、事件、报表和配置管理</w:t>
            </w:r>
          </w:p>
        </w:tc>
      </w:tr>
      <w:tr w14:paraId="3B91F1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EEF6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智能诊断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3086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测点总览、数据源、模型推理、证据和历史结果</w:t>
            </w:r>
          </w:p>
        </w:tc>
      </w:tr>
      <w:tr w14:paraId="132557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6AFC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 告警闭环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1395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确认、指派、处理、忽略、规则和关联证据</w:t>
            </w:r>
          </w:p>
        </w:tc>
      </w:tr>
      <w:tr w14:paraId="266B3E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426C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 历史、报表与导出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877D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CSV 导出、实时报表、历史报表和服务报告</w:t>
            </w:r>
          </w:p>
        </w:tc>
      </w:tr>
      <w:tr w14:paraId="1F70F3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2812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 常见问题与附录</w:t>
            </w:r>
          </w:p>
        </w:tc>
        <w:tc>
          <w:tcPr>
            <w:tcW w:w="633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9254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排查路径、页面地图、状态与术语</w:t>
            </w:r>
          </w:p>
        </w:tc>
      </w:tr>
    </w:tbl>
    <w:p w14:paraId="4262AF4E">
      <w:pPr>
        <w:spacing w:after="0"/>
      </w:pPr>
    </w:p>
    <w:p w14:paraId="011EA096">
      <w:pPr>
        <w:pStyle w:val="3"/>
      </w:pPr>
      <w:r>
        <w:t>1  平台定位与数据闭环</w:t>
      </w:r>
    </w:p>
    <w:p w14:paraId="7922AC50">
      <w:r>
        <w:rPr>
          <w:rFonts w:ascii="微软雅黑" w:hAnsi="微软雅黑" w:eastAsia="微软雅黑"/>
          <w:b w:val="0"/>
          <w:i w:val="0"/>
          <w:sz w:val="22"/>
        </w:rPr>
        <w:t>平台围绕“设备—测点—采集通道—数据—模型—告警—事件—报表”建立可追溯的工业设备健康管理闭环。页面负责选择上下文、展示数据和发起操作；后台负责权限、数据范围、任务编排、结果保存和告警状态。</w:t>
      </w:r>
    </w:p>
    <w:p w14:paraId="19B48157">
      <w:pPr>
        <w:pStyle w:val="4"/>
      </w:pPr>
      <w:r>
        <w:t>1.1  当前页面分区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3528"/>
        <w:gridCol w:w="3888"/>
      </w:tblGrid>
      <w:tr w14:paraId="598F90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EEAE1E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页面分区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C1EE7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入口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E062C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主要用途</w:t>
            </w:r>
          </w:p>
        </w:tc>
      </w:tr>
      <w:tr w14:paraId="051FBD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8D2B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监测与数据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DD17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实时监测、油液监测、振动分析、温度分析、振动文件接收、历史数据下载</w:t>
            </w:r>
          </w:p>
        </w:tc>
        <w:tc>
          <w:tcPr>
            <w:tcW w:w="388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F549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查看在线状态、趋势、波形、频谱、温度及数据接收质量</w:t>
            </w:r>
          </w:p>
        </w:tc>
      </w:tr>
      <w:tr w14:paraId="0DEDC4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5DBD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诊断分析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5BD6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诊断分析</w:t>
            </w:r>
          </w:p>
        </w:tc>
        <w:tc>
          <w:tcPr>
            <w:tcW w:w="388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6E584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从测点总览进入模型推理、诊断证据和历史诊断结果</w:t>
            </w:r>
          </w:p>
        </w:tc>
      </w:tr>
      <w:tr w14:paraId="0A165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9D6D7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PHM 中心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D2800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设备集群、测点接入、机器大脑、告警中心、设备大事记、报表中心、配置管理</w:t>
            </w:r>
          </w:p>
        </w:tc>
        <w:tc>
          <w:tcPr>
            <w:tcW w:w="388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046D4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按设备聚合健康度、告警、事件、报告和基础配置</w:t>
            </w:r>
          </w:p>
        </w:tc>
      </w:tr>
    </w:tbl>
    <w:p w14:paraId="2F07C9D7">
      <w:pPr>
        <w:spacing w:after="0"/>
      </w:pPr>
    </w:p>
    <w:p w14:paraId="7B0DAB91">
      <w:pPr>
        <w:pStyle w:val="4"/>
      </w:pPr>
      <w:r>
        <w:t>1.2  数据链路</w:t>
      </w:r>
    </w:p>
    <w:p w14:paraId="0159AF8C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在配置管理中建立设备、测点、特征值和告警规则；在测点接入中把测点与 MAT 物理通道绑定。</w:t>
      </w:r>
    </w:p>
    <w:p w14:paraId="44695DB5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采集端通过 MAT TCP/8888 或文件接收把数据送入平台；在“振动文件接收”页检查接收、映射、校验和入队状态。</w:t>
      </w:r>
    </w:p>
    <w:p w14:paraId="38F41574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实时监测、振动分析、温度分析和 8 路实时监控读取最新采样与趋势；历史数据下载用于按时间和测点回溯。</w:t>
      </w:r>
    </w:p>
    <w:p w14:paraId="133FF207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诊断分析调用已配置模型生成诊断结论、置信度、健康指数、风险等级和证据指标。</w:t>
      </w:r>
    </w:p>
    <w:p w14:paraId="11D73438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告警中心、设备大事记和报表中心分别完成处置留痕、生命周期记录和结果归档。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558615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EAF4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7D7B4E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判断原则</w:t>
            </w:r>
          </w:p>
          <w:p w14:paraId="50F01B1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“已接收”表示文件已经进入平台处理链路，不等于诊断已经完成；“已确认”表示告警已被接手，不等于告警条件已经解除。</w:t>
            </w:r>
          </w:p>
        </w:tc>
      </w:tr>
    </w:tbl>
    <w:p w14:paraId="6FC6029C">
      <w:pPr>
        <w:spacing w:after="0"/>
      </w:pPr>
    </w:p>
    <w:p w14:paraId="52BE5437">
      <w:pPr>
        <w:pStyle w:val="3"/>
      </w:pPr>
      <w:r>
        <w:t>2  登录与通用操作</w:t>
      </w:r>
    </w:p>
    <w:p w14:paraId="430A72E3">
      <w:pPr>
        <w:pStyle w:val="4"/>
      </w:pPr>
      <w:r>
        <w:t>2.1  登录与菜单可见性</w:t>
      </w:r>
    </w:p>
    <w:p w14:paraId="797CF960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10160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5FCF">
      <w:pPr>
        <w:pStyle w:val="15"/>
        <w:jc w:val="center"/>
      </w:pPr>
      <w:r>
        <w:t>图 2-1  登录页面（示例）</w:t>
      </w:r>
    </w:p>
    <w:p w14:paraId="12F44D06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示例截图：验证码、Logo 和提示内容以当前部署配置为准。</w:t>
      </w:r>
    </w:p>
    <w:p w14:paraId="3B3FB39D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打开管理员提供的平台地址，输入账号和密码。</w:t>
      </w:r>
    </w:p>
    <w:p w14:paraId="70ACE696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按页面要求完成验证码或安全校验；首次登录若提示强制改密，先完成密码修改。</w:t>
      </w:r>
    </w:p>
    <w:p w14:paraId="4B14B7B1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登录后从左侧菜单进入“监测与数据”“诊断分析”或“PHM 中心”。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38BAB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FFF6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93570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权限提示</w:t>
            </w:r>
          </w:p>
          <w:p w14:paraId="41A345B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菜单由角色权限与数据范围共同控制。菜单缺失、按钮灰显或表格为空时，先确认账号权限、所属组织和设备数据范围，再判断是否为系统故障。</w:t>
            </w:r>
          </w:p>
        </w:tc>
      </w:tr>
    </w:tbl>
    <w:p w14:paraId="25186912">
      <w:pPr>
        <w:spacing w:after="0"/>
      </w:pPr>
    </w:p>
    <w:p w14:paraId="1D7D1B17">
      <w:pPr>
        <w:pStyle w:val="4"/>
      </w:pPr>
      <w:r>
        <w:t>2.2  通用页面操作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240"/>
        <w:gridCol w:w="4320"/>
      </w:tblGrid>
      <w:tr w14:paraId="5659C1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85371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操作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0DD225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页面表现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0FE6EF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使用建议</w:t>
            </w:r>
          </w:p>
        </w:tc>
      </w:tr>
      <w:tr w14:paraId="127032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6F9AB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选择上下文</w:t>
            </w:r>
          </w:p>
        </w:tc>
        <w:tc>
          <w:tcPr>
            <w:tcW w:w="32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EF4B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设备、测点、时间范围下拉框或搜索框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B84A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先选设备，再选测点；切换后点击“刷新”或“查询”确认数据已更新</w:t>
            </w:r>
          </w:p>
        </w:tc>
      </w:tr>
      <w:tr w14:paraId="0FED7F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B561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筛选表格</w:t>
            </w:r>
          </w:p>
        </w:tc>
        <w:tc>
          <w:tcPr>
            <w:tcW w:w="32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BB06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设备编码、状态、告警级别、关键词等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3D94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先缩小范围再导出，避免把全量数据当成当前设备结果</w:t>
            </w:r>
          </w:p>
        </w:tc>
      </w:tr>
      <w:tr w14:paraId="43997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4FD9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查看详情</w:t>
            </w:r>
          </w:p>
        </w:tc>
        <w:tc>
          <w:tcPr>
            <w:tcW w:w="32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983F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点击卡片、表格行、告警编号或“详情”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CA57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详情通常会带入设备、测点和时间上下文</w:t>
            </w:r>
          </w:p>
        </w:tc>
      </w:tr>
      <w:tr w14:paraId="71C4E4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85E5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图表切换</w:t>
            </w:r>
          </w:p>
        </w:tc>
        <w:tc>
          <w:tcPr>
            <w:tcW w:w="32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4D7D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趋势、波形、FFT、包络频谱、瀑布图等页签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57FF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无数据时先检查采样质量、文件状态和当前时间范围</w:t>
            </w:r>
          </w:p>
        </w:tc>
      </w:tr>
      <w:tr w14:paraId="46636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CCBE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导出</w:t>
            </w:r>
          </w:p>
        </w:tc>
        <w:tc>
          <w:tcPr>
            <w:tcW w:w="32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9F32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导出 CSV、保存图片、下载服务报告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6A37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导出结果以当前筛选条件或当前页签为准</w:t>
            </w:r>
          </w:p>
        </w:tc>
      </w:tr>
    </w:tbl>
    <w:p w14:paraId="7AA5BCF2">
      <w:pPr>
        <w:spacing w:after="0"/>
      </w:pPr>
    </w:p>
    <w:p w14:paraId="65D170A4">
      <w:pPr>
        <w:pStyle w:val="4"/>
      </w:pPr>
      <w:r>
        <w:t>2.3  状态与颜色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3816"/>
        <w:gridCol w:w="3600"/>
      </w:tblGrid>
      <w:tr w14:paraId="5DFE9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EC1A5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状态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860D5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含义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D5330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下一步</w:t>
            </w:r>
          </w:p>
        </w:tc>
      </w:tr>
      <w:tr w14:paraId="67C3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C68E4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在线/实时在线</w:t>
            </w:r>
          </w:p>
        </w:tc>
        <w:tc>
          <w:tcPr>
            <w:tcW w:w="38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D46D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最近采样正常到达</w:t>
            </w:r>
          </w:p>
        </w:tc>
        <w:tc>
          <w:tcPr>
            <w:tcW w:w="36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D771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继续关注趋势和告警</w:t>
            </w:r>
          </w:p>
        </w:tc>
      </w:tr>
      <w:tr w14:paraId="6AD63C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15C3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关注/预警</w:t>
            </w:r>
          </w:p>
        </w:tc>
        <w:tc>
          <w:tcPr>
            <w:tcW w:w="38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7144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指标接近规则或模型提示风险</w:t>
            </w:r>
          </w:p>
        </w:tc>
        <w:tc>
          <w:tcPr>
            <w:tcW w:w="36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C7C2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查看趋势、数据质量和相关事件</w:t>
            </w:r>
          </w:p>
        </w:tc>
      </w:tr>
      <w:tr w14:paraId="10E5B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2A82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告警</w:t>
            </w:r>
          </w:p>
        </w:tc>
        <w:tc>
          <w:tcPr>
            <w:tcW w:w="38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B6B7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触发告警条件或模型风险等级</w:t>
            </w:r>
          </w:p>
        </w:tc>
        <w:tc>
          <w:tcPr>
            <w:tcW w:w="36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1678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进入告警中心确认并处置</w:t>
            </w:r>
          </w:p>
        </w:tc>
      </w:tr>
      <w:tr w14:paraId="461E8C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7694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离线/无数据</w:t>
            </w:r>
          </w:p>
        </w:tc>
        <w:tc>
          <w:tcPr>
            <w:tcW w:w="38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5910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没有有效最新采样或实时连接中断</w:t>
            </w:r>
          </w:p>
        </w:tc>
        <w:tc>
          <w:tcPr>
            <w:tcW w:w="36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90A5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检查采集端、通道映射和服务状态</w:t>
            </w:r>
          </w:p>
        </w:tc>
      </w:tr>
      <w:tr w14:paraId="0B36C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407C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接收失败/待映射</w:t>
            </w:r>
          </w:p>
        </w:tc>
        <w:tc>
          <w:tcPr>
            <w:tcW w:w="38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5D58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文件未完成接入链路</w:t>
            </w:r>
          </w:p>
        </w:tc>
        <w:tc>
          <w:tcPr>
            <w:tcW w:w="360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AE6B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在接收台账中关联测点或重新接收</w:t>
            </w:r>
          </w:p>
        </w:tc>
      </w:tr>
    </w:tbl>
    <w:p w14:paraId="3B0C4B8E">
      <w:pPr>
        <w:spacing w:after="0"/>
      </w:pPr>
    </w:p>
    <w:p w14:paraId="08F29820">
      <w:pPr>
        <w:pStyle w:val="3"/>
      </w:pPr>
      <w:r>
        <w:t>3  使用前配置</w:t>
      </w:r>
    </w:p>
    <w:p w14:paraId="073A4194">
      <w:r>
        <w:rPr>
          <w:rFonts w:ascii="微软雅黑" w:hAnsi="微软雅黑" w:eastAsia="微软雅黑"/>
          <w:b w:val="0"/>
          <w:i w:val="0"/>
          <w:sz w:val="22"/>
        </w:rPr>
        <w:t>以下操作通常由管理员或配置人员完成。业务用户只需确认设备、测点、采集通道和模型已经准备好。</w:t>
      </w:r>
    </w:p>
    <w:p w14:paraId="4E17DDCB">
      <w:pPr>
        <w:pStyle w:val="4"/>
      </w:pPr>
      <w:r>
        <w:t>3.1  配置管理：设备、测点、规则与特征值</w:t>
      </w:r>
    </w:p>
    <w:p w14:paraId="40409411">
      <w:r>
        <w:rPr>
          <w:rFonts w:ascii="微软雅黑" w:hAnsi="微软雅黑" w:eastAsia="微软雅黑"/>
          <w:b w:val="0"/>
          <w:i w:val="0"/>
          <w:sz w:val="22"/>
        </w:rPr>
        <w:t>进入“PHM 中心 → 配置管理”。当前页面提供设备管理、测点管理、告警规则、特征值配置、图片管理和系统配置页签。</w:t>
      </w:r>
    </w:p>
    <w:p w14:paraId="309AEFFC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设备管理：维护设备编码、名称、类型、所属节点、状态、健康指数和设备形貌图。设备编码必须与采集端发送的编码一致。</w:t>
      </w:r>
    </w:p>
    <w:p w14:paraId="3BB2E09E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测点管理：选择所属设备，维护测点编码、名称、1～8 通道号、信号类型（振动/温度）、显示特征值及设备/卡片位置。</w:t>
      </w:r>
    </w:p>
    <w:p w14:paraId="2BF0D505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告警规则：维护规则名称、特征值、阈值/趋势类型、高报阈值、高高报阈值、设备告警等级和处理措施。</w:t>
      </w:r>
    </w:p>
    <w:p w14:paraId="72412EAC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特征值配置：维护编码、名称、单位、信号类型、展示顺序和启用状态；常见单位包括 mm/s、℃、g。</w:t>
      </w:r>
    </w:p>
    <w:p w14:paraId="61A429F6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图片管理与系统配置：上传设备关联图片，维护展示模式、Logo 和部署相关配置；保存前确认影响范围。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1E9629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FCEC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B256E9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删除风险</w:t>
            </w:r>
          </w:p>
          <w:p w14:paraId="47EEF3B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删除设备时可能连带删除关联测点、告警和事件。生产环境请先确认数据留存和权限审批，再执行删除。</w:t>
            </w:r>
          </w:p>
        </w:tc>
      </w:tr>
    </w:tbl>
    <w:p w14:paraId="295A56AE">
      <w:pPr>
        <w:spacing w:after="0"/>
      </w:pPr>
    </w:p>
    <w:p w14:paraId="79DDDE4D">
      <w:pPr>
        <w:pStyle w:val="4"/>
      </w:pPr>
      <w:r>
        <w:t>3.2  测点接入与 MAT 物理通道</w:t>
      </w:r>
    </w:p>
    <w:p w14:paraId="681275DF">
      <w:r>
        <w:rPr>
          <w:rFonts w:ascii="微软雅黑" w:hAnsi="微软雅黑" w:eastAsia="微软雅黑"/>
          <w:b w:val="0"/>
          <w:i w:val="0"/>
          <w:sz w:val="22"/>
        </w:rPr>
        <w:t>进入“PHM 中心 → 测点接入”。该页用于维护设备、测点与采集通道的绑定，是文件归属和实时数据正常落点的前提。</w:t>
      </w:r>
    </w:p>
    <w:p w14:paraId="19C7ABA5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选择设备和测点，确认测点编码、信号类型和通道号。</w:t>
      </w:r>
    </w:p>
    <w:p w14:paraId="4E12FF43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新增或编辑采集通道，填写采集端使用的通道信息并启用通道。</w:t>
      </w:r>
    </w:p>
    <w:p w14:paraId="630E63F5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确保一个物理通道不会被错误绑定到多个测点；保存后到实时监测或文件台账验证。</w:t>
      </w:r>
    </w:p>
    <w:p w14:paraId="789348AE">
      <w:pPr>
        <w:pStyle w:val="4"/>
      </w:pPr>
      <w:r>
        <w:t>3.3  诊断模型准备</w:t>
      </w:r>
    </w:p>
    <w:p w14:paraId="0E1AE268">
      <w:r>
        <w:rPr>
          <w:rFonts w:ascii="微软雅黑" w:hAnsi="微软雅黑" w:eastAsia="微软雅黑"/>
          <w:b w:val="0"/>
          <w:i w:val="0"/>
          <w:sz w:val="22"/>
        </w:rPr>
        <w:t>进入“诊断分析 → 诊断分析”后，诊断页会加载可用的模型类型与版本。当前页面支持从服务器文件台账选择文件，也支持本地上传 .mat 或 .npy 文件；单文件上限为 128 MB。模型未发布、未绑定或版本不可用时，任务可能无法执行。</w:t>
      </w:r>
    </w:p>
    <w:p w14:paraId="5F69FD3D">
      <w:pPr>
        <w:pStyle w:val="3"/>
      </w:pPr>
      <w:r>
        <w:t>4  日常值守流程</w:t>
      </w:r>
    </w:p>
    <w:p w14:paraId="263001AD">
      <w:r>
        <w:rPr>
          <w:rFonts w:ascii="微软雅黑" w:hAnsi="微软雅黑" w:eastAsia="微软雅黑"/>
          <w:b w:val="0"/>
          <w:i w:val="0"/>
          <w:sz w:val="22"/>
        </w:rPr>
        <w:t>推荐按“总览 → 数据质量 → 趋势/波形 → 模型诊断 → 告警闭环 → 事件/报告”的顺序操作。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528"/>
        <w:gridCol w:w="4320"/>
      </w:tblGrid>
      <w:tr w14:paraId="428C8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2F0AF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阶段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AA179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进入页面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85CA3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完成标准</w:t>
            </w:r>
          </w:p>
        </w:tc>
      </w:tr>
      <w:tr w14:paraId="229D34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81BF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班前总览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737C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监测与数据 → 实时监测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0AA0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确认在线设备、异常设备、未确认告警和数据延迟</w:t>
            </w:r>
          </w:p>
        </w:tc>
      </w:tr>
      <w:tr w14:paraId="16D228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17C6F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定位测点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176A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实时监测 / 8 路实时监控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A507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确认目标设备、测点、通道、最新采样时间和质量状态</w:t>
            </w:r>
          </w:p>
        </w:tc>
      </w:tr>
      <w:tr w14:paraId="09DD00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AE14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分析异常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27757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振动分析 / 温度分析 / 诊断分析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0EE3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查看趋势、波形/频谱、模型结论和证据指标</w:t>
            </w:r>
          </w:p>
        </w:tc>
      </w:tr>
      <w:tr w14:paraId="451B7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3382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闭环处置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65CEC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PHM 中心 → 告警中心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7BA11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完成确认、指派、处理或忽略，并保留记录</w:t>
            </w:r>
          </w:p>
        </w:tc>
      </w:tr>
      <w:tr w14:paraId="2C0FE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CBE2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留痕复盘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5DB7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设备大事记 / 报表中心 / 历史数据下载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CD240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记录维修保养或诊断事件，导出结果并归档</w:t>
            </w:r>
          </w:p>
        </w:tc>
      </w:tr>
    </w:tbl>
    <w:p w14:paraId="2F4FE5AC">
      <w:pPr>
        <w:spacing w:after="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0AA8C4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FFF6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C0934A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先看数据质量</w:t>
            </w:r>
          </w:p>
          <w:p w14:paraId="18CD80F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当页面显示无数据、离线或延迟较高时，先排查采集端和通道映射，再解释趋势和模型结果。空白图不代表设备正常。</w:t>
            </w:r>
          </w:p>
        </w:tc>
      </w:tr>
    </w:tbl>
    <w:p w14:paraId="34E62171">
      <w:pPr>
        <w:spacing w:after="0"/>
      </w:pPr>
    </w:p>
    <w:p w14:paraId="230C9130">
      <w:pPr>
        <w:pStyle w:val="3"/>
      </w:pPr>
      <w:r>
        <w:t>5  监测与数据</w:t>
      </w:r>
    </w:p>
    <w:p w14:paraId="4F230AA4">
      <w:pPr>
        <w:pStyle w:val="4"/>
      </w:pPr>
      <w:r>
        <w:t>5.1  实时监测工作台</w:t>
      </w:r>
    </w:p>
    <w:p w14:paraId="25851364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1016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459A">
      <w:pPr>
        <w:pStyle w:val="15"/>
        <w:jc w:val="center"/>
      </w:pPr>
      <w:r>
        <w:t>图 5-1  实时监测工作台（示例）</w:t>
      </w:r>
    </w:p>
    <w:p w14:paraId="29B47318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示例截图：页面展示设备状态、测点卡片、趋势和待处置告警。</w:t>
      </w:r>
    </w:p>
    <w:p w14:paraId="2F21F7A2">
      <w:r>
        <w:rPr>
          <w:rFonts w:ascii="微软雅黑" w:hAnsi="微软雅黑" w:eastAsia="微软雅黑"/>
          <w:b w:val="0"/>
          <w:i w:val="0"/>
          <w:sz w:val="22"/>
        </w:rPr>
        <w:t>入口：监测与数据 → 实时监测。页面顶部显示设备状态、最近采样、延迟和连接状态；中部展示在线设备、异常设备、未确认告警和数据延迟等指标；左侧按设备/测点定位，中部查看测点卡片与趋势，右侧处理待处置告警。</w:t>
      </w:r>
    </w:p>
    <w:p w14:paraId="3C8EC302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选择设备和测点，检查最近采样时间、连接状态和质量。</w:t>
      </w:r>
    </w:p>
    <w:p w14:paraId="7993E266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点击测点卡片或趋势区域，观察振动/温度的变化；需要深入分析时点击“振动分析”或“温度分析”。</w:t>
      </w:r>
    </w:p>
    <w:p w14:paraId="45E539B7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右侧待处置告警可执行“确认”“指派”“详情”；详情会跳转到告警中心继续处理。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57D478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EAF4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1C7A4D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确认不等于清除</w:t>
            </w:r>
          </w:p>
          <w:p w14:paraId="389414D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实时监测中的“确认”只表示用户已经看到并接手告警；条件仍满足时，告警仍会出现在告警中心。</w:t>
            </w:r>
          </w:p>
        </w:tc>
      </w:tr>
    </w:tbl>
    <w:p w14:paraId="59DD7CE7">
      <w:pPr>
        <w:spacing w:after="0"/>
      </w:pPr>
    </w:p>
    <w:p w14:paraId="7D2380BF">
      <w:pPr>
        <w:pStyle w:val="4"/>
      </w:pPr>
      <w:r>
        <w:t>5.2  8 路实时监控</w:t>
      </w:r>
    </w:p>
    <w:p w14:paraId="5E2E31F4">
      <w:r>
        <w:rPr>
          <w:rFonts w:ascii="微软雅黑" w:hAnsi="微软雅黑" w:eastAsia="微软雅黑"/>
          <w:b w:val="0"/>
          <w:i w:val="0"/>
          <w:sz w:val="22"/>
        </w:rPr>
        <w:t>入口：监测与数据 → 8 路实时监控。页面以八通道矩阵显示通道状态、RMS、Peak、温度和健康度，并在右侧提供当前通道的诊断结论、阈值规则、处置建议和最近事件。</w:t>
      </w:r>
    </w:p>
    <w:p w14:paraId="479129A3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顶部输入设备编码，选择近 10/30/60 分钟窗口后点击“刷新”。</w:t>
      </w:r>
    </w:p>
    <w:p w14:paraId="51045B1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测点矩阵支持物理顺序、告警优先和 RMS 降序；点击通道卡片切换分析对象。</w:t>
      </w:r>
    </w:p>
    <w:p w14:paraId="511DDA21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分析页签包含趋势、波形、频谱和瀑布图；如果对应数据尚未归档，会显示暂无数据提示。</w:t>
      </w:r>
    </w:p>
    <w:p w14:paraId="5D3E729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优先查看最高风险和重点通道；多通道同时升高时结合工况判断，单通道突升时检查传感器和局部部件。</w:t>
      </w:r>
    </w:p>
    <w:p w14:paraId="319FFFC7">
      <w:pPr>
        <w:pStyle w:val="4"/>
      </w:pPr>
      <w:r>
        <w:t>5.3  振动分析工作台</w:t>
      </w:r>
    </w:p>
    <w:p w14:paraId="079455BD">
      <w:r>
        <w:rPr>
          <w:rFonts w:ascii="微软雅黑" w:hAnsi="微软雅黑" w:eastAsia="微软雅黑"/>
          <w:b w:val="0"/>
          <w:i w:val="0"/>
          <w:sz w:val="22"/>
        </w:rPr>
        <w:t>入口：监测与数据 → 振动分析。页面可在“实时数据”和“文件数据”之间切换。选择设备、测点和时间范围后，右侧可切换历史趋势、时域波形、FFT、包络频谱和瀑布图。</w:t>
      </w:r>
    </w:p>
    <w:p w14:paraId="63F2535F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文件数据模式下，可按状态或文件/设备/测点关键词筛选接收文件，选择文件后载入分析或执行模型诊断。</w:t>
      </w:r>
    </w:p>
    <w:p w14:paraId="14ADA668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页面同时显示当前有效采样窗口的特征指标、生效规则和关联告警；点击关联告警可定位证据窗口。</w:t>
      </w:r>
    </w:p>
    <w:p w14:paraId="5BD473C1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文件尚未映射时，先在接收台账中关联设备、测点和物理通道；文件失败时可按权限执行重新接收。</w:t>
      </w:r>
    </w:p>
    <w:p w14:paraId="0811C5BF">
      <w:pPr>
        <w:pStyle w:val="4"/>
      </w:pPr>
      <w:r>
        <w:t>5.4  温度分析工作台</w:t>
      </w:r>
    </w:p>
    <w:p w14:paraId="7B0A2A16">
      <w:r>
        <w:rPr>
          <w:rFonts w:ascii="微软雅黑" w:hAnsi="微软雅黑" w:eastAsia="微软雅黑"/>
          <w:b w:val="0"/>
          <w:i w:val="0"/>
          <w:sz w:val="22"/>
        </w:rPr>
        <w:t>入口：监测与数据 → 温度分析。选择设备、一个或多个温度测点和时间范围，查看温度趋势、数据质量、设备事件和温升告警。页面支持与振动分析互相跳转，告警可进入告警中心。</w:t>
      </w:r>
    </w:p>
    <w:p w14:paraId="5032D216">
      <w:pPr>
        <w:pStyle w:val="4"/>
      </w:pPr>
      <w:r>
        <w:t>5.5  振动文件接收</w:t>
      </w:r>
    </w:p>
    <w:p w14:paraId="13F08B63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BFE1">
      <w:pPr>
        <w:pStyle w:val="15"/>
        <w:jc w:val="center"/>
      </w:pPr>
      <w:r>
        <w:t>图 5-2  振动文件接收台账（示例）</w:t>
      </w:r>
    </w:p>
    <w:p w14:paraId="72A4A9F8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示例截图：接收来源、文件状态、测点映射和异常信息均以实际台账为准。</w:t>
      </w:r>
    </w:p>
    <w:p w14:paraId="19A381F2">
      <w:r>
        <w:rPr>
          <w:rFonts w:ascii="微软雅黑" w:hAnsi="微软雅黑" w:eastAsia="微软雅黑"/>
          <w:b w:val="0"/>
          <w:i w:val="0"/>
          <w:sz w:val="22"/>
        </w:rPr>
        <w:t>入口：监测与数据 → 振动文件接收。页面统一展示 MAT TCP/8888 和人工上传等来源的文件接收记录。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4320"/>
        <w:gridCol w:w="3456"/>
      </w:tblGrid>
      <w:tr w14:paraId="2B7F0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43C40D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台账状态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FA94B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含义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E603F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处理方式</w:t>
            </w:r>
          </w:p>
        </w:tc>
      </w:tr>
      <w:tr w14:paraId="03EA37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15BD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接收中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5DC9A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文件仍在接收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1921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等待完成，不要重复提交</w:t>
            </w:r>
          </w:p>
        </w:tc>
      </w:tr>
      <w:tr w14:paraId="7DADDD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E5A0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待映射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B565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文件已收到但缺少设备/测点/通道归属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08DD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点击“关联测点”，选择设备、测点和启用的物理通道</w:t>
            </w:r>
          </w:p>
        </w:tc>
      </w:tr>
      <w:tr w14:paraId="0BA10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5924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校验中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5ACD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服务端正在校验格式、元数据或模型条件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B4222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等待校验完成</w:t>
            </w:r>
          </w:p>
        </w:tc>
      </w:tr>
      <w:tr w14:paraId="056C02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804C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已接收并入队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840D2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文件已接入并进入后续处理链路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B209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可载入分析或进入诊断分析</w:t>
            </w:r>
          </w:p>
        </w:tc>
      </w:tr>
      <w:tr w14:paraId="4A980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7876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重复文件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5AAD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系统识别为重复接收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0ED0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确认是否已有对应记录，避免重复诊断</w:t>
            </w:r>
          </w:p>
        </w:tc>
      </w:tr>
      <w:tr w14:paraId="2F7A72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9C5C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接收失败</w:t>
            </w:r>
          </w:p>
        </w:tc>
        <w:tc>
          <w:tcPr>
            <w:tcW w:w="432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396F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接收或校验失败</w:t>
            </w:r>
          </w:p>
        </w:tc>
        <w:tc>
          <w:tcPr>
            <w:tcW w:w="345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40B9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查看异常信息，按权限点击“重新接收”</w:t>
            </w:r>
          </w:p>
        </w:tc>
      </w:tr>
    </w:tbl>
    <w:p w14:paraId="44F09960">
      <w:pPr>
        <w:spacing w:after="0"/>
      </w:pPr>
    </w:p>
    <w:p w14:paraId="42CE78A8">
      <w:pPr>
        <w:pStyle w:val="4"/>
      </w:pPr>
      <w:r>
        <w:t>5.6  历史数据下载</w:t>
      </w:r>
    </w:p>
    <w:p w14:paraId="5A7EAAE5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F093">
      <w:pPr>
        <w:pStyle w:val="15"/>
        <w:jc w:val="center"/>
      </w:pPr>
      <w:r>
        <w:t>图 5-3  历史数据下载（示例）</w:t>
      </w:r>
    </w:p>
    <w:p w14:paraId="2F0BBB42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示例截图：导出内容以当前时间、设备和测点筛选条件为准。</w:t>
      </w:r>
    </w:p>
    <w:p w14:paraId="1519A425">
      <w:r>
        <w:rPr>
          <w:rFonts w:ascii="微软雅黑" w:hAnsi="微软雅黑" w:eastAsia="微软雅黑"/>
          <w:b w:val="0"/>
          <w:i w:val="0"/>
          <w:sz w:val="22"/>
        </w:rPr>
        <w:t>入口：监测与数据 → 历史数据下载。选择日期时间范围，可进一步填写设备编码并选择测点，点击“查询”后查看诊断结果、健康指数、风险等级、置信度和采样时间；确认无误后点击“导出 CSV”。</w:t>
      </w:r>
    </w:p>
    <w:p w14:paraId="3984F8E5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导出以当前筛选条件为准，建议先缩小时间范围和设备范围。</w:t>
      </w:r>
    </w:p>
    <w:p w14:paraId="53DA23AA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Excel 打开 CSV 出现乱码时，使用 UTF-8 编码导入。</w:t>
      </w:r>
    </w:p>
    <w:p w14:paraId="538BFA95">
      <w:pPr>
        <w:pStyle w:val="4"/>
      </w:pPr>
      <w:r>
        <w:t>5.7  在线油液监测</w:t>
      </w:r>
    </w:p>
    <w:p w14:paraId="4EA26DF1">
      <w:r>
        <w:rPr>
          <w:rFonts w:ascii="微软雅黑" w:hAnsi="微软雅黑" w:eastAsia="微软雅黑"/>
          <w:b w:val="0"/>
          <w:i w:val="0"/>
          <w:sz w:val="22"/>
        </w:rPr>
        <w:t>入口：监测与数据 → 油液监测。当前页面已经提供监测设备选择、实时监测和历史趋势页签，以及污染度、粘度与油温、微水、含水率、铁磁/非铁磁颗粒等展示结构。但页面代码和菜单备注明确标注为“数据服务尚未接入/接口预留”时，设备选择和趋势查询不可用，不应依据空白卡片作出设备结论。启用相关接口后，页面会按设备、时间和指标加载实时增量与历史趋势。</w:t>
      </w:r>
    </w:p>
    <w:p w14:paraId="4DB561BF">
      <w:pPr>
        <w:pStyle w:val="3"/>
      </w:pPr>
      <w:r>
        <w:t>6  PHM 健康管理</w:t>
      </w:r>
    </w:p>
    <w:p w14:paraId="348C4716">
      <w:pPr>
        <w:pStyle w:val="4"/>
      </w:pPr>
      <w:r>
        <w:t>6.1  设备集群</w:t>
      </w:r>
    </w:p>
    <w:p w14:paraId="41B3DCCE">
      <w:r>
        <w:rPr>
          <w:rFonts w:ascii="微软雅黑" w:hAnsi="微软雅黑" w:eastAsia="微软雅黑"/>
          <w:b w:val="0"/>
          <w:i w:val="0"/>
          <w:sz w:val="22"/>
        </w:rPr>
        <w:t>入口：PHM 中心 → 设备集群。页面以总设备数、运行设备、告警设备、运行率和良好率趋势作为总览指标；支持按组织、状态和收藏筛选，并可切换列表/卡片模式。列表中重点查看设备名称、编码、所属节点、状态、健康指数、故障和振动/温度指标，点击“机器大脑”进入设备级工作台。</w:t>
      </w:r>
    </w:p>
    <w:p w14:paraId="59984448">
      <w:pPr>
        <w:pStyle w:val="4"/>
      </w:pPr>
      <w:r>
        <w:t>6.2  测点接入</w:t>
      </w:r>
    </w:p>
    <w:p w14:paraId="765C2ACD">
      <w:r>
        <w:rPr>
          <w:rFonts w:ascii="微软雅黑" w:hAnsi="微软雅黑" w:eastAsia="微软雅黑"/>
          <w:b w:val="0"/>
          <w:i w:val="0"/>
          <w:sz w:val="22"/>
        </w:rPr>
        <w:t>入口：PHM 中心 → 测点接入。该页负责设备、测点和采集通道的绑定。新增、修改或删除通道会影响实时数据和文件归属，操作后应回到实时监测或文件台账验证。</w:t>
      </w:r>
    </w:p>
    <w:p w14:paraId="70B83FE7">
      <w:pPr>
        <w:pStyle w:val="4"/>
      </w:pPr>
      <w:r>
        <w:t>6.3  机器大脑</w:t>
      </w:r>
    </w:p>
    <w:p w14:paraId="6A5F5F4C">
      <w:r>
        <w:rPr>
          <w:rFonts w:ascii="微软雅黑" w:hAnsi="微软雅黑" w:eastAsia="微软雅黑"/>
          <w:b w:val="0"/>
          <w:i w:val="0"/>
          <w:sz w:val="22"/>
        </w:rPr>
        <w:t>入口：PHM 中心 → 机器大脑。页面按单台设备聚合设备状态、健康指数、测点卡片、趋势、最新诊断、告警摘要和设备事件。</w:t>
      </w:r>
    </w:p>
    <w:p w14:paraId="6FB834F5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顶部选择设备；设备级概览用于判断整体健康，测点卡片用于定位具体异常。</w:t>
      </w:r>
    </w:p>
    <w:p w14:paraId="571C3C9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趋势支持导出 CSV 和保存图片；点击“诊断分析”查看模型证据，点击“波形/频谱”进入振动分析。</w:t>
      </w:r>
    </w:p>
    <w:p w14:paraId="7FA8467A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可在页面内新增设备大事记，填写事件时间、事件类型和事件记录。</w:t>
      </w:r>
    </w:p>
    <w:p w14:paraId="6BD4665C">
      <w:pPr>
        <w:pStyle w:val="4"/>
      </w:pPr>
      <w:r>
        <w:t>6.4  告警中心</w:t>
      </w:r>
    </w:p>
    <w:p w14:paraId="733D772F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E274">
      <w:pPr>
        <w:pStyle w:val="15"/>
        <w:jc w:val="center"/>
      </w:pPr>
      <w:r>
        <w:t>图 6-1  告警中心（示例）</w:t>
      </w:r>
    </w:p>
    <w:p w14:paraId="1BAA2B8E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示例截图：告警级别、条件状态和处置状态取决于当前规则与数据。</w:t>
      </w:r>
    </w:p>
    <w:p w14:paraId="68B82370">
      <w:r>
        <w:rPr>
          <w:rFonts w:ascii="微软雅黑" w:hAnsi="微软雅黑" w:eastAsia="微软雅黑"/>
          <w:b w:val="0"/>
          <w:i w:val="0"/>
          <w:sz w:val="22"/>
        </w:rPr>
        <w:t>入口：PHM 中心 → 告警中心。页面支持按设备、状态和告警级别筛选，表格显示告警编号、设备、测点、特征值、级别、当前值、诊断结果、处置状态和时间。</w:t>
      </w:r>
    </w:p>
    <w:p w14:paraId="780E2789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点击“处理”打开处置对话框；按权限可确认、指派、补充备注、处理或忽略。</w:t>
      </w:r>
    </w:p>
    <w:p w14:paraId="0E4C07E6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点击告警行查看规则、处理记录、关联诊断和设备事件；必要时调整告警规则阈值。</w:t>
      </w:r>
    </w:p>
    <w:p w14:paraId="759CAED7">
      <w:pPr>
        <w:pStyle w:val="4"/>
      </w:pPr>
      <w:r>
        <w:t>6.5  设备大事记</w:t>
      </w:r>
    </w:p>
    <w:p w14:paraId="6918C300">
      <w:r>
        <w:rPr>
          <w:rFonts w:ascii="微软雅黑" w:hAnsi="微软雅黑" w:eastAsia="微软雅黑"/>
          <w:b w:val="0"/>
          <w:i w:val="0"/>
          <w:sz w:val="22"/>
        </w:rPr>
        <w:t>入口：PHM 中心 → 设备大事记。选择设备和年份后按月份查看事件，也可新增、编辑、删除事件并导出 CSV。事件类型包括设备接入、维修、保养、智能诊断、告警处置和其他。</w:t>
      </w:r>
    </w:p>
    <w:p w14:paraId="19BB995C">
      <w:pPr>
        <w:pStyle w:val="4"/>
      </w:pPr>
      <w:r>
        <w:t>6.6  报表中心</w:t>
      </w:r>
    </w:p>
    <w:p w14:paraId="00E68C13">
      <w:r>
        <w:rPr>
          <w:rFonts w:ascii="微软雅黑" w:hAnsi="微软雅黑" w:eastAsia="微软雅黑"/>
          <w:b w:val="0"/>
          <w:i w:val="0"/>
          <w:sz w:val="22"/>
        </w:rPr>
        <w:t>入口：PHM 中心 → 报表中心。当前提供实时报表、历史报表和服务报告三个页签：实时报表支持按设备编码查询并导出；历史报表支持按组织/节点和设备编码查询并导出；服务报告支持登记报告类型、标题、摘要、文件地址和关联设备，并提供下载/删除操作。</w:t>
      </w:r>
    </w:p>
    <w:p w14:paraId="5090351B">
      <w:pPr>
        <w:pStyle w:val="4"/>
      </w:pPr>
      <w:r>
        <w:t>6.7  配置管理</w:t>
      </w:r>
    </w:p>
    <w:p w14:paraId="70814BEE">
      <w:r>
        <w:rPr>
          <w:rFonts w:ascii="微软雅黑" w:hAnsi="微软雅黑" w:eastAsia="微软雅黑"/>
          <w:b w:val="0"/>
          <w:i w:val="0"/>
          <w:sz w:val="22"/>
        </w:rPr>
        <w:t>入口：PHM 中心 → 配置管理。所有新增、编辑、删除和保存按钮均受权限控制；修改前应确认影响的设备、测点、告警规则和展示页面。</w:t>
      </w:r>
    </w:p>
    <w:p w14:paraId="3D27C80A">
      <w:pPr>
        <w:pStyle w:val="3"/>
      </w:pPr>
      <w:r>
        <w:t>7  智能诊断</w:t>
      </w:r>
    </w:p>
    <w:p w14:paraId="56611BC1">
      <w:pPr>
        <w:pStyle w:val="4"/>
      </w:pPr>
      <w:r>
        <w:t>7.1  测点诊断总览</w:t>
      </w:r>
    </w:p>
    <w:p w14:paraId="22F7311A">
      <w:pPr>
        <w:spacing w:before="20" w:after="20"/>
        <w:jc w:val="center"/>
      </w:pPr>
      <w:r>
        <w:drawing>
          <wp:inline distT="0" distB="0" distL="114300" distR="114300">
            <wp:extent cx="5806440" cy="32658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827F">
      <w:pPr>
        <w:pStyle w:val="15"/>
        <w:jc w:val="center"/>
      </w:pPr>
      <w:r>
        <w:t>图 7-1  测点诊断总览（示例）</w:t>
      </w:r>
    </w:p>
    <w:p w14:paraId="2A50EF38">
      <w:pPr>
        <w:spacing w:after="100"/>
        <w:jc w:val="center"/>
      </w:pPr>
      <w:r>
        <w:rPr>
          <w:rFonts w:ascii="微软雅黑" w:hAnsi="微软雅黑" w:eastAsia="微软雅黑"/>
          <w:b w:val="0"/>
          <w:i/>
          <w:color w:val="666666"/>
          <w:sz w:val="17"/>
        </w:rPr>
        <w:t>示例截图：总览卡片显示最新诊断、健康指数和置信度。</w:t>
      </w:r>
    </w:p>
    <w:p w14:paraId="77E6DE3A">
      <w:r>
        <w:rPr>
          <w:rFonts w:ascii="微软雅黑" w:hAnsi="微软雅黑" w:eastAsia="微软雅黑"/>
          <w:b w:val="0"/>
          <w:i w:val="0"/>
          <w:sz w:val="22"/>
        </w:rPr>
        <w:t>入口：诊断分析 → 诊断分析。页面先按部门、设备和测点建立总览，顶部统计部门数、设备数和振动测点数；卡片展示最新诊断、健康指数和置信度。可按部门、设备或测点搜索，点击测点卡片进入详细分析。</w:t>
      </w:r>
    </w:p>
    <w:p w14:paraId="7682FADE">
      <w:pPr>
        <w:pStyle w:val="4"/>
      </w:pPr>
      <w:r>
        <w:t>7.2  选择诊断上下文</w:t>
      </w:r>
    </w:p>
    <w:p w14:paraId="516720C5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选择设备、一个或多个测点，确认当前设备编码、测点名称和通道信息。</w:t>
      </w:r>
    </w:p>
    <w:p w14:paraId="32BE178A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选择模型类型和模型版本；如果页面提供模型选项，优先使用已发布且与测点绑定的版本。</w:t>
      </w:r>
    </w:p>
    <w:p w14:paraId="71F51D03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在服务器文件台账中选择已接收文件，或从本地上传 .mat/.npy 文件（单文件不超过 128 MB）。</w:t>
      </w:r>
    </w:p>
    <w:p w14:paraId="052FB72E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单点诊断用于深入分析；多测点批次用于批量执行，提交后在任务/历史区域查看结果。</w:t>
      </w:r>
    </w:p>
    <w:p w14:paraId="6F1A181F">
      <w:pPr>
        <w:pStyle w:val="4"/>
      </w:pPr>
      <w:r>
        <w:t>7.3  结果页阅读顺序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3384"/>
        <w:gridCol w:w="5328"/>
      </w:tblGrid>
      <w:tr w14:paraId="0AC30B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1B490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顺序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287ED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查看内容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96449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解释重点</w:t>
            </w:r>
          </w:p>
        </w:tc>
      </w:tr>
      <w:tr w14:paraId="3F39F3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4691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A416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诊断结论、置信度、健康指数、风险/告警等级</w:t>
            </w:r>
          </w:p>
        </w:tc>
        <w:tc>
          <w:tcPr>
            <w:tcW w:w="53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7245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先判断模型是否给出有效结论及其可信程度</w:t>
            </w:r>
          </w:p>
        </w:tc>
      </w:tr>
      <w:tr w14:paraId="2DBA0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C2CC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E4FA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RMS、Peak、采样率、数据点数、质量</w:t>
            </w:r>
          </w:p>
        </w:tc>
        <w:tc>
          <w:tcPr>
            <w:tcW w:w="53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D477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确认输入窗口和数据质量是否足以支持结论</w:t>
            </w:r>
          </w:p>
        </w:tc>
      </w:tr>
      <w:tr w14:paraId="4FA26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09E3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3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6363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时域波形、频谱、包络频谱、瀑布图</w:t>
            </w:r>
          </w:p>
        </w:tc>
        <w:tc>
          <w:tcPr>
            <w:tcW w:w="53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A210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定位冲击、周期成分、特征频率和频带演化</w:t>
            </w:r>
          </w:p>
        </w:tc>
      </w:tr>
      <w:tr w14:paraId="63F466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7EE9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4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3BF7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未知比例、分段一致性、马氏距离、熵、决策原因</w:t>
            </w:r>
          </w:p>
        </w:tc>
        <w:tc>
          <w:tcPr>
            <w:tcW w:w="53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7FD1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判断模型证据是否稳定，避免只看一个概率值</w:t>
            </w:r>
          </w:p>
        </w:tc>
      </w:tr>
      <w:tr w14:paraId="2A3185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EF45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5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AAEE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历史诊断与健康趋势</w:t>
            </w:r>
          </w:p>
        </w:tc>
        <w:tc>
          <w:tcPr>
            <w:tcW w:w="53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38F7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比较同一测点的时间变化，形成复盘依据</w:t>
            </w:r>
          </w:p>
        </w:tc>
      </w:tr>
    </w:tbl>
    <w:p w14:paraId="0214DB1C">
      <w:pPr>
        <w:spacing w:after="0"/>
      </w:pPr>
    </w:p>
    <w:p w14:paraId="44DA8181">
      <w:pPr>
        <w:pStyle w:val="4"/>
      </w:pPr>
      <w:r>
        <w:t>7.4  诊断任务状态</w:t>
      </w:r>
    </w:p>
    <w:p w14:paraId="2CB9D5C8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任务未完成：先等待任务状态更新，再刷新历史结果；不要因为短暂空白重复提交。</w:t>
      </w:r>
    </w:p>
    <w:p w14:paraId="213EF02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没有可用模型：联系管理员检查模型发布、版本绑定和账号权限。</w:t>
      </w:r>
    </w:p>
    <w:p w14:paraId="2C377CC0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文件不可用：回到振动文件接收检查映射、校验和异常信息。</w:t>
      </w:r>
    </w:p>
    <w:p w14:paraId="6771FCC7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结果置信度低或未知比例高：结合数据质量、波形/频谱和设备事件判断，不直接把低置信度结果当成确定故障。</w:t>
      </w:r>
    </w:p>
    <w:p w14:paraId="2DAEDEE8">
      <w:pPr>
        <w:pStyle w:val="3"/>
      </w:pPr>
      <w:r>
        <w:t>8  告警闭环</w:t>
      </w:r>
    </w:p>
    <w:p w14:paraId="7CFBED49">
      <w:pPr>
        <w:pStyle w:val="4"/>
      </w:pPr>
      <w:r>
        <w:t>8.1  告警处置流程</w:t>
      </w:r>
    </w:p>
    <w:p w14:paraId="194E5F65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在实时监测、振动/温度分析或告警中心发现异常，打开告警详情。</w:t>
      </w:r>
    </w:p>
    <w:p w14:paraId="64A3B9FB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确认告警，表示已看到并接手；必要时指派给责任人并补充备注。</w:t>
      </w:r>
    </w:p>
    <w:p w14:paraId="49430F06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查看规则、当前值、诊断结果、关联趋势、处理记录和设备事件，判断是否需要停机、点检、维修或继续观察。</w:t>
      </w:r>
    </w:p>
    <w:p w14:paraId="2361D95D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完成处置后补充处理说明；需要留存维修保养信息时，在设备大事记中新增事件。</w:t>
      </w:r>
    </w:p>
    <w:p w14:paraId="110AE04E">
      <w:pPr>
        <w:pStyle w:val="14"/>
      </w:pPr>
      <w:r>
        <w:rPr>
          <w:rFonts w:ascii="微软雅黑" w:hAnsi="微软雅黑" w:eastAsia="微软雅黑"/>
          <w:b w:val="0"/>
          <w:i w:val="0"/>
          <w:sz w:val="22"/>
        </w:rPr>
        <w:t>回到告警中心确认处置状态和条件状态，必要时在历史报表或 CSV 中归档。</w:t>
      </w:r>
    </w:p>
    <w:p w14:paraId="39F7A994">
      <w:pPr>
        <w:pStyle w:val="4"/>
      </w:pPr>
      <w:r>
        <w:t>8.2  两类状态要分开看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2880"/>
        <w:gridCol w:w="4680"/>
      </w:tblGrid>
      <w:tr w14:paraId="47F6F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C986C2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状态维度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EC4F5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示例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5943E0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含义</w:t>
            </w:r>
          </w:p>
        </w:tc>
      </w:tr>
      <w:tr w14:paraId="31CBA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C452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条件状态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FD0F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正常、预警、告警、离线</w:t>
            </w:r>
          </w:p>
        </w:tc>
        <w:tc>
          <w:tcPr>
            <w:tcW w:w="46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09D6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设备当前是否仍满足告警/数据条件</w:t>
            </w:r>
          </w:p>
        </w:tc>
      </w:tr>
      <w:tr w14:paraId="3E770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16BD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流程状态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47F6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未确认、已确认、处理中、已处理、已忽略</w:t>
            </w:r>
          </w:p>
        </w:tc>
        <w:tc>
          <w:tcPr>
            <w:tcW w:w="46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F7F54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人员是否已经接手及完成处置</w:t>
            </w:r>
          </w:p>
        </w:tc>
      </w:tr>
    </w:tbl>
    <w:p w14:paraId="3068C09E">
      <w:pPr>
        <w:spacing w:after="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2"/>
      </w:tblGrid>
      <w:tr w14:paraId="71F4B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tcBorders>
              <w:top w:val="single" w:color="B7C9E2" w:sz="8" w:space="0"/>
              <w:left w:val="single" w:color="B7C9E2" w:sz="8" w:space="0"/>
              <w:bottom w:val="single" w:color="B7C9E2" w:sz="8" w:space="0"/>
              <w:right w:val="single" w:color="B7C9E2" w:sz="8" w:space="0"/>
              <w:insideH w:val="single" w:sz="8" w:space="0"/>
              <w:insideV w:val="single" w:sz="8" w:space="0"/>
            </w:tcBorders>
            <w:shd w:val="clear" w:color="auto" w:fill="EAF4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4124D0">
            <w:pPr>
              <w:spacing w:after="4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20"/>
              </w:rPr>
              <w:t>闭环要求</w:t>
            </w:r>
          </w:p>
          <w:p w14:paraId="587DC37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告警处理记录应包含时间、责任人、现象、判断、动作和结果；只点击“确认”而不补充处置信息，无法形成完整闭环。</w:t>
            </w:r>
          </w:p>
        </w:tc>
      </w:tr>
    </w:tbl>
    <w:p w14:paraId="49558CAB">
      <w:pPr>
        <w:spacing w:after="0"/>
      </w:pPr>
    </w:p>
    <w:p w14:paraId="30CF0F5D">
      <w:pPr>
        <w:pStyle w:val="3"/>
      </w:pPr>
      <w:r>
        <w:t>9  历史、报表与导出</w:t>
      </w:r>
    </w:p>
    <w:p w14:paraId="176BBA7D">
      <w:pPr>
        <w:pStyle w:val="4"/>
      </w:pPr>
      <w:r>
        <w:t>9.1  历史数据下载</w:t>
      </w:r>
    </w:p>
    <w:p w14:paraId="66485F1E">
      <w:r>
        <w:rPr>
          <w:rFonts w:ascii="微软雅黑" w:hAnsi="微软雅黑" w:eastAsia="微软雅黑"/>
          <w:b w:val="0"/>
          <w:i w:val="0"/>
          <w:sz w:val="22"/>
        </w:rPr>
        <w:t>历史数据下载按时间、设备编码和测点筛选诊断结果，可导出 CSV。导出前先确认时间范围、设备和测点，避免把不同设备或不同测点混在一个分析批次中。</w:t>
      </w:r>
    </w:p>
    <w:p w14:paraId="533A1E81">
      <w:pPr>
        <w:pStyle w:val="4"/>
      </w:pPr>
      <w:r>
        <w:t>9.2  机器大脑趋势导出</w:t>
      </w:r>
    </w:p>
    <w:p w14:paraId="435E199C">
      <w:r>
        <w:rPr>
          <w:rFonts w:ascii="微软雅黑" w:hAnsi="微软雅黑" w:eastAsia="微软雅黑"/>
          <w:b w:val="0"/>
          <w:i w:val="0"/>
          <w:sz w:val="22"/>
        </w:rPr>
        <w:t>机器大脑的测点趋势支持导出 CSV 和保存图片。趋势图片适合放入巡检记录，CSV 适合进一步统计或与外部工单系统关联。</w:t>
      </w:r>
    </w:p>
    <w:p w14:paraId="784DBC6D">
      <w:pPr>
        <w:pStyle w:val="4"/>
      </w:pPr>
      <w:r>
        <w:t>9.3  PHM 报表中心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3384"/>
        <w:gridCol w:w="4392"/>
      </w:tblGrid>
      <w:tr w14:paraId="4B6B18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5CFED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页签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C4E25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筛选项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242EB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8"/>
              </w:rPr>
              <w:t>输出</w:t>
            </w:r>
          </w:p>
        </w:tc>
      </w:tr>
      <w:tr w14:paraId="095D59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BDD9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实时报表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50E9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设备编码（可选）</w:t>
            </w:r>
          </w:p>
        </w:tc>
        <w:tc>
          <w:tcPr>
            <w:tcW w:w="43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3173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当前设备运行/健康/告警概览，支持 CSV</w:t>
            </w:r>
          </w:p>
        </w:tc>
      </w:tr>
      <w:tr w14:paraId="5B7665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CD7B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历史报表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ACA33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组织/节点、设备编码</w:t>
            </w:r>
          </w:p>
        </w:tc>
        <w:tc>
          <w:tcPr>
            <w:tcW w:w="43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6589C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历史运行汇总和告警设备统计，支持 CSV</w:t>
            </w:r>
          </w:p>
        </w:tc>
      </w:tr>
      <w:tr w14:paraId="14C653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3E46F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服务报告</w:t>
            </w:r>
          </w:p>
        </w:tc>
        <w:tc>
          <w:tcPr>
            <w:tcW w:w="33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A91F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报告类型、设备等</w:t>
            </w:r>
          </w:p>
        </w:tc>
        <w:tc>
          <w:tcPr>
            <w:tcW w:w="439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6546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登记、下载和删除服务报告附件</w:t>
            </w:r>
          </w:p>
        </w:tc>
      </w:tr>
    </w:tbl>
    <w:p w14:paraId="69CBE60F">
      <w:pPr>
        <w:spacing w:after="0"/>
      </w:pPr>
    </w:p>
    <w:p w14:paraId="2D686C5A">
      <w:pPr>
        <w:pStyle w:val="4"/>
      </w:pPr>
      <w:r>
        <w:t>9.4  导出注意事项</w:t>
      </w:r>
    </w:p>
    <w:p w14:paraId="61083A7C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导出权限受角色控制；没有导出按钮时联系管理员。</w:t>
      </w:r>
    </w:p>
    <w:p w14:paraId="0F5C1E45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CSV 是当前筛选结果的快照，不会自动随平台数据更新。</w:t>
      </w:r>
    </w:p>
    <w:p w14:paraId="32793A19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服务报告附件应使用清晰、可追溯的文件名，并在报告标题或摘要中写明设备、时间和工单信息。</w:t>
      </w:r>
    </w:p>
    <w:p w14:paraId="64BA1D77">
      <w:pPr>
        <w:pStyle w:val="3"/>
      </w:pPr>
      <w:r>
        <w:t>10  常见问题与排查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3528"/>
        <w:gridCol w:w="3744"/>
      </w:tblGrid>
      <w:tr w14:paraId="387BDE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0D9BE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现象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2C282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优先检查</w:t>
            </w:r>
          </w:p>
        </w:tc>
        <w:tc>
          <w:tcPr>
            <w:tcW w:w="321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94132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处理建议</w:t>
            </w:r>
          </w:p>
        </w:tc>
      </w:tr>
      <w:tr w14:paraId="3C498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1DE16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看不到某个菜单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91AF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角色权限、数据范围、菜单迁移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C4E4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让管理员确认账号是否拥有对应页面权限及所属组织范围</w:t>
            </w:r>
          </w:p>
        </w:tc>
      </w:tr>
      <w:tr w14:paraId="73F2B9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DD5E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实时页无设备/测点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4F7E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设备编码、测点配置、数据权限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3447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在配置管理确认设备和测点存在，再确认账号能看到该设备</w:t>
            </w:r>
          </w:p>
        </w:tc>
      </w:tr>
      <w:tr w14:paraId="195E23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1080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设备离线或延迟高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7746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采集端、MAT TCP/8888、WebSocket ticket、通道启用状态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EA7CF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先刷新，再检查采集服务和通道映射；不要把离线当成正常</w:t>
            </w:r>
          </w:p>
        </w:tc>
      </w:tr>
      <w:tr w14:paraId="6FD062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419F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文件长期待映射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5E91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设备/测点/物理通道绑定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36B2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在文件台账点击关联测点，选择设备、测点和启用通道</w:t>
            </w:r>
          </w:p>
        </w:tc>
      </w:tr>
      <w:tr w14:paraId="0E1FDE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0848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文件接收失败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0DE6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异常信息、文件格式、重复文件、权限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41D5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按错误提示修正；允许时点击重新接收</w:t>
            </w:r>
          </w:p>
        </w:tc>
      </w:tr>
      <w:tr w14:paraId="79FC67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0BA4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诊断没有结果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6295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文件状态、模型版本、任务状态、服务日志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3294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确认文件已校验并入队，模型已发布绑定，等待任务完成后刷新</w:t>
            </w:r>
          </w:p>
        </w:tc>
      </w:tr>
      <w:tr w14:paraId="664496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DBD3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告警已确认但仍存在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B998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条件状态与流程状态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4548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确认不清除触发条件；查看当前值和趋势，完成处置或等待条件恢复</w:t>
            </w:r>
          </w:p>
        </w:tc>
      </w:tr>
      <w:tr w14:paraId="666F8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4B44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油液页提示服务未接入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D120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油液接口是否启用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9081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当前部署为预留页面时不要依据空白数据判断设备，联系管理员确认接口计划</w:t>
            </w:r>
          </w:p>
        </w:tc>
      </w:tr>
      <w:tr w14:paraId="66230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3A10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CSV 打开乱码</w:t>
            </w:r>
          </w:p>
        </w:tc>
        <w:tc>
          <w:tcPr>
            <w:tcW w:w="352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1F10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打开方式与编码</w:t>
            </w:r>
          </w:p>
        </w:tc>
        <w:tc>
          <w:tcPr>
            <w:tcW w:w="37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4B9E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 Excel 中选择 UTF-8 编码导入，或使用支持 UTF-8 的文本工具打开</w:t>
            </w:r>
          </w:p>
        </w:tc>
      </w:tr>
    </w:tbl>
    <w:p w14:paraId="35937BED">
      <w:pPr>
        <w:spacing w:after="0"/>
      </w:pPr>
    </w:p>
    <w:p w14:paraId="0A9E6113">
      <w:pPr>
        <w:pStyle w:val="4"/>
      </w:pPr>
      <w:r>
        <w:t>10.1  联系管理员时应提供的信息</w:t>
      </w:r>
    </w:p>
    <w:p w14:paraId="511F3EAC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账号、菜单名称、设备编码、测点编码和发生时间。</w:t>
      </w:r>
    </w:p>
    <w:p w14:paraId="278F6959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页面截图、浏览器控制台/提示信息、文件名和台账状态。</w:t>
      </w:r>
    </w:p>
    <w:p w14:paraId="5F34EB0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告警编号、诊断任务编号或报告编号；不要只描述“页面没反应”。</w:t>
      </w:r>
    </w:p>
    <w:p w14:paraId="01CBD54B">
      <w:pPr>
        <w:pStyle w:val="16"/>
      </w:pPr>
      <w:r>
        <w:rPr>
          <w:rFonts w:ascii="微软雅黑" w:hAnsi="微软雅黑" w:eastAsia="微软雅黑"/>
          <w:b w:val="0"/>
          <w:i w:val="0"/>
          <w:sz w:val="22"/>
        </w:rPr>
        <w:t>是否只有单个设备异常、是否所有设备异常，以及刷新后是否恢复。</w:t>
      </w:r>
    </w:p>
    <w:p w14:paraId="2CF1C84A">
      <w:pPr>
        <w:pStyle w:val="3"/>
      </w:pPr>
      <w:r>
        <w:t>附录 A  页面地图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2880"/>
        <w:gridCol w:w="3096"/>
        <w:gridCol w:w="1944"/>
      </w:tblGrid>
      <w:tr w14:paraId="3BA0DF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B9B1FC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5"/>
              </w:rPr>
              <w:t>菜单</w:t>
            </w:r>
          </w:p>
        </w:tc>
        <w:tc>
          <w:tcPr>
            <w:tcW w:w="24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7BAEF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5"/>
              </w:rPr>
              <w:t>页面入口</w:t>
            </w:r>
          </w:p>
        </w:tc>
        <w:tc>
          <w:tcPr>
            <w:tcW w:w="24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18549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5"/>
              </w:rPr>
              <w:t>前端页面组件</w:t>
            </w:r>
          </w:p>
        </w:tc>
        <w:tc>
          <w:tcPr>
            <w:tcW w:w="24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779D4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5"/>
              </w:rPr>
              <w:t>用途</w:t>
            </w:r>
          </w:p>
        </w:tc>
      </w:tr>
      <w:tr w14:paraId="684CA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1B86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3EFE2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/monitoring-center/index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AEA2A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monitoring-center/index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CC5F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实时监测工作台</w:t>
            </w:r>
          </w:p>
        </w:tc>
      </w:tr>
      <w:tr w14:paraId="764BAB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A9C0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3B0A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/monitoring-center/oil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3289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monitoring-center/oil/index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ADDC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在线油液监测预留页面</w:t>
            </w:r>
          </w:p>
        </w:tc>
      </w:tr>
      <w:tr w14:paraId="7D48D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81E4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90C88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/monitoring-center/vibration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9170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system/vibration/index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81AA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振动分析工作台</w:t>
            </w:r>
          </w:p>
        </w:tc>
      </w:tr>
      <w:tr w14:paraId="26569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8BF9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DC71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/monitoring-center/temperature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BE96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system/temperature/index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F4C8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温度分析工作台</w:t>
            </w:r>
          </w:p>
        </w:tc>
      </w:tr>
      <w:tr w14:paraId="20BB0D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AC73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3B61B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/monitoring-center/multi-channel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B8C0E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system/vibration/multiChannelIndex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23FA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八通道振动监控</w:t>
            </w:r>
          </w:p>
        </w:tc>
      </w:tr>
      <w:tr w14:paraId="4CD564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4A8A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EEAD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/monitoring-center/files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E278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sensor/ingest/files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C8D15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振动文件接收台账</w:t>
            </w:r>
          </w:p>
        </w:tc>
      </w:tr>
      <w:tr w14:paraId="1050EF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6089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监测与数据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33E3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/monitoring-center/history-data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682A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monitoring-center/history-data/index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E2BF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历史数据查询与 CSV</w:t>
            </w:r>
          </w:p>
        </w:tc>
      </w:tr>
      <w:tr w14:paraId="3CD80E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85E3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诊断分析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93577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/analysis-toolkit/bearing-diagnosis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83012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monitor/diagnosis/index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7E0E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齿轮/轴承智能诊断</w:t>
            </w:r>
          </w:p>
        </w:tc>
      </w:tr>
      <w:tr w14:paraId="0FAF92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9EB9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A88E9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/phm/cluster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71E46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phm/cluster/index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2E99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设备集群</w:t>
            </w:r>
          </w:p>
        </w:tc>
      </w:tr>
      <w:tr w14:paraId="605FD2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3E4D5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C2C3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/phm/points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9E854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sensor/access/points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54434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测点接入</w:t>
            </w:r>
          </w:p>
        </w:tc>
      </w:tr>
      <w:tr w14:paraId="14122B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E04B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A6F7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/phm/brain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9E8CC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phm/brain/index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354A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机器大脑</w:t>
            </w:r>
          </w:p>
        </w:tc>
      </w:tr>
      <w:tr w14:paraId="2FED09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BF6D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34BD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/phm/alarms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20D57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phm/alarms/index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1994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告警中心</w:t>
            </w:r>
          </w:p>
        </w:tc>
      </w:tr>
      <w:tr w14:paraId="71DBCF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EB16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8F7B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/phm/events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347AF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phm/events/index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EBA4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设备大事记</w:t>
            </w:r>
          </w:p>
        </w:tc>
      </w:tr>
      <w:tr w14:paraId="79FCE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F76CED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2889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/phm/reports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0F450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phm/reports/index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57B23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报表中心</w:t>
            </w:r>
          </w:p>
        </w:tc>
      </w:tr>
      <w:tr w14:paraId="472927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F47BB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 中心</w:t>
            </w:r>
          </w:p>
        </w:tc>
        <w:tc>
          <w:tcPr>
            <w:tcW w:w="28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D2D4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/phm/config</w:t>
            </w:r>
          </w:p>
        </w:tc>
        <w:tc>
          <w:tcPr>
            <w:tcW w:w="309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EEE9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phm/config/index</w:t>
            </w:r>
          </w:p>
        </w:tc>
        <w:tc>
          <w:tcPr>
            <w:tcW w:w="194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FA4E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配置管理</w:t>
            </w:r>
          </w:p>
        </w:tc>
      </w:tr>
    </w:tbl>
    <w:p w14:paraId="7482147F">
      <w:pPr>
        <w:spacing w:after="0"/>
      </w:pPr>
    </w:p>
    <w:p w14:paraId="03D8B127">
      <w:pPr>
        <w:pStyle w:val="3"/>
      </w:pPr>
      <w:r>
        <w:t>附录 B  常用术语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984"/>
      </w:tblGrid>
      <w:tr w14:paraId="0628DD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B20A3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术语</w:t>
            </w:r>
          </w:p>
        </w:tc>
        <w:tc>
          <w:tcPr>
            <w:tcW w:w="48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AB5AD"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F4D78"/>
                <w:sz w:val="17"/>
              </w:rPr>
              <w:t>说明</w:t>
            </w:r>
          </w:p>
        </w:tc>
      </w:tr>
      <w:tr w14:paraId="63897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C3EA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C91C6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可被平台监测和管理的工业资产，具有设备编码和状态</w:t>
            </w:r>
          </w:p>
        </w:tc>
      </w:tr>
      <w:tr w14:paraId="0F9787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EAB5AA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测点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EE9C3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设备上的一个振动或温度监测位置/信号点</w:t>
            </w:r>
          </w:p>
        </w:tc>
      </w:tr>
      <w:tr w14:paraId="4A34E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86777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物理通道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C722C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采集端的通道号，当前测点接入支持 1～8 通道</w:t>
            </w:r>
          </w:p>
        </w:tc>
      </w:tr>
      <w:tr w14:paraId="426EE0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487A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RMS / Peak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40D0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振动有效值与峰值，用于快速判断振动幅值变化</w:t>
            </w:r>
          </w:p>
        </w:tc>
      </w:tr>
      <w:tr w14:paraId="1BA832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70CFC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FFT / 包络频谱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5A6AF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频域与包络分析视图，用于观察特征频率和冲击成分</w:t>
            </w:r>
          </w:p>
        </w:tc>
      </w:tr>
      <w:tr w14:paraId="3E7A5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5703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健康指数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B58C1E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平台基于当前数据和诊断结果形成的健康度指标；无结果时为空不等于 0</w:t>
            </w:r>
          </w:p>
        </w:tc>
      </w:tr>
      <w:tr w14:paraId="78DCB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85A371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置信度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0EC79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模型对当前诊断结果的可信程度，应与数据质量和证据指标一起阅读</w:t>
            </w:r>
          </w:p>
        </w:tc>
      </w:tr>
      <w:tr w14:paraId="3492E0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A3512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条件状态 / 流程状态</w:t>
            </w:r>
          </w:p>
        </w:tc>
        <w:tc>
          <w:tcPr>
            <w:tcW w:w="698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  <w:insideH w:val="single" w:sz="6" w:space="0"/>
              <w:insideV w:val="single" w:sz="6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744C8"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前者描述当前是否满足告警条件，后者描述人员处置进度</w:t>
            </w:r>
          </w:p>
        </w:tc>
      </w:tr>
    </w:tbl>
    <w:p w14:paraId="0AFD6272">
      <w:pPr>
        <w:spacing w:after="0"/>
      </w:pPr>
    </w:p>
    <w:p w14:paraId="3085589E">
      <w:pPr>
        <w:pStyle w:val="3"/>
      </w:pPr>
      <w:r>
        <w:t>附录 C  版本说明</w:t>
      </w:r>
    </w:p>
    <w:p w14:paraId="3DC8D3E3">
      <w:r>
        <w:rPr>
          <w:rFonts w:ascii="微软雅黑" w:hAnsi="微软雅黑" w:eastAsia="微软雅黑"/>
          <w:b w:val="0"/>
          <w:i w:val="0"/>
          <w:sz w:val="22"/>
        </w:rPr>
        <w:t>本说明书版本 1.0，按当前源码中的菜单迁移、路由、页面组件和接口调用整理。页面字段、按钮、权限和接口状态可能随部署配置或后续迭代变化；发生差异时，以实际页面提示和管理员发布的变更说明为准。</w:t>
      </w:r>
    </w:p>
    <w:sectPr>
      <w:headerReference r:id="rId5" w:type="default"/>
      <w:footerReference r:id="rId6" w:type="default"/>
      <w:pgSz w:w="12240" w:h="15840"/>
      <w:pgMar w:top="1181" w:right="1296" w:bottom="1094" w:left="1296" w:header="547" w:footer="51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+中文标题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B8ECE">
    <w:pPr>
      <w:pStyle w:val="24"/>
      <w:jc w:val="center"/>
    </w:pPr>
    <w:r>
      <w:rPr>
        <w:rFonts w:ascii="微软雅黑" w:hAnsi="微软雅黑" w:eastAsia="微软雅黑"/>
        <w:b w:val="0"/>
        <w:i w:val="0"/>
        <w:color w:val="666666"/>
        <w:sz w:val="17"/>
      </w:rPr>
      <w:t xml:space="preserve">内部使用  |  版本 1.0  | 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微软雅黑" w:hAnsi="微软雅黑" w:eastAsia="微软雅黑"/>
        <w:b w:val="0"/>
        <w:i w:val="0"/>
        <w:color w:val="66666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1" w:lineRule="auto"/>
      </w:pPr>
      <w:r>
        <w:separator/>
      </w:r>
    </w:p>
  </w:footnote>
  <w:footnote w:type="continuationSeparator" w:id="1">
    <w:p>
      <w:pPr>
        <w:spacing w:before="0" w:after="0" w:line="281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A64D2">
    <w:pPr>
      <w:pStyle w:val="25"/>
      <w:jc w:val="right"/>
    </w:pPr>
    <w:r>
      <w:rPr>
        <w:rFonts w:ascii="微软雅黑" w:hAnsi="微软雅黑" w:eastAsia="微软雅黑"/>
        <w:b w:val="0"/>
        <w:i w:val="0"/>
        <w:color w:val="666666"/>
        <w:sz w:val="17"/>
      </w:rPr>
      <w:t>工业设备智能诊断平台  ·  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CBD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1" w:lineRule="auto"/>
    </w:pPr>
    <w:rPr>
      <w:rFonts w:ascii="微软雅黑" w:hAnsi="微软雅黑" w:eastAsia="微软雅黑" w:cstheme="minorBidi"/>
      <w:color w:val="333333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00" w:after="140" w:line="276" w:lineRule="auto"/>
      <w:outlineLvl w:val="0"/>
    </w:pPr>
    <w:rPr>
      <w:rFonts w:cs="仿宋" w:asciiTheme="majorAscii" w:hAnsiTheme="majorAscii" w:eastAsiaTheme="majorEastAsia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00" w:line="276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spacing w:after="60" w:line="264" w:lineRule="auto"/>
      <w:contextualSpacing/>
    </w:pPr>
    <w:rPr>
      <w:rFonts w:ascii="微软雅黑" w:hAnsi="微软雅黑" w:eastAsia="微软雅黑"/>
      <w:sz w:val="20"/>
    </w:r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60" w:line="264" w:lineRule="auto"/>
      <w:contextualSpacing/>
    </w:pPr>
    <w:rPr>
      <w:rFonts w:ascii="微软雅黑" w:hAnsi="微软雅黑" w:eastAsia="微软雅黑"/>
      <w:sz w:val="2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微软雅黑" w:hAnsi="微软雅黑" w:eastAsia="微软雅黑"/>
      <w:b/>
      <w:bCs/>
      <w:color w:val="666666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60" w:line="264" w:lineRule="auto"/>
      <w:contextualSpacing/>
    </w:pPr>
    <w:rPr>
      <w:rFonts w:ascii="微软雅黑" w:hAnsi="微软雅黑" w:eastAsia="微软雅黑"/>
      <w:sz w:val="2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spacing w:after="60" w:line="264" w:lineRule="auto"/>
      <w:contextualSpacing/>
    </w:pPr>
    <w:rPr>
      <w:rFonts w:ascii="微软雅黑" w:hAnsi="微软雅黑" w:eastAsia="微软雅黑"/>
      <w:sz w:val="20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cs="仿宋" w:asciiTheme="majorAscii" w:hAnsiTheme="majorAscii" w:eastAsiaTheme="majorEastAsia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jpe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2948</Words>
  <Characters>3029</Characters>
  <Lines>0</Lines>
  <Paragraphs>0</Paragraphs>
  <TotalTime>3</TotalTime>
  <ScaleCrop>false</ScaleCrop>
  <LinksUpToDate>false</LinksUpToDate>
  <CharactersWithSpaces>3143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nostos</dc:creator>
  <dc:description>generated by python-docx</dc:description>
  <cp:keywords>PHM, 设备健康管理, 振动监测, 智能诊断</cp:keywords>
  <cp:lastModifiedBy>nostos</cp:lastModifiedBy>
  <dcterms:modified xsi:type="dcterms:W3CDTF">2026-08-18T07:41:29Z</dcterms:modified>
  <dc:subject>振动、温度监测与智能诊断操作指南</dc:subject>
  <dc:title>工业设备健康管理平台使用说明书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eyJoZGlkIjoiNGUyYmZkZmJkNWI0OGU2MGFhMDExNTQ1Y2I3M2UzYTAiLCJ1c2VySWQiOiIxNTk3MjE0Mzc5In0=</vt:lpwstr>
  </property>
  <property fmtid="{D5CDD505-2E9C-101B-9397-08002B2CF9AE}" pid="3" name="KSOProductBuildVer">
    <vt:lpwstr>2052-12.1.0.28043</vt:lpwstr>
  </property>
  <property fmtid="{D5CDD505-2E9C-101B-9397-08002B2CF9AE}" pid="4" name="ICV">
    <vt:lpwstr>4F8375C2FDF94136971A148AC07BF94C_12</vt:lpwstr>
  </property>
</Properties>
</file>