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303CB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0" w:name="_Toc13415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会议记录</w:t>
      </w:r>
    </w:p>
    <w:p w14:paraId="36A9EC07">
      <w:pPr>
        <w:ind w:left="-2" w:leftChars="-1" w:firstLine="2280" w:firstLineChars="950"/>
        <w:rPr>
          <w:rFonts w:hint="eastAsia"/>
          <w:sz w:val="24"/>
        </w:rPr>
      </w:pPr>
    </w:p>
    <w:p w14:paraId="72587FD5">
      <w:pPr>
        <w:jc w:val="center"/>
        <w:rPr>
          <w:rFonts w:hint="eastAsia"/>
          <w:b/>
          <w:sz w:val="18"/>
          <w:szCs w:val="20"/>
        </w:rPr>
      </w:pPr>
    </w:p>
    <w:p w14:paraId="468535A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ACD8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E6700C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72E298B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70C641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01DB8D47">
      <w:pPr>
        <w:jc w:val="left"/>
        <w:rPr>
          <w:rStyle w:val="5"/>
          <w:rFonts w:hint="eastAsia" w:ascii="宋体" w:hAnsi="宋体"/>
          <w:sz w:val="24"/>
        </w:rPr>
      </w:pPr>
    </w:p>
    <w:p w14:paraId="5D920CC9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  <w:r>
        <w:rPr>
          <w:rStyle w:val="5"/>
          <w:rFonts w:hint="eastAsia" w:ascii="宋体" w:hAnsi="宋体"/>
          <w:sz w:val="24"/>
        </w:rPr>
        <w:t xml:space="preserve">          </w:t>
      </w:r>
      <w:r>
        <w:rPr>
          <w:rStyle w:val="5"/>
          <w:rFonts w:hint="eastAsia" w:ascii="宋体" w:hAnsi="宋体"/>
          <w:sz w:val="24"/>
          <w:lang w:val="en-US" w:eastAsia="zh-CN"/>
        </w:rPr>
        <w:t>项目计划</w:t>
      </w:r>
      <w:r>
        <w:rPr>
          <w:rStyle w:val="5"/>
          <w:rFonts w:hint="eastAsia" w:ascii="宋体" w:hAnsi="宋体"/>
          <w:sz w:val="24"/>
        </w:rPr>
        <w:t>日期：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5"/>
          <w:rFonts w:hint="eastAsia" w:ascii="宋体" w:hAnsi="宋体"/>
          <w:sz w:val="24"/>
          <w:u w:val="single"/>
        </w:rPr>
        <w:t xml:space="preserve">  </w:t>
      </w:r>
      <w:r>
        <w:rPr>
          <w:rStyle w:val="5"/>
          <w:rFonts w:hint="eastAsia" w:ascii="宋体" w:hAnsi="宋体"/>
          <w:sz w:val="24"/>
        </w:rPr>
        <w:t>年</w:t>
      </w:r>
      <w:r>
        <w:rPr>
          <w:rStyle w:val="5"/>
          <w:rFonts w:hint="eastAsia" w:ascii="宋体" w:hAnsi="宋体"/>
          <w:sz w:val="24"/>
          <w:u w:val="single"/>
        </w:rPr>
        <w:t xml:space="preserve">  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12</w:t>
      </w:r>
      <w:r>
        <w:rPr>
          <w:rStyle w:val="5"/>
          <w:rFonts w:hint="eastAsia" w:ascii="宋体" w:hAnsi="宋体"/>
          <w:sz w:val="24"/>
        </w:rPr>
        <w:t>月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10</w:t>
      </w:r>
      <w:r>
        <w:rPr>
          <w:rStyle w:val="5"/>
          <w:rFonts w:hint="eastAsia" w:ascii="宋体" w:hAnsi="宋体"/>
          <w:sz w:val="24"/>
        </w:rPr>
        <w:t>日</w:t>
      </w:r>
    </w:p>
    <w:p w14:paraId="4A336E2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4E0F5AC8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06E2F288">
      <w:pPr>
        <w:spacing w:before="480" w:after="480" w:line="288" w:lineRule="auto"/>
        <w:ind w:left="0"/>
      </w:pPr>
    </w:p>
    <w:p w14:paraId="5689E48F">
      <w:pPr>
        <w:spacing w:before="480" w:after="480" w:line="288" w:lineRule="auto"/>
        <w:ind w:left="0"/>
      </w:pPr>
    </w:p>
    <w:p w14:paraId="6D068D8F">
      <w:pPr>
        <w:spacing w:before="480" w:after="480" w:line="288" w:lineRule="auto"/>
        <w:ind w:left="0"/>
      </w:pPr>
    </w:p>
    <w:p w14:paraId="17029234">
      <w:pPr>
        <w:spacing w:before="480" w:after="480" w:line="288" w:lineRule="auto"/>
        <w:ind w:left="0"/>
      </w:pPr>
    </w:p>
    <w:p w14:paraId="28C8A600">
      <w:pPr>
        <w:spacing w:before="320" w:after="120" w:line="288" w:lineRule="auto"/>
        <w:ind w:left="0"/>
        <w:jc w:val="left"/>
        <w:outlineLvl w:val="1"/>
      </w:pPr>
      <w:bookmarkStart w:id="1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1"/>
    </w:p>
    <w:p w14:paraId="3F2E7A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会议主题：项目代码规范确认与冲刺任务部署</w:t>
      </w:r>
    </w:p>
    <w:p w14:paraId="5CB655F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会议时间：2025.12.10</w:t>
      </w:r>
    </w:p>
    <w:p w14:paraId="4FAB8DB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会议地点：求真楼会议室</w:t>
      </w:r>
    </w:p>
    <w:p w14:paraId="52919DF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参会成员：陈鹏宇、杨俊杰、王杰铭、潘攀兆（全员出席）</w:t>
      </w:r>
    </w:p>
    <w:p w14:paraId="4A5B12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记录人：陈鹏宇</w:t>
      </w:r>
    </w:p>
    <w:p w14:paraId="3C7A7B9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会议时长：32分钟</w:t>
      </w:r>
    </w:p>
    <w:p w14:paraId="454226FF">
      <w:pPr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ascii="Arial" w:hAnsi="Arial" w:eastAsia="等线" w:cs="Arial"/>
          <w:b/>
          <w:sz w:val="32"/>
        </w:rPr>
        <w:t>二、核心议题讨论：项目代码规范体系确认</w:t>
      </w:r>
      <w:bookmarkEnd w:id="2"/>
    </w:p>
    <w:p w14:paraId="610ED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“城小二”校园即时配送微信小程序的项目特性（微信小程序+Node.js后端+MySQL/Redis存储、双端架构、高频交易场景），为保障代码一致性、可扩展性和安全性，会议正式确定《城小二项目代码规范（V1.0）》，涵盖以下核心维度，全体成员需严格遵照执行：</w:t>
      </w:r>
    </w:p>
    <w:p w14:paraId="7939516A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ascii="Arial" w:hAnsi="Arial" w:eastAsia="等线" w:cs="Arial"/>
          <w:b/>
          <w:sz w:val="30"/>
        </w:rPr>
        <w:t>（一）核心原则统一</w:t>
      </w:r>
      <w:bookmarkEnd w:id="3"/>
    </w:p>
    <w:p w14:paraId="1877D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明确以“一致性、安全性、可维护性、兼容性、性能优先”为核心原则，聚焦支付、用户信息、订单数据等敏感场景的安全保障，要求接口响应速度≤500ms、页面加载时间≤2s，适配多环境运行需求。</w:t>
      </w:r>
    </w:p>
    <w:p w14:paraId="6A4ED3D1">
      <w:pPr>
        <w:spacing w:before="300" w:after="120" w:line="288" w:lineRule="auto"/>
        <w:ind w:left="0"/>
        <w:jc w:val="left"/>
        <w:outlineLvl w:val="2"/>
      </w:pPr>
      <w:bookmarkStart w:id="4" w:name="heading_3"/>
      <w:r>
        <w:rPr>
          <w:rFonts w:ascii="Arial" w:hAnsi="Arial" w:eastAsia="等线" w:cs="Arial"/>
          <w:b/>
          <w:sz w:val="30"/>
        </w:rPr>
        <w:t>（二）目录结构规范</w:t>
      </w:r>
      <w:bookmarkEnd w:id="4"/>
    </w:p>
    <w:p w14:paraId="04340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基于Taro3+Node.js的整体目录结构，前端按功能模块拆分（user/goods/order等），后端遵循“路由→控制器→服务层→模型”分层设计，公共资源（工具函数、组件）统一存放，目录命名采用snake_case格式，避免跨目录冗余引用。</w:t>
      </w:r>
    </w:p>
    <w:p w14:paraId="1BBD9A85">
      <w:pPr>
        <w:spacing w:before="300" w:after="120" w:line="288" w:lineRule="auto"/>
        <w:ind w:left="0"/>
        <w:jc w:val="left"/>
        <w:outlineLvl w:val="2"/>
      </w:pPr>
      <w:bookmarkStart w:id="5" w:name="heading_4"/>
      <w:r>
        <w:rPr>
          <w:rFonts w:ascii="Arial" w:hAnsi="Arial" w:eastAsia="等线" w:cs="Arial"/>
          <w:b/>
          <w:sz w:val="30"/>
        </w:rPr>
        <w:t>（三）编码与命名规范</w:t>
      </w:r>
      <w:bookmarkEnd w:id="5"/>
    </w:p>
    <w:p w14:paraId="0A1C5FE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编码格式：统一2个空格缩进、语句结束加分号、左大括号同行放置，单行长不超过120字符；</w:t>
      </w:r>
    </w:p>
    <w:p w14:paraId="29D8960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命名规则：变量/函数采用小驼峰命名（camelCase），常量采用全大写+下划线（UPPER_SNAKE_CASE），类/构造函数采用大驼峰命名（PascalCase），数据库表/字段采用snake_case格式并统一前缀“cxy_”；</w:t>
      </w:r>
    </w:p>
    <w:p w14:paraId="6B5B9A5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注释要求：文件头部需标注功能、作者、修改日期，核心函数添加JSDoc注释，复杂逻辑补充单行说明，禁止无效注释。</w:t>
      </w:r>
    </w:p>
    <w:p w14:paraId="05236434">
      <w:pPr>
        <w:spacing w:before="300" w:after="120" w:line="288" w:lineRule="auto"/>
        <w:ind w:left="0"/>
        <w:jc w:val="left"/>
        <w:outlineLvl w:val="2"/>
      </w:pPr>
      <w:bookmarkStart w:id="6" w:name="heading_5"/>
      <w:r>
        <w:rPr>
          <w:rFonts w:ascii="Arial" w:hAnsi="Arial" w:eastAsia="等线" w:cs="Arial"/>
          <w:b/>
          <w:sz w:val="30"/>
        </w:rPr>
        <w:t>（四）安全规范重点强调</w:t>
      </w:r>
      <w:bookmarkEnd w:id="6"/>
    </w:p>
    <w:p w14:paraId="652DE18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数据安全：敏感数据（手机号、密码）存储脱敏+传输加密（HTTPS+AES-256），支付参数通过环境变量配置，禁止硬编码；</w:t>
      </w:r>
    </w:p>
    <w:p w14:paraId="146F592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接口安全：核心接口需校验签名（MD5+时间戳防重放），用户接口校验Token，管理员接口额外校验Admin-Token，数据库操作使用参数化查询防注入；</w:t>
      </w:r>
    </w:p>
    <w:p w14:paraId="5A98A8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异常防护：数据库连接失败自动重试、外部接口调用失败提供重试机制，订单支付超时15分钟自动取消，每日数据库加密备份并保留7天。</w:t>
      </w:r>
    </w:p>
    <w:p w14:paraId="533627E1">
      <w:pPr>
        <w:spacing w:before="300" w:after="120" w:line="288" w:lineRule="auto"/>
        <w:ind w:left="0"/>
        <w:jc w:val="left"/>
        <w:outlineLvl w:val="2"/>
      </w:pPr>
      <w:bookmarkStart w:id="7" w:name="heading_6"/>
      <w:bookmarkEnd w:id="7"/>
    </w:p>
    <w:p w14:paraId="138C21AF">
      <w:pPr>
        <w:spacing w:before="320" w:after="120" w:line="288" w:lineRule="auto"/>
        <w:ind w:left="0"/>
        <w:jc w:val="left"/>
        <w:outlineLvl w:val="1"/>
      </w:pPr>
      <w:bookmarkStart w:id="8" w:name="heading_7"/>
      <w:r>
        <w:rPr>
          <w:rFonts w:ascii="Arial" w:hAnsi="Arial" w:eastAsia="等线" w:cs="Arial"/>
          <w:b/>
          <w:sz w:val="32"/>
        </w:rPr>
        <w:t>三、当前任务进展同步</w:t>
      </w:r>
      <w:bookmarkEnd w:id="8"/>
    </w:p>
    <w:p w14:paraId="16D27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结合前期工作推进情况，各成员核心任务进展如下：</w:t>
      </w:r>
    </w:p>
    <w:p w14:paraId="30F2C5A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陈鹏宇：已完成首轮基础功能测试用例设计，详细设计报告初步框架已搭建，项目计划待结合最新进度与规范要求更新；</w:t>
      </w:r>
    </w:p>
    <w:p w14:paraId="01F4518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杨俊杰：前端核心功能模块开发已完成80%，重点页面交互逻辑实现，Gantt图已同步至GitHub，需按规范优化代码格式与注释；</w:t>
      </w:r>
    </w:p>
    <w:p w14:paraId="693159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王杰铭：后端核心接口开发与优化完毕，数据库表结构及Redis缓存配置完成，前后端对接已解决5处接口兼容问题，核心流程联调通畅，需补充代码文档与安全校验细节；</w:t>
      </w:r>
    </w:p>
    <w:p w14:paraId="261CCEB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潘攀兆：用户手册整体框架已确定，涵盖产品概述、操作指南、常见问题等模块，正在收集功能截图与操作步骤素材，需按文档规范调整结构。</w:t>
      </w:r>
    </w:p>
    <w:p w14:paraId="06B540EE">
      <w:pPr>
        <w:spacing w:before="320" w:after="120" w:line="288" w:lineRule="auto"/>
        <w:ind w:left="0"/>
        <w:jc w:val="left"/>
        <w:outlineLvl w:val="1"/>
      </w:pPr>
      <w:bookmarkStart w:id="9" w:name="heading_8"/>
      <w:r>
        <w:rPr>
          <w:rFonts w:ascii="Arial" w:hAnsi="Arial" w:eastAsia="等线" w:cs="Arial"/>
          <w:b/>
          <w:sz w:val="32"/>
        </w:rPr>
        <w:t>四、新阶段核心任务分工确认（截止日期：12月14日/周日）</w:t>
      </w:r>
      <w:bookmarkEnd w:id="9"/>
    </w:p>
    <w:p w14:paraId="0C26F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结合项目进度与代码规范要求，明确各成员冲刺任务及交付标准，所有任务需在12月14日前完成并提交：</w:t>
      </w:r>
    </w:p>
    <w:p w14:paraId="27B9C85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陈鹏宇</w:t>
      </w:r>
    </w:p>
    <w:p w14:paraId="6BF26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核心任务：① 按代码规范完成全流程测试（功能/兼容性/异常场景），记录测试结果并撰写测试报告（明确问题类型、复现步骤及优化建议）；② 修订详细设计报告（补充模块交互细节、与代码规范适配点，确保文档与代码一致）；③ 更新项目计划（结合当前进度与规范要求调整时间节点，同步至Gantt图）。</w:t>
      </w:r>
    </w:p>
    <w:p w14:paraId="574ED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交付要求：测试报告、详细设计报告终版、更新后的项目计划均按“模块-负责人-日期”命名，提交至GitHub“docs/”目录。</w:t>
      </w:r>
    </w:p>
    <w:p w14:paraId="52383F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杨俊杰</w:t>
      </w:r>
    </w:p>
    <w:p w14:paraId="12347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核心任务：① 完成前端开发收尾，按代码规范优化页面交互细节、修复已知问题，确保跨设备适配一致性；② 完善前端代码注释（文件头部注释、核心函数JSDoc注释），通过ESLint校验无报错；③ 动态更新Gantt图（标注规范落地、终版交付等关键节点），同步至GitHub“进度文件”目录；④ 配合王杰铭完成前后端对接收尾，确保前端代码符合接口安全规范。</w:t>
      </w:r>
    </w:p>
    <w:p w14:paraId="60ADA9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交付要求：前端终版代码（通过ESLint校验）、更新后的Gantt图，提交至GitHub对应目录，代码需经至少1名团队成员审查通过。</w:t>
      </w:r>
    </w:p>
    <w:p w14:paraId="4D2526B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王杰铭</w:t>
      </w:r>
    </w:p>
    <w:p w14:paraId="5D3BD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核心任务：① 按代码规范优化后端接口稳定性与安全性，补充后端代码注释与文档（接口说明、安全校验逻辑）；② 完成前后端对接收尾，解决联调中剩余问题，确保全流程无异常；③ 按数据库操作规范核查数据存储安全，更新后端开发文档与接口说明；④ 维护GitHub仓库目录，按规范分类整理所有交付物，确保版本统一可追溯。</w:t>
      </w:r>
    </w:p>
    <w:p w14:paraId="69275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交付要求：后端终版代码（通过代码审查）、更新后的后端开发文档与接口文档，提交至GitHub对应目录，前后端联调终版确认单同步至团队群。</w:t>
      </w:r>
    </w:p>
    <w:p w14:paraId="62CCCC1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潘攀兆</w:t>
      </w:r>
    </w:p>
    <w:p w14:paraId="6AA6D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核心任务：① 按文档规范制作用户手册，内容需逻辑清晰、操作步骤详实，搭配产品截图与示意图，覆盖注册登录、核心功能使用、常见问题解决等全流程；② 手册格式统一、排版简洁，符合用户快速查阅需求，命名遵循“模块-负责人-日期”规范。</w:t>
      </w:r>
    </w:p>
    <w:p w14:paraId="452BC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交付要求：用户手册终版，提交至GitHub“docs/”目录，需经团队审核通过。</w:t>
      </w:r>
    </w:p>
    <w:p w14:paraId="7049EE82">
      <w:pPr>
        <w:spacing w:before="320" w:after="120" w:line="288" w:lineRule="auto"/>
        <w:ind w:left="0"/>
        <w:jc w:val="left"/>
        <w:outlineLvl w:val="1"/>
      </w:pPr>
      <w:bookmarkStart w:id="10" w:name="heading_9"/>
      <w:r>
        <w:rPr>
          <w:rFonts w:ascii="Arial" w:hAnsi="Arial" w:eastAsia="等线" w:cs="Arial"/>
          <w:b/>
          <w:sz w:val="32"/>
        </w:rPr>
        <w:t>五、会议决议</w:t>
      </w:r>
      <w:bookmarkEnd w:id="10"/>
    </w:p>
    <w:p w14:paraId="58E7F23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规范落地：全体成员需在12月11日前完成《城小二项目代码规范（V1.0）》深化学习，确保开发、测试、文档制作全流程贴合规范；</w:t>
      </w:r>
    </w:p>
    <w:p w14:paraId="18B2CDD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进度同步：12月11日-13日每日20:00前在团队群同步当日任务进展，遇到问题即时发起线上讨论，12月13日晚开展进度预复盘，排查未完成项并制定冲刺计划；</w:t>
      </w:r>
    </w:p>
    <w:p w14:paraId="477CC46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bookmarkStart w:id="11" w:name="_GoBack"/>
      <w:bookmarkEnd w:id="11"/>
      <w:r>
        <w:rPr>
          <w:rFonts w:ascii="Arial" w:hAnsi="Arial" w:eastAsia="等线" w:cs="Arial"/>
          <w:sz w:val="22"/>
        </w:rPr>
        <w:t>交付验收：12月14日晚21:00前，所有成员提交最终交付物，王杰铭负责核查GitHub仓库交付物完整性、命名规范性及规范符合性，确认无遗漏后同步至团队群，形成交付验收报告。</w:t>
      </w:r>
    </w:p>
    <w:p w14:paraId="5B3D2E7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8126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3760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EA27D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封面内容"/>
    <w:basedOn w:val="4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2160</Words>
  <Characters>2440</Characters>
  <TotalTime>0</TotalTime>
  <ScaleCrop>false</ScaleCrop>
  <LinksUpToDate>false</LinksUpToDate>
  <CharactersWithSpaces>2463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2025-12-16T14:12:00Z</dcterms:created>
  <dc:creator>Apache POI</dc:creator>
  <cp:lastModifiedBy>微信用户</cp:lastModifiedBy>
  <dcterms:modified xsi:type="dcterms:W3CDTF">2025-12-16T14:14:11Z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8A6CFDC183BD462C8DD389E6571AA30C_12</vt:lpwstr>
  </property>
</Properties>
</file>