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E4542">
      <w:pPr>
        <w:pStyle w:val="2"/>
        <w:jc w:val="both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  <w:bookmarkStart w:id="0" w:name="_Toc22021"/>
      <w:bookmarkStart w:id="1" w:name="heading_0"/>
    </w:p>
    <w:p w14:paraId="14A72349">
      <w:pPr>
        <w:rPr>
          <w:rFonts w:hint="eastAsia"/>
          <w:lang w:val="en-US" w:eastAsia="zh-CN"/>
        </w:rPr>
      </w:pPr>
    </w:p>
    <w:p w14:paraId="532F7EE9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2" w:name="_Toc13174"/>
      <w:r>
        <w:rPr>
          <w:rFonts w:hint="eastAsia" w:ascii="华文新魏" w:eastAsia="华文新魏"/>
          <w:sz w:val="72"/>
          <w:szCs w:val="72"/>
          <w:lang w:val="en-US" w:eastAsia="zh-CN"/>
        </w:rPr>
        <w:t>城小二测试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计划</w:t>
      </w:r>
      <w:bookmarkEnd w:id="2"/>
    </w:p>
    <w:p w14:paraId="1593D5E3">
      <w:pPr>
        <w:ind w:left="-2" w:leftChars="-1" w:firstLine="2280" w:firstLineChars="950"/>
        <w:rPr>
          <w:rFonts w:hint="eastAsia"/>
          <w:sz w:val="24"/>
        </w:rPr>
      </w:pPr>
    </w:p>
    <w:p w14:paraId="058331B4">
      <w:pPr>
        <w:jc w:val="center"/>
        <w:rPr>
          <w:rFonts w:hint="eastAsia"/>
          <w:b/>
          <w:sz w:val="18"/>
          <w:szCs w:val="20"/>
        </w:rPr>
      </w:pPr>
    </w:p>
    <w:p w14:paraId="4C63562F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2" name="图片 2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0E0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2D8A3B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1D60483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3FA4CDC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 xml:space="preserve">杨俊杰 潘攀兆 陈鹏宇 杨铭杰 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75044D1">
      <w:pPr>
        <w:jc w:val="left"/>
        <w:rPr>
          <w:rStyle w:val="8"/>
          <w:rFonts w:hint="eastAsia" w:asciiTheme="minorEastAsia" w:hAnsiTheme="minorEastAsia"/>
          <w:sz w:val="24"/>
        </w:rPr>
      </w:pPr>
    </w:p>
    <w:p w14:paraId="6A5E8DC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8"/>
          <w:rFonts w:hint="eastAsia" w:asciiTheme="minorEastAsia" w:hAnsiTheme="minorEastAsia"/>
          <w:sz w:val="24"/>
        </w:rPr>
        <w:t xml:space="preserve">          </w:t>
      </w:r>
      <w:r>
        <w:rPr>
          <w:rStyle w:val="8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8"/>
          <w:rFonts w:hint="eastAsia" w:asciiTheme="minorEastAsia" w:hAnsiTheme="minorEastAsia"/>
          <w:sz w:val="24"/>
        </w:rPr>
        <w:t>日期：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2026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8"/>
          <w:rFonts w:hint="eastAsia" w:asciiTheme="minorEastAsia" w:hAnsiTheme="minorEastAsia"/>
          <w:sz w:val="24"/>
        </w:rPr>
        <w:t>年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1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</w:rPr>
        <w:t>月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2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</w:rPr>
        <w:t>日</w:t>
      </w:r>
    </w:p>
    <w:p w14:paraId="09E4F98A">
      <w:pPr>
        <w:rPr>
          <w:rFonts w:hint="eastAsia"/>
          <w:lang w:val="en-US" w:eastAsia="zh-CN"/>
        </w:rPr>
      </w:pPr>
    </w:p>
    <w:p w14:paraId="0503C95F">
      <w:pPr>
        <w:rPr>
          <w:rFonts w:hint="eastAsia"/>
          <w:lang w:val="en-US" w:eastAsia="zh-CN"/>
        </w:rPr>
      </w:pPr>
    </w:p>
    <w:p w14:paraId="731238BB">
      <w:pPr>
        <w:rPr>
          <w:rFonts w:hint="eastAsia"/>
          <w:lang w:val="en-US" w:eastAsia="zh-CN"/>
        </w:rPr>
      </w:pPr>
    </w:p>
    <w:p w14:paraId="2F7A4078">
      <w:pPr>
        <w:rPr>
          <w:rFonts w:hint="eastAsia"/>
          <w:lang w:val="en-US" w:eastAsia="zh-CN"/>
        </w:rPr>
      </w:pPr>
    </w:p>
    <w:p w14:paraId="5F786833">
      <w:pPr>
        <w:rPr>
          <w:rFonts w:hint="eastAsia"/>
          <w:lang w:val="en-US" w:eastAsia="zh-CN"/>
        </w:rPr>
      </w:pPr>
    </w:p>
    <w:p w14:paraId="3168605D">
      <w:pPr>
        <w:rPr>
          <w:rFonts w:hint="eastAsia"/>
          <w:lang w:val="en-US" w:eastAsia="zh-CN"/>
        </w:rPr>
      </w:pPr>
    </w:p>
    <w:p w14:paraId="32A0E0FB">
      <w:pPr>
        <w:rPr>
          <w:rFonts w:hint="eastAsia"/>
          <w:lang w:val="en-US" w:eastAsia="zh-CN"/>
        </w:rPr>
      </w:pPr>
    </w:p>
    <w:p w14:paraId="548BC7FF">
      <w:pPr>
        <w:rPr>
          <w:rFonts w:hint="eastAsia"/>
          <w:lang w:val="en-US" w:eastAsia="zh-CN"/>
        </w:rPr>
      </w:pPr>
    </w:p>
    <w:p w14:paraId="605920C4">
      <w:pPr>
        <w:rPr>
          <w:rFonts w:hint="eastAsia"/>
          <w:lang w:val="en-US" w:eastAsia="zh-CN"/>
        </w:rPr>
      </w:pPr>
    </w:p>
    <w:p w14:paraId="1A621731">
      <w:pPr>
        <w:rPr>
          <w:rFonts w:hint="eastAsia"/>
          <w:lang w:val="en-US" w:eastAsia="zh-CN"/>
        </w:rPr>
      </w:pPr>
    </w:p>
    <w:p w14:paraId="0D5867B0">
      <w:pPr>
        <w:rPr>
          <w:rFonts w:hint="eastAsia"/>
          <w:lang w:val="en-US" w:eastAsia="zh-CN"/>
        </w:rPr>
      </w:pPr>
    </w:p>
    <w:p w14:paraId="52070A71">
      <w:pPr>
        <w:rPr>
          <w:rFonts w:hint="eastAsia"/>
          <w:lang w:val="en-US" w:eastAsia="zh-CN"/>
        </w:rPr>
      </w:pPr>
    </w:p>
    <w:p w14:paraId="77E3A6D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0DFC3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70B4347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3ECE8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22DB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5E5B234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3A103B9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城小二微信小程序测试计划</w:t>
            </w:r>
          </w:p>
        </w:tc>
      </w:tr>
    </w:tbl>
    <w:p w14:paraId="5BCB818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09B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275FDC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7F5CC7A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E93C25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7FECC29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03C1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7FEC07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6603E1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243" w:type="dxa"/>
            <w:noWrap w:val="0"/>
            <w:vAlign w:val="top"/>
          </w:tcPr>
          <w:p w14:paraId="708985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CCAB1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2026.1.2</w:t>
            </w:r>
          </w:p>
        </w:tc>
      </w:tr>
      <w:tr w14:paraId="133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1D25A6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0A7D95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739C4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C090AA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2025.12.27</w:t>
            </w:r>
          </w:p>
        </w:tc>
      </w:tr>
    </w:tbl>
    <w:p w14:paraId="06798CC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72FF9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A202EF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1E5EF2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99B74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C9DB0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42DF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A9364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0920F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3EA6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CFAD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1A1AE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4B5130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1"/>
        <w:gridCol w:w="2131"/>
      </w:tblGrid>
      <w:tr w14:paraId="465D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40F13F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0BF0D80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6EE13B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09338C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354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C364D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2025.1.2</w:t>
            </w:r>
          </w:p>
        </w:tc>
        <w:tc>
          <w:tcPr>
            <w:tcW w:w="2130" w:type="dxa"/>
            <w:noWrap w:val="0"/>
            <w:vAlign w:val="top"/>
          </w:tcPr>
          <w:p w14:paraId="2ED770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5E4D75B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7B4FFE4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44E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203872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94AA55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66782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4DCAD7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098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DB06C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259B24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10C0F52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BD6FA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6845F84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330148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AF7395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145BAF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73A459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B3E354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A71402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77D919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A3385E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7DC866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7F95E3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sdt>
      <w:sdtPr>
        <w:rPr>
          <w:rFonts w:ascii="宋体" w:hAnsi="宋体" w:eastAsia="宋体"/>
          <w:sz w:val="21"/>
          <w:szCs w:val="22"/>
        </w:rPr>
        <w:id w:val="147471122"/>
        <w15:color w:val="DBDBDB"/>
        <w:docPartObj>
          <w:docPartGallery w:val="Table of Contents"/>
          <w:docPartUnique/>
        </w:docPartObj>
      </w:sdtPr>
      <w:sdtEndPr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sdtEndPr>
      <w:sdtContent>
        <w:p w14:paraId="5E29779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880893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instrText xml:space="preserve">TOC \o "1-3" \h \u </w:instrText>
          </w: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_Toc13174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城小二测试计划</w:t>
          </w:r>
          <w:r>
            <w:tab/>
          </w:r>
          <w:r>
            <w:fldChar w:fldCharType="begin"/>
          </w:r>
          <w:r>
            <w:instrText xml:space="preserve"> PAGEREF _Toc13174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CBF1AC5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_Toc2749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一、测试项目概述</w:t>
          </w:r>
          <w:r>
            <w:tab/>
          </w:r>
          <w:r>
            <w:fldChar w:fldCharType="begin"/>
          </w:r>
          <w:r>
            <w:instrText xml:space="preserve"> PAGEREF _Toc2749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AE98B9F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_Toc31897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（一）项目背景</w:t>
          </w:r>
          <w:r>
            <w:tab/>
          </w:r>
          <w:r>
            <w:fldChar w:fldCharType="begin"/>
          </w:r>
          <w:r>
            <w:instrText xml:space="preserve"> PAGEREF _Toc31897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6D7D0A64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_Toc30110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（二）测试目标</w:t>
          </w:r>
          <w:r>
            <w:tab/>
          </w:r>
          <w:r>
            <w:fldChar w:fldCharType="begin"/>
          </w:r>
          <w:r>
            <w:instrText xml:space="preserve"> PAGEREF _Toc30110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42F0538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_Toc15790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（三）测试范围</w:t>
          </w:r>
          <w:r>
            <w:tab/>
          </w:r>
          <w:r>
            <w:fldChar w:fldCharType="begin"/>
          </w:r>
          <w:r>
            <w:instrText xml:space="preserve"> PAGEREF _Toc15790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6F03007B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_Toc12115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（四）测试环境</w:t>
          </w:r>
          <w:r>
            <w:tab/>
          </w:r>
          <w:r>
            <w:fldChar w:fldCharType="begin"/>
          </w:r>
          <w:r>
            <w:instrText xml:space="preserve"> PAGEREF _Toc12115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02D02EF8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_Toc4955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二、测试策略</w:t>
          </w:r>
          <w:r>
            <w:tab/>
          </w:r>
          <w:r>
            <w:fldChar w:fldCharType="begin"/>
          </w:r>
          <w:r>
            <w:instrText xml:space="preserve"> PAGEREF _Toc4955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020D9288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_Toc14604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（一）单元测试策略</w:t>
          </w:r>
          <w:r>
            <w:tab/>
          </w:r>
          <w:r>
            <w:fldChar w:fldCharType="begin"/>
          </w:r>
          <w:r>
            <w:instrText xml:space="preserve"> PAGEREF _Toc14604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0E21ED01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_Toc7307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（二）集成测试策略</w:t>
          </w:r>
          <w:r>
            <w:tab/>
          </w:r>
          <w:r>
            <w:fldChar w:fldCharType="begin"/>
          </w:r>
          <w:r>
            <w:instrText xml:space="preserve"> PAGEREF _Toc7307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4679742B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_Toc22152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（三）系统测试策略</w:t>
          </w:r>
          <w:r>
            <w:tab/>
          </w:r>
          <w:r>
            <w:fldChar w:fldCharType="begin"/>
          </w:r>
          <w:r>
            <w:instrText xml:space="preserve"> PAGEREF _Toc22152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7FFEAF95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_Toc5273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（四）用户测试策略</w:t>
          </w:r>
          <w:r>
            <w:tab/>
          </w:r>
          <w:r>
            <w:fldChar w:fldCharType="begin"/>
          </w:r>
          <w:r>
            <w:instrText xml:space="preserve"> PAGEREF _Toc5273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4CE8F9AC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_Toc2553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（五）测试优先级与执行顺序</w:t>
          </w:r>
          <w:r>
            <w:tab/>
          </w:r>
          <w:r>
            <w:fldChar w:fldCharType="begin"/>
          </w:r>
          <w:r>
            <w:instrText xml:space="preserve"> PAGEREF _Toc2553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0F3F8E6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_Toc12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hint="eastAsia" w:ascii="Arial" w:hAnsi="Arial" w:eastAsia="等线" w:cs="Arial"/>
              <w:lang w:val="en-US" w:eastAsia="zh-CN"/>
            </w:rPr>
            <w:t>三</w:t>
          </w:r>
          <w:r>
            <w:rPr>
              <w:rFonts w:ascii="Arial" w:hAnsi="Arial" w:eastAsia="等线" w:cs="Arial"/>
            </w:rPr>
            <w:t>、测试交付物</w:t>
          </w:r>
          <w:r>
            <w:tab/>
          </w:r>
          <w:r>
            <w:fldChar w:fldCharType="begin"/>
          </w:r>
          <w:r>
            <w:instrText xml:space="preserve"> PAGEREF _Toc12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0E2AFC77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_Toc11372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hint="eastAsia" w:ascii="Arial" w:hAnsi="Arial" w:eastAsia="等线" w:cs="Arial"/>
              <w:lang w:val="en-US" w:eastAsia="zh-CN"/>
            </w:rPr>
            <w:t>四</w:t>
          </w:r>
          <w:r>
            <w:rPr>
              <w:rFonts w:ascii="Arial" w:hAnsi="Arial" w:eastAsia="等线" w:cs="Arial"/>
            </w:rPr>
            <w:t>、测试准入与准出标准</w:t>
          </w:r>
          <w:r>
            <w:tab/>
          </w:r>
          <w:r>
            <w:fldChar w:fldCharType="begin"/>
          </w:r>
          <w:r>
            <w:instrText xml:space="preserve"> PAGEREF _Toc11372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39E6B3F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_Toc2034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（一）测试准入标准</w:t>
          </w:r>
          <w:r>
            <w:tab/>
          </w:r>
          <w:r>
            <w:fldChar w:fldCharType="begin"/>
          </w:r>
          <w:r>
            <w:instrText xml:space="preserve"> PAGEREF _Toc2034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04EBE26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_Toc28187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（二）测试准出标准</w:t>
          </w:r>
          <w:r>
            <w:tab/>
          </w:r>
          <w:r>
            <w:fldChar w:fldCharType="begin"/>
          </w:r>
          <w:r>
            <w:instrText xml:space="preserve"> PAGEREF _Toc28187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036D025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_Toc16735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hint="eastAsia" w:ascii="Arial" w:hAnsi="Arial" w:eastAsia="等线" w:cs="Arial"/>
              <w:lang w:val="en-US" w:eastAsia="zh-CN"/>
            </w:rPr>
            <w:t>五</w:t>
          </w:r>
          <w:r>
            <w:rPr>
              <w:rFonts w:ascii="Arial" w:hAnsi="Arial" w:eastAsia="等线" w:cs="Arial"/>
            </w:rPr>
            <w:t>、风险与应对措施</w:t>
          </w:r>
          <w:r>
            <w:tab/>
          </w:r>
          <w:r>
            <w:fldChar w:fldCharType="begin"/>
          </w:r>
          <w:r>
            <w:instrText xml:space="preserve"> PAGEREF _Toc16735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65FBC04D">
          <w:pPr>
            <w:spacing w:before="320" w:after="120" w:line="288" w:lineRule="auto"/>
            <w:ind w:left="0"/>
            <w:jc w:val="left"/>
            <w:outlineLvl w:val="1"/>
            <w:rPr>
              <w:rFonts w:hint="eastAsia" w:ascii="华文新魏" w:hAnsi="Arial" w:eastAsia="华文新魏" w:cs="Arial"/>
              <w:b/>
              <w:bCs/>
              <w:sz w:val="30"/>
              <w:szCs w:val="72"/>
              <w:lang w:val="en-US" w:eastAsia="zh-CN"/>
            </w:rPr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</w:sdtContent>
    </w:sdt>
    <w:p w14:paraId="53668F38">
      <w:pPr>
        <w:spacing w:before="320" w:after="120" w:line="288" w:lineRule="auto"/>
        <w:ind w:left="0"/>
        <w:jc w:val="left"/>
        <w:outlineLvl w:val="1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</w:p>
    <w:p w14:paraId="5C4CC908">
      <w:pPr>
        <w:spacing w:before="320" w:after="120" w:line="288" w:lineRule="auto"/>
        <w:ind w:left="0"/>
        <w:jc w:val="left"/>
        <w:outlineLvl w:val="1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</w:p>
    <w:p w14:paraId="362A7C8F">
      <w:pPr>
        <w:spacing w:before="320" w:after="120" w:line="288" w:lineRule="auto"/>
        <w:ind w:left="0"/>
        <w:jc w:val="left"/>
        <w:outlineLvl w:val="1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</w:p>
    <w:p w14:paraId="05360EA3">
      <w:pPr>
        <w:spacing w:before="320" w:after="120" w:line="288" w:lineRule="auto"/>
        <w:ind w:left="0"/>
        <w:jc w:val="left"/>
        <w:outlineLvl w:val="1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</w:p>
    <w:p w14:paraId="5C3AFAB1">
      <w:pPr>
        <w:spacing w:before="320" w:after="120" w:line="288" w:lineRule="auto"/>
        <w:ind w:left="0"/>
        <w:jc w:val="left"/>
        <w:outlineLvl w:val="9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</w:p>
    <w:p w14:paraId="660CFD77">
      <w:pPr>
        <w:spacing w:before="320" w:after="120" w:line="288" w:lineRule="auto"/>
        <w:ind w:left="0"/>
        <w:jc w:val="left"/>
        <w:outlineLvl w:val="1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</w:p>
    <w:p w14:paraId="6C6EFA3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F3C75B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973AB0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03A8A79">
      <w:pPr>
        <w:spacing w:before="320" w:after="120" w:line="288" w:lineRule="auto"/>
        <w:ind w:left="0"/>
        <w:jc w:val="left"/>
        <w:outlineLvl w:val="1"/>
      </w:pPr>
      <w:bookmarkStart w:id="3" w:name="_Toc2749"/>
      <w:r>
        <w:rPr>
          <w:rFonts w:ascii="Arial" w:hAnsi="Arial" w:eastAsia="等线" w:cs="Arial"/>
          <w:b/>
          <w:sz w:val="32"/>
        </w:rPr>
        <w:t>一、测试项目概述</w:t>
      </w:r>
      <w:bookmarkEnd w:id="1"/>
      <w:bookmarkEnd w:id="3"/>
    </w:p>
    <w:p w14:paraId="7A391D7E">
      <w:pPr>
        <w:spacing w:before="300" w:after="120" w:line="288" w:lineRule="auto"/>
        <w:ind w:left="0"/>
        <w:jc w:val="left"/>
        <w:outlineLvl w:val="2"/>
      </w:pPr>
      <w:bookmarkStart w:id="4" w:name="heading_1"/>
      <w:bookmarkStart w:id="5" w:name="_Toc31897"/>
      <w:r>
        <w:rPr>
          <w:rFonts w:ascii="Arial" w:hAnsi="Arial" w:eastAsia="等线" w:cs="Arial"/>
          <w:b/>
          <w:sz w:val="30"/>
        </w:rPr>
        <w:t>（一）项目背景</w:t>
      </w:r>
      <w:bookmarkEnd w:id="4"/>
      <w:bookmarkEnd w:id="5"/>
    </w:p>
    <w:p w14:paraId="4D59C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城小二是一款面向高校学生群体的校园即时配送微信小程序，聚焦校园内商品购买与即时配送核心需求，涵盖注册登录、收货地址管理、商品浏览与加购、订单创建与管理、支付结算、辅助功能查询等全流程服务。为全面验证小程序从底层代码逻辑到上层用户体验的完整性、稳定性与可用性，确保核心服务流程符合校园用户使用习惯，特制定本测试计划，明确单元测试、集成测试、系统测试及用户测试的执行标准与流程，为测试工作有序开展提供指导。</w:t>
      </w:r>
    </w:p>
    <w:p w14:paraId="00DE6AC2">
      <w:pPr>
        <w:spacing w:before="300" w:after="120" w:line="288" w:lineRule="auto"/>
        <w:ind w:left="0"/>
        <w:jc w:val="left"/>
        <w:outlineLvl w:val="2"/>
      </w:pPr>
      <w:bookmarkStart w:id="6" w:name="_Toc30110"/>
      <w:bookmarkStart w:id="7" w:name="heading_2"/>
      <w:r>
        <w:rPr>
          <w:rFonts w:ascii="Arial" w:hAnsi="Arial" w:eastAsia="等线" w:cs="Arial"/>
          <w:b/>
          <w:sz w:val="30"/>
        </w:rPr>
        <w:t>（二）测试目标</w:t>
      </w:r>
      <w:bookmarkEnd w:id="6"/>
      <w:bookmarkEnd w:id="7"/>
    </w:p>
    <w:p w14:paraId="18DD0B3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单元测试：验证系统独立函数、组件及接口的逻辑正确性，覆盖关键业务逻辑分支与异常处理场景，降低代码层面漏洞风险，保障底层功能可靠。</w:t>
      </w:r>
    </w:p>
    <w:p w14:paraId="0534E40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集成测试：验证核心业务流程中各模块、函数间的交互连贯性与数据传递准确性，确保“加购-下单-支付-订单管理”等关键链路无断点，业务规则执行一致。</w:t>
      </w:r>
    </w:p>
    <w:p w14:paraId="4992E9F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系统测试：验证小程序整体功能完整性、异常场景处理能力及数据一致性，确保全链路服务正常运行，满足校园即时配送核心业务需求。</w:t>
      </w:r>
    </w:p>
    <w:p w14:paraId="46835C7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用户测试：从目标用户视角评估小程序操作便捷性、体验流畅度与功能实用性，收集真实使用反馈，定位用户体验痛点，为优化迭代提供依据。</w:t>
      </w:r>
    </w:p>
    <w:p w14:paraId="7B18EFB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整体目标：保障小程序无影响核心使用的功能缺陷，综合体验符合校园用户预期，支撑校园即时配送服务稳定落地与高效运营。</w:t>
      </w:r>
    </w:p>
    <w:p w14:paraId="41F597DE">
      <w:pPr>
        <w:spacing w:before="300" w:after="120" w:line="288" w:lineRule="auto"/>
        <w:ind w:left="0"/>
        <w:jc w:val="left"/>
        <w:outlineLvl w:val="2"/>
      </w:pPr>
      <w:bookmarkStart w:id="8" w:name="_Toc15790"/>
      <w:bookmarkStart w:id="9" w:name="heading_3"/>
      <w:r>
        <w:rPr>
          <w:rFonts w:ascii="Arial" w:hAnsi="Arial" w:eastAsia="等线" w:cs="Arial"/>
          <w:b/>
          <w:sz w:val="30"/>
        </w:rPr>
        <w:t>（三）测试范围</w:t>
      </w:r>
      <w:bookmarkEnd w:id="8"/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B2B4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4D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F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BB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核心测试内容</w:t>
            </w:r>
          </w:p>
        </w:tc>
      </w:tr>
      <w:tr w14:paraId="0CC2C6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0B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FD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0A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用户表创建、测试用户插入、数据库交互逻辑（含数据库连接失败、用户名重复等异常）</w:t>
            </w:r>
          </w:p>
        </w:tc>
      </w:tr>
      <w:tr w14:paraId="6B60B3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3B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D8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F4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地址管理/选择模式渲染、表单提交、省市区选择器change事件触发、确认按钮状态控制</w:t>
            </w:r>
          </w:p>
        </w:tc>
      </w:tr>
      <w:tr w14:paraId="0C8CBD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EB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1D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B8B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登录逻辑、Token与userInfo存储、密码错误（业务错误）、网络错误、响应格式错误处理</w:t>
            </w:r>
          </w:p>
        </w:tc>
      </w:tr>
      <w:tr w14:paraId="0B80C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B6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C1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A9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订单列表接口调用（含带参数、无参数场景）、请求参数传递正确性</w:t>
            </w:r>
          </w:p>
        </w:tc>
      </w:tr>
      <w:tr w14:paraId="2B848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7D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9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样式导入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A1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Element Plus样式导入有效性、缺失样式导入时的组件表现</w:t>
            </w:r>
          </w:p>
        </w:tc>
      </w:tr>
      <w:tr w14:paraId="0CFF88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F7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4D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加购-确认订单流程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6B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商品加购数据准确性、购物车非空校验、加购数据向订单创建流程传递、订单生成逻辑</w:t>
            </w:r>
          </w:p>
        </w:tc>
      </w:tr>
      <w:tr w14:paraId="65E4D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CD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32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确认订单-下单-订单列表流程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9C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地址完整性校验、订单预览数据传递、正式订单创建、订单列表分类与倒序排序</w:t>
            </w:r>
          </w:p>
        </w:tc>
      </w:tr>
      <w:tr w14:paraId="0C929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CF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24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确认订单-支付流程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7A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订单确认逻辑、支付方式参数传递、支付成功/失败状态处理、订单状态同步更新</w:t>
            </w:r>
          </w:p>
        </w:tc>
      </w:tr>
      <w:tr w14:paraId="42471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E5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D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0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手机号注册、密码登录、密码错误提示、收货地址新增/查看/选择、默认地址设置</w:t>
            </w:r>
          </w:p>
        </w:tc>
      </w:tr>
      <w:tr w14:paraId="641AA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E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01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5A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店铺信息展示、商品分类筛选、商品规格选择、加入购物车、购物车数据更新</w:t>
            </w:r>
          </w:p>
        </w:tc>
      </w:tr>
      <w:tr w14:paraId="343340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5B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B3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32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订单创建、订单列表按状态分类展示、订单详情查看、订单状态更新（待支付/已支付/已完成）</w:t>
            </w:r>
          </w:p>
        </w:tc>
      </w:tr>
      <w:tr w14:paraId="59F9CE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F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9B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14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微信支付流程、支付回调处理、订单金额一致性校验、支付状态同步</w:t>
            </w:r>
          </w:p>
        </w:tc>
      </w:tr>
      <w:tr w14:paraId="0C23B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6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B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FA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配送范围验证（校园外地址限制）、版本更新检测、关于我们页面信息展示、联系方式调用</w:t>
            </w:r>
          </w:p>
        </w:tc>
      </w:tr>
      <w:tr w14:paraId="296C33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33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7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4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库存不足下单、空购物车下单、地址不完整提交、网络异常、接口调用失败</w:t>
            </w:r>
          </w:p>
        </w:tc>
      </w:tr>
      <w:tr w14:paraId="6B1E1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2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BC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E8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注册步骤简洁性、登录响应速度、密码错误提示清晰度、忘记密码功能可用性</w:t>
            </w:r>
          </w:p>
        </w:tc>
      </w:tr>
      <w:tr w14:paraId="0DFB6D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3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8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9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功能入口布局合理性、无图标辅助的文字入口查找便捷性、退出登录流程严谨性、优惠券入口透明度</w:t>
            </w:r>
          </w:p>
        </w:tc>
      </w:tr>
      <w:tr w14:paraId="05988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1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A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4F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地址新增流程复杂度、默认地址优先展示便捷性、下单时地址选择流畅度</w:t>
            </w:r>
          </w:p>
        </w:tc>
      </w:tr>
      <w:tr w14:paraId="3D1E80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4E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68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商品与下单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9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商品信息展示清晰度、分类筛选准确性、商品规格选择便捷性、结算流程简洁度</w:t>
            </w:r>
          </w:p>
        </w:tc>
      </w:tr>
      <w:tr w14:paraId="66E832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4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48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86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订单分类查找便捷性、订单详情信息完整性、订单状态更新实时性、订单评价入口可用性</w:t>
            </w:r>
          </w:p>
        </w:tc>
      </w:tr>
      <w:tr w14:paraId="2DCB7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A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49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75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配送范围提示友好度、客服工作时间透明度、版本更新操作便捷性</w:t>
            </w:r>
          </w:p>
        </w:tc>
      </w:tr>
    </w:tbl>
    <w:p w14:paraId="3ECF1E65">
      <w:pPr>
        <w:spacing w:before="300" w:after="120" w:line="288" w:lineRule="auto"/>
        <w:ind w:left="0"/>
        <w:jc w:val="left"/>
        <w:outlineLvl w:val="2"/>
      </w:pPr>
      <w:bookmarkStart w:id="10" w:name="_Toc12115"/>
      <w:bookmarkStart w:id="11" w:name="heading_4"/>
      <w:r>
        <w:rPr>
          <w:rFonts w:ascii="Arial" w:hAnsi="Arial" w:eastAsia="等线" w:cs="Arial"/>
          <w:b/>
          <w:sz w:val="30"/>
        </w:rPr>
        <w:t>（四）测试环境</w:t>
      </w:r>
      <w:bookmarkEnd w:id="10"/>
      <w:bookmarkEnd w:id="1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EF36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C5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A1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具体配置</w:t>
            </w:r>
          </w:p>
        </w:tc>
      </w:tr>
      <w:tr w14:paraId="3F181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CB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2D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测试设备：智能手机（覆盖Android 10及以上、iOS 14及以上系统版本，含华为、小米、苹果等主流品牌）、电脑（用于脚本执行、数据记录与调试）</w:t>
            </w:r>
          </w:p>
        </w:tc>
      </w:tr>
      <w:tr w14:paraId="2D84D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43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93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小程序版本：v1.0.0&lt;br&gt;测试工具：Node.js、Jest（单元/集成/系统测试框架）、Axios（接口调用与模拟）、Chrome开发者工具（调试）、Element Plus（UI组件库）&lt;br&gt;核心依赖：jest@^29.0.0、axios@^1.0.0</w:t>
            </w:r>
          </w:p>
        </w:tc>
      </w:tr>
      <w:tr w14:paraId="4EA80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C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52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校园稳定Wi-Fi（带宽≥100M）、移动数据（4G/5G）、弱网环境（模拟网络波动）</w:t>
            </w:r>
          </w:p>
        </w:tc>
      </w:tr>
      <w:tr w14:paraId="1885D1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5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75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户：4条测试用户数据（含手机号13800138001/密码123456）、1名真实高校学生测试用户&lt;br&gt;测试商品：正常商品（ID=1001，价格99.9元）、库存为0的异常商品（ID=1002）、带错别字描述的商品（如“番茄鸡蛋蛊洗饭”）&lt;br&gt;测试地址：完整地址（广东省深圳市南山区科技园路1号）、不完整地址（缺失手机号/地区信息）、校园外地址（用于配送范围验证）</w:t>
            </w:r>
          </w:p>
        </w:tc>
      </w:tr>
      <w:tr w14:paraId="257C3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7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FB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单元/集成测试：本地开发环境（Node.js运行环境）&lt;br&gt;系统测试：本地部署环境（服务地址：</w:t>
            </w:r>
            <w:r>
              <w:fldChar w:fldCharType="begin"/>
            </w:r>
            <w:r>
              <w:instrText xml:space="preserve"> HYPERLINK "http://localhost:8080"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http://localhost:8080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，接口前缀：/api）&lt;br&gt;用户测试：校园真实网络环境（Wi-Fi/移动数据）</w:t>
            </w:r>
          </w:p>
        </w:tc>
      </w:tr>
    </w:tbl>
    <w:p w14:paraId="5AC14767">
      <w:pPr>
        <w:spacing w:before="320" w:after="120" w:line="288" w:lineRule="auto"/>
        <w:ind w:left="0"/>
        <w:jc w:val="left"/>
        <w:outlineLvl w:val="1"/>
      </w:pPr>
      <w:bookmarkStart w:id="12" w:name="heading_5"/>
      <w:bookmarkStart w:id="13" w:name="_Toc4955"/>
      <w:r>
        <w:rPr>
          <w:rFonts w:ascii="Arial" w:hAnsi="Arial" w:eastAsia="等线" w:cs="Arial"/>
          <w:b/>
          <w:sz w:val="32"/>
        </w:rPr>
        <w:t>二、测试策略</w:t>
      </w:r>
      <w:bookmarkEnd w:id="12"/>
      <w:bookmarkEnd w:id="13"/>
    </w:p>
    <w:p w14:paraId="6DCD8480">
      <w:pPr>
        <w:spacing w:before="300" w:after="120" w:line="288" w:lineRule="auto"/>
        <w:ind w:left="0"/>
        <w:jc w:val="left"/>
        <w:outlineLvl w:val="2"/>
      </w:pPr>
      <w:bookmarkStart w:id="14" w:name="heading_6"/>
      <w:bookmarkStart w:id="15" w:name="_Toc14604"/>
      <w:r>
        <w:rPr>
          <w:rFonts w:ascii="Arial" w:hAnsi="Arial" w:eastAsia="等线" w:cs="Arial"/>
          <w:b/>
          <w:sz w:val="30"/>
        </w:rPr>
        <w:t>（一）单元测试策略</w:t>
      </w:r>
      <w:bookmarkEnd w:id="14"/>
      <w:bookmarkEnd w:id="15"/>
    </w:p>
    <w:p w14:paraId="133DBFA9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bookmarkStart w:id="16" w:name="_Toc7307"/>
      <w:bookmarkStart w:id="17" w:name="heading_7"/>
      <w:r>
        <w:rPr>
          <w:rFonts w:hint="eastAsia" w:ascii="Arial" w:hAnsi="Arial" w:eastAsia="等线" w:cs="Arial"/>
          <w:sz w:val="22"/>
        </w:rPr>
        <w:t>1. 测试方法：采用白盒测试结合静态代码分析，基于多维度覆盖准则系统性设计用例。具体包括逻辑覆盖（确保每条逻辑语句均被执行）、判定覆盖（覆盖所有判定节点的真假分支）、条件覆盖（验证判定中每个子条件的真假取值）、判定条件覆盖（同时满足判定覆盖与条件覆盖）、点覆盖（覆盖所有程序节点）、边覆盖（覆盖所有程序控制流边）及路径覆盖（遍历所有可能的程序执行路径），确保核心业务逻辑无遗漏。同时，引入静态代码分析工具扫描代码规范、潜在语法漏洞及逻辑隐患，辅助提升测试全面性。</w:t>
      </w:r>
    </w:p>
    <w:p w14:paraId="7C982386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测试对象与范围：明确聚焦独立函数、核心组件及接口层，具体涵盖：登录模块的登录逻辑处理函数、Token生成与存储函数、微信登录调用函数、登录异常处理子函数；购物车模块的商品添加函数（addGoods）、数量更新函数（updateQuantity）、购物车清空函数（clearCart）、总价总数量计算函数（calcTotal）；结算页面模块的购物车数据加载函数、收货地址读取函数、订单金额计算函数、订单提交接口调用函数、提示语触发函数。</w:t>
      </w:r>
    </w:p>
    <w:p w14:paraId="6AB41538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测试流程规范：前置准备：梳理各测试对象的输入输出规范、依赖组件及业务逻辑流程图，明确每个函数/组件的正常输入范围、异常输入场景及预期输出结果；通过Mock工具（如jest.mock）搭建独立测试沙箱，隔离uni-app API、Pinia状态、本地存储等依赖项，确保测试环境的一致性与独立性。</w:t>
      </w:r>
    </w:p>
    <w:p w14:paraId="51B83F74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用例设计：按“基础功能用例-边界值用例-异常场景用例”分层设计。基础功能用例验证正常输入下的功能正确性（如正常登录、新增商品、完整地址加载）；边界值用例针对输入参数的临界值（如商品数量0、1、超大数值，空购物车状态）设计；异常场景用例覆盖微信登录失败、更新不存在商品、未选择地址提交订单、网络接口调用失败等各类异常触发条件。</w:t>
      </w:r>
    </w:p>
    <w:p w14:paraId="0D9328DF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5. 执行与记录：采用自动化执行方式，通过Jest框架编写测试脚本，批量执行单元测试用例。执行过程中实时记录每个用例的执行状态（通过/失败/阻塞）、失败原因（代码逻辑错误/依赖异常/用例设计问题）、实际输出结果与预期偏差。对失败用例进行多次复现，定位问题根源并标记至对应代码行。</w:t>
      </w:r>
    </w:p>
    <w:p w14:paraId="3FF10653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6. 回归验证：开发团队修复缺陷后，优先执行对应模块的单元测试用例，同时联动执行关联模块的核心用例（如购物车更新后联动结算金额计算），避免修复缺陷引入新的问题。回归测试完成后，更新测试记录及缺陷状态。</w:t>
      </w:r>
    </w:p>
    <w:p w14:paraId="74A3B03A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7. 测试重点：输入输出准确性：严格验证不同输入场景（正常输入、边界输入、异常输入）下，函数/组件的返回结果、状态更新数据、接口调用参数是否完全符合设计规范，无数据篡改、缺失或格式错误。</w:t>
      </w:r>
    </w:p>
    <w:p w14:paraId="08DE79B5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8. 异常处理完整性：确保所有预设异常场景均能被正确捕获，且具备清晰的错误处理机制（如触发错误提示、不执行后续流程、保持状态稳定），无程序崩溃、卡死或无响应现象。</w:t>
      </w:r>
    </w:p>
    <w:p w14:paraId="7DD6A39E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9. 逻辑分支覆盖深度：针对复杂判定逻辑（如已登录状态校验、商品是否存在判断、地址选择状态判断），确保每个判定点的真假分支、复合条件的所有子条件取值均被覆盖，无未执行的逻辑死角。</w:t>
      </w:r>
    </w:p>
    <w:p w14:paraId="6BD541B2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10. 依赖隔离有效性：验证Mock依赖的模拟效果，确保测试过程不依赖真实后端服务、微信小程序原生环境或真实用户数据，测试结果不受外部环境波动影响，具备可重复执行性。</w:t>
      </w:r>
    </w:p>
    <w:p w14:paraId="6275A8E7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11. 判定标准：① 所有单元测试用例执行通过率100%，无阻塞用例；② 核心业务逻辑的路径覆盖达100%，非核心逻辑路径覆盖不低于95%；③ 静态代码分析无高危漏洞，中危漏洞不超过2个且已明确修复计划；④ 所有异常场景均能正确处理，错误提示规范、明确；⑤ 函数/接口输入输出、状态更新符合设计预期，无数据一致性问题。</w:t>
      </w:r>
    </w:p>
    <w:p w14:paraId="023F65A5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</w:p>
    <w:p w14:paraId="257BCA58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测试方法：采用白盒测试，基于多维度覆盖准则设计用例，包括逻辑覆盖、判定覆盖、条件覆盖、判定条件覆盖、点覆盖、边覆盖、路径覆盖，确保核心逻辑无遗漏。</w:t>
      </w:r>
    </w:p>
    <w:p w14:paraId="54E35BFF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测试对象：独立函数、组件及接口，具体包括登录逻辑处理函数、购物车核心函数（addGoods/updateQuantity/clearCart/calcTotal）、结算页面数据加载与订单提交函数、uni-app API调用逻辑。</w:t>
      </w:r>
    </w:p>
    <w:p w14:paraId="2CEC8F77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测试重点：</w:t>
      </w:r>
    </w:p>
    <w:p w14:paraId="27B7668A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￮ 输入输出准确性：验证不同输入（如正确/错误登录凭证、新增/重复商品、空/非空购物车）对应的函数返回结果、状态数据与预期一致。</w:t>
      </w:r>
    </w:p>
    <w:p w14:paraId="01E7F49D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￮ 异常处理逻辑：覆盖微信登录失败、更新不存在商品、未选择地址提交订单、接口调用失败等异常场景，验证错误提示与处理机制有效。</w:t>
      </w:r>
    </w:p>
    <w:p w14:paraId="25E654DC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sz w:val="22"/>
        </w:rPr>
        <w:t>￮ 逻辑分支覆盖：确保关键判定点（如已登录状态、商品是否存在、地址是否选择）的真假分支、复合条件的子条件均被测试。</w:t>
      </w:r>
    </w:p>
    <w:p w14:paraId="579BC0B6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￮ 依赖隔离：通过Mock技术隔离uni-app API、Pinia状态、本地存储等外部依赖，聚焦独立逻辑验证，避免外部因素干扰测试结果。</w:t>
      </w:r>
    </w:p>
    <w:p w14:paraId="73DD8966">
      <w:pPr>
        <w:numPr>
          <w:numId w:val="0"/>
        </w:numPr>
        <w:spacing w:before="300" w:after="120" w:line="288" w:lineRule="auto"/>
        <w:ind w:leftChars="0"/>
        <w:jc w:val="left"/>
        <w:outlineLvl w:val="9"/>
      </w:pPr>
      <w:r>
        <w:rPr>
          <w:rFonts w:hint="eastAsia" w:ascii="Arial" w:hAnsi="Arial" w:eastAsia="等线" w:cs="Arial"/>
          <w:b w:val="0"/>
          <w:bCs w:val="0"/>
          <w:sz w:val="32"/>
          <w:szCs w:val="32"/>
          <w:lang w:eastAsia="zh-CN"/>
        </w:rPr>
        <w:t>。</w:t>
      </w:r>
      <w:r>
        <w:rPr>
          <w:rFonts w:hint="eastAsia" w:ascii="Arial" w:hAnsi="Arial" w:eastAsia="等线" w:cs="Arial"/>
          <w:sz w:val="22"/>
        </w:rPr>
        <w:t>判定标准：所有单元测试用例执行通过率100%，核心逻辑分支覆盖100%，无未处理的异常场景，函数/接口输入输出、状态更新符合设计预期。</w:t>
      </w:r>
    </w:p>
    <w:p w14:paraId="2C18B735">
      <w:pPr>
        <w:numPr>
          <w:numId w:val="0"/>
        </w:numPr>
        <w:spacing w:before="300" w:after="120" w:line="288" w:lineRule="auto"/>
        <w:ind w:leftChars="0"/>
        <w:jc w:val="left"/>
        <w:outlineLvl w:val="9"/>
      </w:pPr>
      <w:r>
        <w:rPr>
          <w:rFonts w:ascii="Arial" w:hAnsi="Arial" w:eastAsia="等线" w:cs="Arial"/>
          <w:b/>
          <w:sz w:val="30"/>
        </w:rPr>
        <w:t>（二）集成测试策略</w:t>
      </w:r>
      <w:bookmarkEnd w:id="16"/>
      <w:bookmarkEnd w:id="17"/>
    </w:p>
    <w:p w14:paraId="31D971F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采用自底向上集成测试法结合灰盒测试思路，分阶段完成模块集成与流程验证。先对底层独立函数/组件进行充分单元测试并确认通过后，再将其与上层依赖模块逐步集成，形成完整的业务子流程；集成过程中，既关注模块间的接口交互逻辑（灰盒测试视角），也验证集成后流程的业务正确性（黑盒测试视角）。同时，采用增量集成策略，每次仅集成一个或少数几个模块，便于定位集成过程中出现的问题。</w:t>
      </w:r>
    </w:p>
    <w:p w14:paraId="3723717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对象与核心流程：聚焦三大核心业务链路，明确各链路的集成范围与测试节点：“加购-确认订单”流程：集成范围包括商品列表模块、购物车模块、地址选择模块、订单预览模块；核心测试节点为商品加购接口与购物车数据存储的交互、购物车数据校验函数与订单预览模块的参数传递、地址选择结果与订单信息的关联逻辑。</w:t>
      </w:r>
    </w:p>
    <w:p w14:paraId="0961278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确认订单-下单-订单列表”流程：集成范围包括订单预览模块、订单创建模块、订单存储模块、订单列表模块；核心测试节点为订单预览数据向订单创建接口的传递、订单创建与数据库的交互、订单状态初始化逻辑、订单列表查询接口与订单数据的关联、订单排序逻辑（按创建时间倒序）的执行。</w:t>
      </w:r>
    </w:p>
    <w:p w14:paraId="707E2D1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确认订单-支付”流程：集成范围包括订单预览模块、支付模块、订单状态更新模块；核心测试节点为订单金额校验函数与支付接口的参数传递、支付状态回调接口与订单状态更新函数的交互、支付成功/失败场景下的订单流程分支处理。</w:t>
      </w:r>
    </w:p>
    <w:p w14:paraId="4462364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流程规范：集成准备：梳理各核心流程的模块依赖关系，绘制模块集成流程图，明确各模块间的接口定义（输入参数、输出格式、调用方式）及业务规则；基于单元测试的Mock环境，扩展搭建集成测试专属Mock服务，模拟模块间的接口调用响应，确保集成测试可独立于后端完整服务运行。</w:t>
      </w:r>
    </w:p>
    <w:p w14:paraId="1081529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设计：以业务流程完整性为核心，按“正常流程用例-异常交互用例-边界场景用例”分类设计。正常流程用例验证各模块协同工作下流程的顺畅性与数据一致性；异常交互用例覆盖模块间接口调用失败、参数传递错误、响应超时、数据格式不匹配等场景；边界场景用例针对流程中的临界条件（如购物车满额加购、订单金额为0、地址信息不完整但非必填项缺失等）设计。</w:t>
      </w:r>
    </w:p>
    <w:p w14:paraId="7731CAA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与监控：采用“分步集成+分步测试”模式，完成一个子模块集成后立即执行对应测试用例，验证集成有效性。执行过程中，通过调试工具实时监控模块间的参数传递过程、接口调用日志及数据流转状态，精准定位交互异常点。对测试过程中发现的缺陷，详细记录缺陷出现的集成阶段、触发条件、模块交互链路及异常表现。</w:t>
      </w:r>
    </w:p>
    <w:p w14:paraId="2BB35BE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回归与验证：缺陷修复后，除执行对应缺陷的回归用例外，需重新执行整个核心流程的所有用例，确保缺陷修复未影响其他模块的交互逻辑，集成流程整体可用性不受影响。</w:t>
      </w:r>
    </w:p>
    <w:p w14:paraId="187EBD4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测试重点：函数交互正确性：验证上层模块对下层模块的调用时机、调用参数是否符合业务逻辑，下层模块的返回结果是否能被上层模块正确解析与处理，无调用顺序错误、参数遗漏或解析失败问题。</w:t>
      </w:r>
    </w:p>
    <w:p w14:paraId="398DD92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传递连贯性：全程跟踪核心数据（购物车商品ID、数量、价格，订单ID、金额、收货地址ID，支付状态码等）在各模块间的流转过程，确保数据无丢失、篡改、格式错误或不一致现象，数据传递链路完整可追溯。</w:t>
      </w:r>
    </w:p>
    <w:p w14:paraId="64F7820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有效性：验证集成场景下业务规则的执行一致性，如购物车非空校验规则在加购转订单环节的执行、地址完整性校验规则在订单创建前的触发、订单排序规则在订单列表展示时的生效、支付状态与订单状态的同步更新规则等。</w:t>
      </w:r>
    </w:p>
    <w:p w14:paraId="4189DBA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异常场景容错性：在模块交互异常（如接口调用失败、响应延迟）时，验证系统是否具备合理的容错机制，如重试机制、错误提示反馈、流程回滚或降级处理，避免因单个模块异常导致整个流程崩溃。</w:t>
      </w:r>
    </w:p>
    <w:p w14:paraId="54D7DE4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隔离策略：通过jest.mock('axios')全面Mock所有外部接口请求，自定义Mock响应数据（包括正常响应、错误响应、超时响应等场景）；模拟localStorage实现登录Token、用户信息等数据的本地缓存与读取，完全隔离后端服务、Vue组件渲染及项目其他非核心依赖，确保测试焦点仅集中于纯JS业务逻辑的模块交互与数据流转。</w:t>
      </w:r>
    </w:p>
    <w:p w14:paraId="089D0F0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判定标准：① 所有集成测试用例执行通过率100%，无未修复的交互缺陷；② 三大核心业务流程无断点，模块间交互顺畅，数据传递准确无误；③ 所有业务规则在集成场景下均能有效执行，无规则遗漏或执行偏差；④ 异常交互场景均能正确处理，容错机制有效，无流程崩溃或数据错乱；⑤ Mock服务模拟效果符合预期，测试结果可重复验证。</w:t>
      </w:r>
    </w:p>
    <w:p w14:paraId="50C37AD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测试方法：采用自底向上集成方式，先独立验证底层函数（如addToCart、confirmOrder、placeOrder等）的逻辑正确性，再逐步向上集成依赖这些函数的上层业务流程，进行纯JS逻辑测试。</w:t>
      </w:r>
    </w:p>
    <w:p w14:paraId="3D42162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测试对象：三大核心业务流程，包括“加购-确认订单”“确认订单-下单-订单列表”“确认订单-支付”。</w:t>
      </w:r>
    </w:p>
    <w:p w14:paraId="486AC59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测试重点：</w:t>
      </w:r>
    </w:p>
    <w:p w14:paraId="4C232DC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函数交互正确性：验证上层函数对下层函数的调用参数、调用时机符合业务逻辑，无调用失败或逻辑冲突。</w:t>
      </w:r>
    </w:p>
    <w:p w14:paraId="656D8AFB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数据传递连贯性：确保流程中购物车数据、订单数据、地址数据、支付状态等关键信息传递无丢失、无篡改、无错误。</w:t>
      </w:r>
    </w:p>
    <w:p w14:paraId="5CBB6245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业务规则有效性：验证购物车非空校验、地址完整性校验、订单排序规则（按创建时间倒序）、支付状态同步等业务规则在集成场景下有效执行。</w:t>
      </w:r>
    </w:p>
    <w:p w14:paraId="04178BC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异常场景处理：覆盖空购物车下单、地址不完整提交、支付失败（余额不足）等集成场景下的异常处理，验证错误提示清晰、流程回滚合理。</w:t>
      </w:r>
    </w:p>
    <w:p w14:paraId="3AF02E6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隔离策略：通过jest.mock('axios') Mock所有接口请求，模拟localStorage存储登录token，完全隔离后端服务、Vue组件及项目其他依赖，确保测试仅聚焦纯JS业务逻辑。</w:t>
      </w:r>
    </w:p>
    <w:p w14:paraId="7F97489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判定标准：所有集成测试用例执行通过率100%，核心业务流程无断点，数据传递准确无误，异常场景处理符合预期，业务规则执行一致。</w:t>
      </w:r>
    </w:p>
    <w:p w14:paraId="14F62206">
      <w:pPr>
        <w:spacing w:before="300" w:after="120" w:line="288" w:lineRule="auto"/>
        <w:ind w:left="0"/>
        <w:jc w:val="left"/>
        <w:outlineLvl w:val="2"/>
      </w:pPr>
      <w:bookmarkStart w:id="18" w:name="heading_8"/>
      <w:bookmarkStart w:id="19" w:name="_Toc22152"/>
      <w:r>
        <w:rPr>
          <w:rFonts w:ascii="Arial" w:hAnsi="Arial" w:eastAsia="等线" w:cs="Arial"/>
          <w:b/>
          <w:sz w:val="30"/>
        </w:rPr>
        <w:t>（三）系统测试策略</w:t>
      </w:r>
      <w:bookmarkEnd w:id="18"/>
      <w:bookmarkEnd w:id="19"/>
    </w:p>
    <w:p w14:paraId="128347D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采用黑盒测试为主、自动化测试为辅的混合测试方法，完全不依赖系统内部代码实现，仅通过模拟真实用户操作与接口调用，验证系统整体功能、性能、兼容性及异常处理能力。其中，核心业务流程（注册登录、加购下单、支付结算）采用自动化脚本（结合Jest+Axios+微信小程序自动化测试工具）批量执行，提升测试效率；异常场景、兼容性测试及辅助功能采用手动测试，确保测试场景覆盖全面。同时，引入端到端（E2E）测试思路，模拟用户完整操作链路，验证系统端到端的业务可用性。</w:t>
      </w:r>
    </w:p>
    <w:p w14:paraId="39D1B35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对象与范围：覆盖小程序完整系统，包括所有核心功能模块、辅助功能模块及全量业务场景：核心功能模块：用户模块（手机号注册、密码登录、密码重置、收货地址新增/编辑/查看/默认设置）；商品模块（店铺信息展示、商品分类筛选、商品详情展示、商品规格选择、加入购物车、购物车数据编辑/删除）；订单模块（订单创建、订单列表按状态分类展示、订单详情查看、订单状态更新、订单取消）；支付模块（微信支付方式选择、支付流程发起、支付回调处理、支付状态同步、订单金额校验）。</w:t>
      </w:r>
    </w:p>
    <w:p w14:paraId="5F44458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辅助功能模块：配送范围验证（校园内/外地址识别与限制）、版本更新检测与提示、关于我们页面信息展示、联系方式调用（电话/微信）、客服入口跳转、优惠券列表展示。</w:t>
      </w:r>
    </w:p>
    <w:p w14:paraId="6B114A8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业务场景：正常业务流程（完整的“注册-登录-选品-加购-下单-支付-查订单”链路）、各类异常场景（库存不足下单、空购物车下单、地址不完整提交、密码错误登录、网络波动/中断、接口调用失败、支付超时/失败）、边界场景（最大商品数量加购、最多收货地址添加、最小订单金额支付）。</w:t>
      </w:r>
    </w:p>
    <w:p w14:paraId="2FE198D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测试流程规范：环境准备：搭建独立的系统测试环境，部署完整的小程序前端代码与配套后端服务（服务地址：http://localhost:8080，接口前缀：/api）；配置多类型测试设备（覆盖Android 10及以上、iOS 14及以上主流系统版本，含华为、小米、苹果等品牌）；准备全量测试数据（含正常/异常用户、商品、地址数据）；调试自动化测试脚本，确保脚本可正常调用接口、模拟用户操作并获取测试结果。</w:t>
      </w:r>
    </w:p>
    <w:p w14:paraId="75EB3A2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设计：基于需求文档《城小二用户手册v1.0.0》，按“功能点覆盖-场景组合-异常补充”的思路设计用例。每个功能点至少对应1条正常用例与2条以上异常用例；场景组合用例覆盖多功能点联动的完整业务链路；异常补充用例针对系统可能面临的外部异常（网络、接口、设备）与内部异常（数据错误、流程中断）设计。用例需明确测试步骤、输入数据、预期结果，确保可复现、可验证。</w:t>
      </w:r>
    </w:p>
    <w:p w14:paraId="6218106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与记录：按“核心功能-辅助功能-正常场景-异常场景-边界场景”的顺序执行测试。自动化脚本执行核心流程用例，手动执行异常场景与兼容性用例。执行过程中，详细记录测试步骤、实际结果、与预期的偏差，对发现的缺陷，标注缺陷等级（严重/一般/轻微）、所属模块、触发条件及截图证据。同时，记录系统在不同设备、网络环境下的运行状态。</w:t>
      </w:r>
    </w:p>
    <w:p w14:paraId="5F74BAA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跟踪与回归：建立缺陷跟踪台账，实时同步缺陷状态（新建/已修复/已验证/关闭）；严重缺陷要求开发团队24小时内响应并修复，一般缺陷48小时内响应；缺陷修复后，优先执行回归测试，验证缺陷是否完全修复，同时检查是否引入新的缺陷。</w:t>
      </w:r>
    </w:p>
    <w:p w14:paraId="367B214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重点：功能完整性与正确性：逐一验证所有功能点是否按需求实现，无功能缺失、功能错误或无效操作；核心业务流程可完整顺畅执行，无流程中断或卡壳现象；功能交互逻辑符合用户使用习惯，如购物车商品删除后订单预览数据同步更新、支付成功后订单状态自动切换为“已支付”。</w:t>
      </w:r>
    </w:p>
    <w:p w14:paraId="370CEE9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一致性与准确性：验证用户信息、商品数据、订单数据、支付数据在前端展示、后端存储及模块间流转过程中的一致性，无数据丢失、篡改、重复或展示错误；关键数据（如订单金额、支付金额）的计算准确无误，符合业务规则。</w:t>
      </w:r>
    </w:p>
    <w:p w14:paraId="1124A5F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处理有效性：全面覆盖各类异常场景，验证系统能准确识别异常并执行对应处理逻辑，如库存不足时提示“该商品已售罄”、密码错误时提示“密码不正确，请重新输入”、网络中断时提示“网络异常，请检查网络连接”；异常处理后系统无崩溃、数据无错乱，且可正常恢复至可操作状态。</w:t>
      </w:r>
    </w:p>
    <w:p w14:paraId="4872EEA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与稳定性：在不同品牌、系统版本的测试设备上，验证小程序页面渲染正常（无布局错乱、样式缺失）、功能按钮响应及时、交互流畅；在校园Wi-Fi、4G/5G移动数据、弱网（模拟网络波动）等不同网络环境下，验证核心功能正常可用，无因网络环境导致的功能失效或数据同步延迟；长时间连续操作（如反复加购、下单）后，系统无内存泄漏、响应变慢等稳定性问题。</w:t>
      </w:r>
    </w:p>
    <w:p w14:paraId="3FD5923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基础验证：验证用户密码存储加密、敏感数据（如手机号、地址）传输加密；验证未登录状态下无法访问个人中心、购物车、下单等功能；验证订单查询、支付等关键操作需校验用户身份，无越权访问风险。</w:t>
      </w:r>
    </w:p>
    <w:p w14:paraId="5CF4BD0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断言策略：聚焦核心验证点设计精准断言，确保测试结果可量化、可验证：① 接口响应断言：验证响应状态码（正常响应200，异常响应4xx/5xx）、业务码（成功=200，参数错误=400，服务器错误=500）符合规范；② 数据存在性断言：验证关键数据（token、orderId、addressId、商品ID）是否存在且格式正确；③ 提示语断言：验证错误提示、操作成功提示的关键字准确性（如“成功”“库存不足”“超出配送范围”）；④ 业务规则断言：验证订单状态、金额、排序规则、权限控制等符合业务需求；⑤ 渲染效果断言：验证核心页面元素（商品图片、价格、按钮）正常渲染且可交互。</w:t>
      </w:r>
    </w:p>
    <w:p w14:paraId="00B8B70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判定标准：① 高优先级测试用例执行通过率100%，中优先级用例通过率≥95%，低优先级用例通过率≥90%；② 无未修复的严重缺陷（阻断核心流程、导致系统崩溃或数据安全风险的缺陷），一般缺陷未修复数量≤3个且已明确修复计划与时间节点；③ 核心业务流程数据一致性100%，无数据错乱或丢失问题；④ 异常场景处理符合预期，错误提示清晰、精准，无系统崩溃现象；⑤ 兼容性测试覆盖的主流设备与网络环境下，无严重适配问题；⑥ 自动化测试脚本执行稳定，通过率≥98%，可支撑后续回归测试复用。</w:t>
      </w:r>
    </w:p>
    <w:p w14:paraId="7E5CEF7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测试方法：采用黑盒测试，不依赖内部代码实现，通过自动化脚本调用接口或手动操作，模拟用户全流程操作，仅通过输入输出验证业务规则与功能正确性。</w:t>
      </w:r>
    </w:p>
    <w:p w14:paraId="31B2255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测试对象：小程序完整系统，覆盖所有核心模块及端到端业务流程，包括注册登录、地址管理、商品加购、订单创建、支付结算、订单管理、辅助功能及异常场景。</w:t>
      </w:r>
    </w:p>
    <w:p w14:paraId="38B1E52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测试重点：</w:t>
      </w:r>
    </w:p>
    <w:p w14:paraId="440700DA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功能完整性：验证所有核心功能正常可用，无功能缺失或无效操作，如商品分类筛选准确、订单状态更新及时、支付流程顺畅。</w:t>
      </w:r>
    </w:p>
    <w:p w14:paraId="7E41DFC1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数据一致性：确保用户信息、订单数据、支付结果、购物车数据等在各模块间同步一致，无数据不一致或数据丢失问题。</w:t>
      </w:r>
    </w:p>
    <w:p w14:paraId="76E3A4BE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异常场景覆盖：全面测试库存不足、密码错误、超出配送范围、网络异常、接口调用失败等异常场景，验证系统能正确识别并返回清晰的错误提示，无崩溃或卡死现象。</w:t>
      </w:r>
    </w:p>
    <w:p w14:paraId="532676D3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兼容性与稳定性：在不同设备、系统版本、网络环境下验证功能可用性与稳定性，确保页面渲染正常、操作响应及时。</w:t>
      </w:r>
    </w:p>
    <w:p w14:paraId="152FB54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言策略：聚焦核心验证点，包括接口响应状态码（200）、业务码（成功=200，异常=500）、关键数据存在性（token、orderId、addressId）、提示语关键字（成功、库存不足、超出配送范围）、业务规则符合性（订单状态、金额、排序规则）。</w:t>
      </w:r>
    </w:p>
    <w:p w14:paraId="3628727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判定标准：所有系统测试用例执行通过率≥95%，高优先级用例通过率100%，核心流程无功能缺陷，异常场景处理合理，数据一致性达标，兼容性与稳定性满足使用要求。</w:t>
      </w:r>
    </w:p>
    <w:p w14:paraId="3B6EC7DB">
      <w:pPr>
        <w:spacing w:before="300" w:after="120" w:line="288" w:lineRule="auto"/>
        <w:ind w:left="0"/>
        <w:jc w:val="left"/>
        <w:outlineLvl w:val="2"/>
      </w:pPr>
      <w:bookmarkStart w:id="20" w:name="heading_9"/>
      <w:bookmarkStart w:id="21" w:name="_Toc5273"/>
      <w:r>
        <w:rPr>
          <w:rFonts w:ascii="Arial" w:hAnsi="Arial" w:eastAsia="等线" w:cs="Arial"/>
          <w:b/>
          <w:sz w:val="30"/>
        </w:rPr>
        <w:t>（四）用户测试策略</w:t>
      </w:r>
      <w:bookmarkEnd w:id="20"/>
      <w:bookmarkEnd w:id="21"/>
    </w:p>
    <w:p w14:paraId="4D8CC36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采用用户体验测试结合场景化实操的方式，招募符合目标用户画像的高校学生作为测试用户，基于预设的用户测试用例与真实使用场景，开展“实操体验+主观评分+反馈收集”的全流程测试。测试形式包括单人独立测试（模拟日常独自使用场景）与小组协同测试（模拟同学间推荐、代下单等场景），确保覆盖个人与社交化使用场景。同时，采用眼动追踪辅助观察用户操作焦点，结合录屏工具记录用户完整操作过程，便于后续分析操作痛点。</w:t>
      </w:r>
    </w:p>
    <w:p w14:paraId="64057EE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测试对象与核心场景：聚焦用户全流程操作体验，覆盖核心功能模块与关键使用场景：注册登录场景：手机号注册流程、密码设置与登录流程、密码错误重试流程、忘记密码找回流程；</w:t>
      </w:r>
    </w:p>
    <w:p w14:paraId="65B3FB1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个人中心操作场景：功能入口查找与跳转、收货地址新增/编辑/默认设置、退出登录流程、优惠券入口查找；</w:t>
      </w:r>
    </w:p>
    <w:p w14:paraId="0FF2035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商品选购场景：商品分类筛选、商品详情查看、商品规格选择、加入购物车；</w:t>
      </w:r>
    </w:p>
    <w:p w14:paraId="19661B7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下单支付场景：购物车商品确认、收货地址选择、订单信息核对、支付方式选择、支付流程操作；</w:t>
      </w:r>
    </w:p>
    <w:p w14:paraId="14481F9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订单管理场景：订单列表查找、订单详情查看、订单状态跟踪、订单取消操作；</w:t>
      </w:r>
    </w:p>
    <w:p w14:paraId="1CB4485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辅助功能场景：配送范围查询、版本更新提示、关于我们页面浏览、客服咨询入口使用。</w:t>
      </w:r>
    </w:p>
    <w:p w14:paraId="077EC3A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准备与用户招募：用户招募：明确招募标准（在校高校学生，年龄18-24岁，熟悉微信小程序使用，未使用过“城小二”小程序），计划招募10-15名测试用户，覆盖不同年级、专业学生，确保用户样本的代表性；通过高校校内社群、学生组织、线下宣传等渠道招募，明确测试时间、地点及测试权益（如小额补贴、优惠券）。</w:t>
      </w:r>
    </w:p>
    <w:p w14:paraId="0B581AC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物料准备：编写用户测试指引手册（含测试目的、操作步骤、注意事项）、设计用户体验评分表、准备测试设备（或允许用户使用自有设备）、搭建真实校园网络环境（Wi-Fi/4G）、准备测试账号与测试数据（避免用户使用真实个人信息）；部署录屏与眼动追踪工具，提前调试确保设备正常运行。</w:t>
      </w:r>
    </w:p>
    <w:p w14:paraId="21129A25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测试培训：测试前组织简短培训，向用户说明测试流程、评分标准、反馈提交方式，解答用户疑问，确保用户理解测试要求；强调测试过程中需真实反馈操作感受，无需刻意寻找缺陷，模拟日常使用习惯即可。</w:t>
      </w:r>
    </w:p>
    <w:p w14:paraId="14D105D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执行流程：场景实操：用户按测试指引手册依次完成各核心场景的操作，操作过程中自由反馈疑问、卡顿点及建议；测试人员全程在场观察，记录用户操作时长、操作失误次数、重点关注的页面元素，不主动引导用户操作。</w:t>
      </w:r>
    </w:p>
    <w:p w14:paraId="0E9877E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主观评分：用户完成所有实操后，填写用户体验评分表，从“操作便捷性、功能完整性、体验流畅度、界面友好度”四个维度进行评分，每个维度满分10分，支持填写补充说明。</w:t>
      </w:r>
    </w:p>
    <w:p w14:paraId="0B838F9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反馈收集：组织小型座谈会，引导用户分享测试过程中的核心痛点、印象深刻的优点、希望新增的功能；采用结构化问卷收集用户对各模块的具体建议，如页面布局优化、操作步骤简化、提示语优化等。</w:t>
      </w:r>
    </w:p>
    <w:p w14:paraId="0E09306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数据整理：汇总用户操作录屏、眼动追踪数据、评分表及座谈会记录，提取高频问题与共性建议，分类整理为“操作痛点”“功能优化”“界面改进”“新增需求”四大类。</w:t>
      </w:r>
    </w:p>
    <w:p w14:paraId="48C5887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采用10分制评分，四个维度加权计算整体综合评分（操作便捷性30%、功能完整性30%、体验流畅度25%、界面友好度15%），具体分级如下：9-10分：体验极佳，操作逻辑符合直觉，无任何使用障碍；功能完整且实用；界面设计美观、清晰；完全超出预期。</w:t>
      </w:r>
    </w:p>
    <w:p w14:paraId="67CC612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7-8分：体验良好，核心功能操作顺畅，仅存在轻微不便捷点（不影响使用）；功能完整无缺失；界面设计合理，元素布局清晰；基本符合预期。</w:t>
      </w:r>
    </w:p>
    <w:p w14:paraId="25D3AAE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5-6分：体验一般，核心功能可用，但存在明显操作不便或理解成本高的问题；功能基本完整但有部分细节需优化；界面布局基本合理，但存在少量元素混淆；勉强符合使用需求。</w:t>
      </w:r>
    </w:p>
    <w:p w14:paraId="0586550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0-4分：体验较差，核心功能存在缺陷或操作严重不便，无法顺畅完成关键流程；功能缺失影响正常使用；界面布局混乱、元素不清晰；不符合预期，使用体验差。</w:t>
      </w:r>
    </w:p>
    <w:p w14:paraId="6D17EAA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重点：操作便捷性：核心流程操作步骤是否简洁（如注册步骤≤3步）、功能入口是否易于查找（如购物车入口在首页显眼位置）、操作逻辑是否符合用户直觉（如“确认下单”按钮在页面底部）、操作失误率是否较低。</w:t>
      </w:r>
    </w:p>
    <w:p w14:paraId="6E347BB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信息展示清晰度：商品信息（名称、价格、规格、库存）、订单信息（金额、状态、配送时间）、提示语（错误提示、成功提示）是否清晰易懂，无歧义；字体大小、颜色搭配是否合理，便于阅读。</w:t>
      </w:r>
    </w:p>
    <w:p w14:paraId="13862153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体验流畅度：页面跳转响应速度是否及时（无明显卡顿）、操作反馈是否快速（如点击按钮后立即有状态变化）、网络切换（Wi-Fi转4G）时功能是否能正常衔接，无数据加载失败。</w:t>
      </w:r>
    </w:p>
    <w:p w14:paraId="1FABBB8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功能实用性：功能设计是否贴合校园学生的真实需求（如支持校园内多个收货点、配送时间符合学生作息）、辅助功能（如配送范围查询）是否实用，能解决实际问题。</w:t>
      </w:r>
    </w:p>
    <w:p w14:paraId="00B64DE9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界面友好度：页面布局是否合理、美观，色彩搭配是否舒适，无过度花哨或杂乱现象；图标设计是否直观，无认知成本。</w:t>
      </w:r>
    </w:p>
    <w:p w14:paraId="030D1505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判定标准：① 整体综合评分≥8.5分，核心功能模块（注册登录、下单支付、地址管理）平均评分≥8.5分；② 无超过3个用户反馈的严重使用痛点（如无法完成下单、关键功能找不到）；③ 收集的用户建议中，共性优化点≤5个且已明确优化方案；④ 测试用户对核心功能的操作完成率≥95%，平均操作时长符合预期（如注册登录≤2分钟、完整下单流程≤5分钟）；⑤ 录屏与眼动追踪数据显示，用户对核心功能入口的识别准确率≥90%，无明显操作困惑。</w:t>
      </w:r>
    </w:p>
    <w:p w14:paraId="08A44F41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测试方法：招募1名及以上高校学生（模拟目标用户群体），基于用户测试用例执行实操操作，采用“操作+评分+反馈”模式，收集用户主观体验与客观问题。</w:t>
      </w:r>
    </w:p>
    <w:p w14:paraId="146F96C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测试对象：全核心流程及辅助功能，重点关注操作便捷性、信息展示清晰度、体验流畅度、功能实用性。</w:t>
      </w:r>
    </w:p>
    <w:p w14:paraId="70F9D02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评分标准：从“操作便捷性、功能完整性、体验流畅度”三个维度综合打分，满分10分，具体分级如下：</w:t>
      </w:r>
    </w:p>
    <w:p w14:paraId="4364FBEF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9-10分：体验极佳，无使用障碍，操作逻辑符合直觉，完全超出预期；</w:t>
      </w:r>
    </w:p>
    <w:p w14:paraId="4AEC6E7C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7-8分：体验良好，核心功能顺畅，轻微优化点不影响正常使用，基本符合预期；</w:t>
      </w:r>
    </w:p>
    <w:p w14:paraId="7C0D2578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5-6分：体验一般，核心功能可用，但存在明显操作不便或信息不清晰问题，影响使用效率；</w:t>
      </w:r>
    </w:p>
    <w:p w14:paraId="366FF733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0-4分：体验较差，核心功能有缺陷，无法正常完成关键操作，严重不符合预期。</w:t>
      </w:r>
    </w:p>
    <w:p w14:paraId="7A0A7503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反馈收集：记录用户操作过程中的疑问、卡顿点、功能遗漏建议，重点关注未覆盖的真实使用场景需求，如优惠券领取路径、订单搜索功能、客服咨询时效等。</w:t>
      </w:r>
    </w:p>
    <w:p w14:paraId="187CC1BB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判定标准：核心功能模块（注册登录、下单支付、地址管理）平均评分≥8.5分，整体综合评分≥8.5分，无严重影响用户体验的反馈，关键痛点问题≤3个且已明确优化方案。</w:t>
      </w:r>
    </w:p>
    <w:p w14:paraId="1656D4E7">
      <w:pPr>
        <w:spacing w:before="300" w:after="120" w:line="288" w:lineRule="auto"/>
        <w:ind w:left="0"/>
        <w:jc w:val="left"/>
        <w:outlineLvl w:val="2"/>
      </w:pPr>
      <w:bookmarkStart w:id="22" w:name="heading_10"/>
      <w:bookmarkStart w:id="23" w:name="_Toc2553"/>
      <w:r>
        <w:rPr>
          <w:rFonts w:ascii="Arial" w:hAnsi="Arial" w:eastAsia="等线" w:cs="Arial"/>
          <w:b/>
          <w:sz w:val="30"/>
        </w:rPr>
        <w:t>（五）测试优先级与执行顺序</w:t>
      </w:r>
      <w:bookmarkEnd w:id="22"/>
      <w:bookmarkEnd w:id="23"/>
    </w:p>
    <w:p w14:paraId="7CAF106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优先级划分原则：基于“影响核心业务可用性程度”“用户使用频率”“缺陷风险等级”三维度划分测试优先级，确保关键功能与高频场景优先得到充分测试。</w:t>
      </w:r>
    </w:p>
    <w:p w14:paraId="1A5F62B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优先级定义：高优先级：直接影响校园即时配送核心服务的功能与流程。包括单元测试中的登录逻辑、用户数据校验、订单接口核心函数；集成测试中的三大核心业务流程（加购-确认订单、确认订单-下单-订单列表、确认订单-支付）；系统测试中的注册登录、商品加购、订单创建、支付结算功能及对应的异常场景（如支付失败、订单无法创建）；用户测试中的核心流程操作便捷性与流畅度。此类测试需优先完成，确保无严重缺陷。</w:t>
      </w:r>
    </w:p>
    <w:p w14:paraId="73188FB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优先级：影响用户体验但不阻断核心流程的功能与场景。包括单元测试中的样式导入逻辑、地址选择器边缘逻辑；系统测试中的辅助功能（配送范围验证、版本更新检测）、订单详情查看、优惠券入口展示；用户测试中的个人中心操作、辅助功能体验。此类测试在高优先级测试完成且无重大问题后开展。</w:t>
      </w:r>
    </w:p>
    <w:p w14:paraId="1FD56383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优先级：边缘功能、极端场景及低频率使用功能。包括单元测试中的非核心函数边缘逻辑；系统测试中的极端网络环境（如断网后恢复）、罕见设备适配、订单评价功能；用户测试中的关于我们页面、客服咨询等低频率功能。此类测试在中高优先级测试完成后，根据项目进度选择性执行，若时间紧张可适当简化测试范围。</w:t>
      </w:r>
    </w:p>
    <w:p w14:paraId="11BCC804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顺序规划：遵循“从底层到上层、从功能到体验”的执行逻辑，具体顺序为：单元测试（高优先级→中优先级→低优先级）→集成测试（核心流程→边缘流程）→系统测试（核心功能→辅助功能→异常场景→兼容性测试）→用户测试（核心流程体验→辅助功能体验→主观反馈收集）。各阶段测试完成后，需通过对应阶段的准出标准审核，方可进入下一阶段测试。</w:t>
      </w:r>
    </w:p>
    <w:p w14:paraId="5C13B388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优先级：单元测试核心逻辑（登录、用户管理、订单接口）、集成测试核心流程（加购-下单-支付）、系统测试核心功能（注册登录、下单支付、地址管理）、用户测试核心流程，直接影响服务可用性，优先完成并确保无缺陷。</w:t>
      </w:r>
    </w:p>
    <w:p w14:paraId="28CEC16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优先级：单元测试边缘逻辑（样式导入、无参数接口调用）、系统测试异常场景与辅助功能（配送范围验证、版本更新）、用户测试辅助功能（关于我们、优惠券入口），影响体验但不阻断核心流程，在高优先级测试完成后开展。</w:t>
      </w:r>
    </w:p>
    <w:p w14:paraId="29EF4FD0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低优先级：非核心异常场景（如极端网络环境、罕见设备适配）、边缘功能（订单评价、自动更新），选择性测试，确保不影响整体测试进度。</w:t>
      </w:r>
    </w:p>
    <w:p w14:paraId="6A51296F">
      <w:pPr>
        <w:spacing w:before="320" w:after="120" w:line="288" w:lineRule="auto"/>
        <w:ind w:left="0"/>
        <w:jc w:val="left"/>
        <w:outlineLvl w:val="1"/>
      </w:pPr>
      <w:bookmarkStart w:id="24" w:name="_Toc12"/>
      <w:bookmarkStart w:id="25" w:name="_Toc15126"/>
      <w:bookmarkStart w:id="26" w:name="heading_12"/>
      <w:r>
        <w:rPr>
          <w:rFonts w:hint="eastAsia" w:ascii="Arial" w:hAnsi="Arial" w:eastAsia="等线" w:cs="Arial"/>
          <w:b/>
          <w:sz w:val="32"/>
          <w:lang w:val="en-US" w:eastAsia="zh-CN"/>
        </w:rPr>
        <w:t>三</w:t>
      </w:r>
      <w:r>
        <w:rPr>
          <w:rFonts w:ascii="Arial" w:hAnsi="Arial" w:eastAsia="等线" w:cs="Arial"/>
          <w:b/>
          <w:sz w:val="32"/>
        </w:rPr>
        <w:t>、测试交付物</w:t>
      </w:r>
      <w:bookmarkEnd w:id="24"/>
      <w:bookmarkEnd w:id="25"/>
      <w:bookmarkEnd w:id="26"/>
    </w:p>
    <w:p w14:paraId="3E1ED8D1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《城小二测试计划》</w:t>
      </w:r>
    </w:p>
    <w:p w14:paraId="7D309B4D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各类测试用例文档（单元测试用例、集成测试用例、系统测试用例、用户测试用例）</w:t>
      </w:r>
    </w:p>
    <w:p w14:paraId="2D55D2D9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测试环境搭建报告</w:t>
      </w:r>
    </w:p>
    <w:p w14:paraId="1A0986B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各阶段测试报告（单元测试报告、集成测试报告、系统测试报告、用户测试报告、回归测试报告）</w:t>
      </w:r>
    </w:p>
    <w:p w14:paraId="65F06940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缺陷清单及跟踪报告（含代码层、流程层、系统级缺陷，及缺陷提交、修复、回归闭环记录）</w:t>
      </w:r>
    </w:p>
    <w:p w14:paraId="2729FC1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用户反馈清单（含用户评分数据、主观体验反馈、功能优化建议）</w:t>
      </w:r>
    </w:p>
    <w:p w14:paraId="5657F0A7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《城小二测试总结报告》</w:t>
      </w:r>
    </w:p>
    <w:p w14:paraId="61DB9AFE">
      <w:pPr>
        <w:spacing w:before="320" w:after="120" w:line="288" w:lineRule="auto"/>
        <w:ind w:left="0"/>
        <w:jc w:val="left"/>
        <w:outlineLvl w:val="1"/>
      </w:pPr>
      <w:bookmarkStart w:id="27" w:name="_Toc11372"/>
      <w:bookmarkStart w:id="28" w:name="heading_13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、测试准入与准出标准</w:t>
      </w:r>
      <w:bookmarkEnd w:id="27"/>
      <w:bookmarkEnd w:id="28"/>
    </w:p>
    <w:p w14:paraId="3EC97782">
      <w:pPr>
        <w:spacing w:before="300" w:after="120" w:line="288" w:lineRule="auto"/>
        <w:ind w:left="0"/>
        <w:jc w:val="left"/>
        <w:outlineLvl w:val="2"/>
      </w:pPr>
      <w:bookmarkStart w:id="29" w:name="heading_14"/>
      <w:bookmarkStart w:id="30" w:name="_Toc2034"/>
      <w:r>
        <w:rPr>
          <w:rFonts w:ascii="Arial" w:hAnsi="Arial" w:eastAsia="等线" w:cs="Arial"/>
          <w:b/>
          <w:sz w:val="30"/>
        </w:rPr>
        <w:t>（一）测试准入标准</w:t>
      </w:r>
      <w:bookmarkEnd w:id="29"/>
      <w:bookmarkEnd w:id="30"/>
    </w:p>
    <w:p w14:paraId="16EABF8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小程序开发完成，核心功能模块（注册登录、地址管理、商品加购、订单、支付）已实现并部署至对应测试环境（本地开发环境/本地部署环境）。</w:t>
      </w:r>
    </w:p>
    <w:p w14:paraId="2F4BBA9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需求文档《城小二用户手册v1.0.0》已最终确认，无重大需求变更，测试依据明确。</w:t>
      </w:r>
    </w:p>
    <w:p w14:paraId="27B7E75C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测试环境搭建完成，测试工具（Node.js、Jest、Axios）、测试数据（用户、商品、地址）准备就绪，满足各类测试执行条件。</w:t>
      </w:r>
    </w:p>
    <w:p w14:paraId="19D5459C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所有测试用例设计完成并通过评审，覆盖既定测试范围与核心场景，无遗漏关键测试点。</w:t>
      </w:r>
    </w:p>
    <w:p w14:paraId="4BD7A573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开发团队已完成内部自测，无明显语法错误或阻断性缺陷，确保测试可正常推进。</w:t>
      </w:r>
    </w:p>
    <w:p w14:paraId="7050AFE1">
      <w:pPr>
        <w:spacing w:before="300" w:after="120" w:line="288" w:lineRule="auto"/>
        <w:ind w:left="0"/>
        <w:jc w:val="left"/>
        <w:outlineLvl w:val="2"/>
      </w:pPr>
      <w:bookmarkStart w:id="31" w:name="heading_15"/>
      <w:bookmarkStart w:id="32" w:name="_Toc28187"/>
      <w:r>
        <w:rPr>
          <w:rFonts w:ascii="Arial" w:hAnsi="Arial" w:eastAsia="等线" w:cs="Arial"/>
          <w:b/>
          <w:sz w:val="30"/>
        </w:rPr>
        <w:t>（二）测试准出标准</w:t>
      </w:r>
      <w:bookmarkEnd w:id="31"/>
      <w:bookmarkEnd w:id="32"/>
    </w:p>
    <w:p w14:paraId="061FCFF2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单元测试：核心逻辑分支覆盖100%，所有用例执行通过率100%，无未修复的逻辑缺陷，代码层面问题全部闭环。</w:t>
      </w:r>
    </w:p>
    <w:p w14:paraId="5582023D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集成测试：核心业务流程用例执行通过率100%，函数交互与数据传递无异常，无流程断点，流程层面缺陷全部闭环。</w:t>
      </w:r>
    </w:p>
    <w:p w14:paraId="4A448CC3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系统测试：高优先级用例执行通过率100%，中优先级用例通过率≥95%，无未修复的严重缺陷（阻断核心流程的缺陷）；异常场景处理符合预期，数据一致性达标，兼容性与稳定性满足要求。</w:t>
      </w:r>
    </w:p>
    <w:p w14:paraId="3969C1C4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用户测试：核心功能模块（注册登录、下单支付、地址管理）平均评分≥8.5分，整体综合评分≥8.5分，无严重影响用户体验的反馈，关键痛点问题≤3个且已明确优化方案。</w:t>
      </w:r>
    </w:p>
    <w:p w14:paraId="7E0CFA01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交付物齐全：所有测试报告、缺陷清单、用户反馈清单、用例文档等交付物完整且符合规范，可支撑项目后续迭代与验收。</w:t>
      </w:r>
    </w:p>
    <w:p w14:paraId="2F95449B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缺陷闭环：严重缺陷100%修复并验证通过，一般缺陷未修复数量≤3个且已明确修复计划与时间节点，轻微缺陷不影响核心使用。</w:t>
      </w:r>
    </w:p>
    <w:p w14:paraId="371F78BB">
      <w:pPr>
        <w:spacing w:before="320" w:after="120" w:line="288" w:lineRule="auto"/>
        <w:ind w:left="0"/>
        <w:jc w:val="left"/>
        <w:outlineLvl w:val="1"/>
      </w:pPr>
      <w:bookmarkStart w:id="33" w:name="heading_16"/>
      <w:bookmarkStart w:id="34" w:name="_Toc16735"/>
      <w:r>
        <w:rPr>
          <w:rFonts w:hint="eastAsia" w:ascii="Arial" w:hAnsi="Arial" w:eastAsia="等线" w:cs="Arial"/>
          <w:b/>
          <w:sz w:val="32"/>
          <w:lang w:val="en-US" w:eastAsia="zh-CN"/>
        </w:rPr>
        <w:t>五</w:t>
      </w:r>
      <w:r>
        <w:rPr>
          <w:rFonts w:ascii="Arial" w:hAnsi="Arial" w:eastAsia="等线" w:cs="Arial"/>
          <w:b/>
          <w:sz w:val="32"/>
        </w:rPr>
        <w:t>、风险与应对措施</w:t>
      </w:r>
      <w:bookmarkEnd w:id="33"/>
      <w:bookmarkEnd w:id="3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0837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9D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8F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可能风险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B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13988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D2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5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测试过程中需求发生变更，导致已设计的测试用例失效，影响测试进度。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80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建立需求变更控制流程，需求变更需以书面形式通知测试团队；变更后及时组织需求评审，更新测试用例与测试范围，重新评估测试工作量，调整测试计划。</w:t>
            </w:r>
          </w:p>
        </w:tc>
      </w:tr>
      <w:tr w14:paraId="5FB92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66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3C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测试环境不稳定、接口调用失败、Mock服务异常，导致测试无法正常执行。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4A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Mock技术隔离外部依赖，确保单元测试、集成测试可独立执行，不依赖真实后端服务；准备备用测试环境与模拟数据，出现环境问题时快速切换，保障测试连续性；定期检查测试环境状态，提前排查潜在问题。</w:t>
            </w:r>
          </w:p>
        </w:tc>
      </w:tr>
      <w:tr w14:paraId="6CC38A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63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BE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测试人员技能不匹配（如不熟悉Jest框架、接口测试工具），或用户招募困难，无法满足测试需求。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D5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开展测试工具与技术培训，提升团队测试能力；制定详细的测试用例与操作指南，降低技能门槛；扩大用户招募范围（如高校校内社群、同学推荐），确保测试用户符合目标群体特征，满足用户测试样本需求。</w:t>
            </w:r>
          </w:p>
        </w:tc>
      </w:tr>
      <w:tr w14:paraId="37AFA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82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4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关键缺陷（如支付失败、订单无法创建）修复不及时，影响测试闭环与项目进度。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1E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缺陷分级机制（严重、一般、轻微），严重缺陷优先修复，开发团队需在24小时内响应并反馈修复进度；测试人员与开发人员实时沟通，协助缺陷定位与复现，缩短修复周期；定期跟踪缺陷修复状态，确保问题及时闭环。</w:t>
            </w:r>
          </w:p>
        </w:tc>
      </w:tr>
      <w:tr w14:paraId="73AC3D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E8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C4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测试数据污染、丢失，或测试数据与真实场景不符，影响测试结果准确性。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70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期备份测试数据，采用独立的测试数据环境，与生产数据严格隔离；测试用例执行前重置测试数据，确保每个用例独立运行无数据干扰；测试数据设计贴合校园真实场景（如校园地址、学生常用商品），提升测试结果的有效性。</w:t>
            </w:r>
          </w:p>
        </w:tc>
      </w:tr>
      <w:tr w14:paraId="7C9EDB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E1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进度风险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A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某一测试阶段出现大量缺陷，或测试用例执行效率低于预期，导致整体测试进度延误。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B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合理分配测试资源，优先保障高优先级用例执行；建立每日测试进度同步机制，及时发现进度偏差并调整；对于复杂缺陷，协调开发、测试共同分析，缩短修复与回归周期；预留1-2天缓冲时间，应对突发情况。</w:t>
            </w:r>
          </w:p>
        </w:tc>
      </w:tr>
    </w:tbl>
    <w:p w14:paraId="6AB5F3FE">
      <w:pPr>
        <w:spacing w:before="120" w:after="120" w:line="288" w:lineRule="auto"/>
        <w:ind w:left="0"/>
        <w:jc w:val="left"/>
      </w:pPr>
      <w:bookmarkStart w:id="35" w:name="_GoBack"/>
      <w:bookmarkEnd w:id="3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0D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2129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9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9377BC45"/>
    <w:multiLevelType w:val="singleLevel"/>
    <w:tmpl w:val="9377BC45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1">
    <w:nsid w:val="98CD717A"/>
    <w:multiLevelType w:val="singleLevel"/>
    <w:tmpl w:val="98CD717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C7198AA"/>
    <w:multiLevelType w:val="singleLevel"/>
    <w:tmpl w:val="9C7198A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6">
    <w:nsid w:val="9DFC6F65"/>
    <w:multiLevelType w:val="singleLevel"/>
    <w:tmpl w:val="9DFC6F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9F81B9F9"/>
    <w:multiLevelType w:val="singleLevel"/>
    <w:tmpl w:val="9F81B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A0C93552"/>
    <w:multiLevelType w:val="singleLevel"/>
    <w:tmpl w:val="A0C9355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A9AC3AA7"/>
    <w:multiLevelType w:val="singleLevel"/>
    <w:tmpl w:val="A9AC3A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AAF3F3FA"/>
    <w:multiLevelType w:val="singleLevel"/>
    <w:tmpl w:val="AAF3F3FA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22">
    <w:nsid w:val="B0ED9BEA"/>
    <w:multiLevelType w:val="singleLevel"/>
    <w:tmpl w:val="B0ED9BEA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BF50FE6B"/>
    <w:multiLevelType w:val="singleLevel"/>
    <w:tmpl w:val="BF50FE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C4E0D24A"/>
    <w:multiLevelType w:val="singleLevel"/>
    <w:tmpl w:val="C4E0D24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C90D1B09"/>
    <w:multiLevelType w:val="singleLevel"/>
    <w:tmpl w:val="C90D1B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CD699D1D"/>
    <w:multiLevelType w:val="singleLevel"/>
    <w:tmpl w:val="CD699D1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2">
    <w:nsid w:val="DAD3A854"/>
    <w:multiLevelType w:val="singleLevel"/>
    <w:tmpl w:val="DAD3A85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3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E093A4B0"/>
    <w:multiLevelType w:val="singleLevel"/>
    <w:tmpl w:val="E093A4B0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45">
    <w:nsid w:val="E504947C"/>
    <w:multiLevelType w:val="singleLevel"/>
    <w:tmpl w:val="E504947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E7B27C5B"/>
    <w:multiLevelType w:val="singleLevel"/>
    <w:tmpl w:val="E7B27C5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7">
    <w:nsid w:val="F0E89278"/>
    <w:multiLevelType w:val="singleLevel"/>
    <w:tmpl w:val="F0E89278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8">
    <w:nsid w:val="F3A33954"/>
    <w:multiLevelType w:val="singleLevel"/>
    <w:tmpl w:val="F3A339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F4A942FE"/>
    <w:multiLevelType w:val="singleLevel"/>
    <w:tmpl w:val="F4A942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F585BF25"/>
    <w:multiLevelType w:val="singleLevel"/>
    <w:tmpl w:val="F585BF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F7735DC9"/>
    <w:multiLevelType w:val="singleLevel"/>
    <w:tmpl w:val="F7735DC9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3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01836A6D"/>
    <w:multiLevelType w:val="singleLevel"/>
    <w:tmpl w:val="01836A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03C240C0"/>
    <w:multiLevelType w:val="singleLevel"/>
    <w:tmpl w:val="03C240C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8">
    <w:nsid w:val="0709FD3E"/>
    <w:multiLevelType w:val="singleLevel"/>
    <w:tmpl w:val="0709FD3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9">
    <w:nsid w:val="0CEF100B"/>
    <w:multiLevelType w:val="singleLevel"/>
    <w:tmpl w:val="0CEF100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0">
    <w:nsid w:val="0F9F9CCA"/>
    <w:multiLevelType w:val="singleLevel"/>
    <w:tmpl w:val="0F9F9CCA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61">
    <w:nsid w:val="10D591E5"/>
    <w:multiLevelType w:val="singleLevel"/>
    <w:tmpl w:val="10D591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10F0DB0B"/>
    <w:multiLevelType w:val="singleLevel"/>
    <w:tmpl w:val="10F0DB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1450273B"/>
    <w:multiLevelType w:val="singleLevel"/>
    <w:tmpl w:val="1450273B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65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1AD50295"/>
    <w:multiLevelType w:val="singleLevel"/>
    <w:tmpl w:val="1AD502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1BCBBCF0"/>
    <w:multiLevelType w:val="singleLevel"/>
    <w:tmpl w:val="1BCBBCF0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69">
    <w:nsid w:val="1C257C7B"/>
    <w:multiLevelType w:val="singleLevel"/>
    <w:tmpl w:val="1C257C7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0">
    <w:nsid w:val="21B3B1B1"/>
    <w:multiLevelType w:val="singleLevel"/>
    <w:tmpl w:val="21B3B1B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1">
    <w:nsid w:val="227C9188"/>
    <w:multiLevelType w:val="singleLevel"/>
    <w:tmpl w:val="227C918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2">
    <w:nsid w:val="23E97754"/>
    <w:multiLevelType w:val="singleLevel"/>
    <w:tmpl w:val="23E9775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73">
    <w:nsid w:val="243FCF68"/>
    <w:multiLevelType w:val="singleLevel"/>
    <w:tmpl w:val="243FCF68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74">
    <w:nsid w:val="251342A6"/>
    <w:multiLevelType w:val="singleLevel"/>
    <w:tmpl w:val="251342A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2B3F3F89"/>
    <w:multiLevelType w:val="singleLevel"/>
    <w:tmpl w:val="2B3F3F8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2F2D79CE"/>
    <w:multiLevelType w:val="singleLevel"/>
    <w:tmpl w:val="2F2D79CE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7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8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32A7AF2D"/>
    <w:multiLevelType w:val="singleLevel"/>
    <w:tmpl w:val="32A7AF2D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1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3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40B249F9"/>
    <w:multiLevelType w:val="singleLevel"/>
    <w:tmpl w:val="40B249F9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5">
    <w:nsid w:val="40F245EA"/>
    <w:multiLevelType w:val="singleLevel"/>
    <w:tmpl w:val="40F245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4A51D704"/>
    <w:multiLevelType w:val="singleLevel"/>
    <w:tmpl w:val="4A51D70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7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4CD1E351"/>
    <w:multiLevelType w:val="singleLevel"/>
    <w:tmpl w:val="4CD1E3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4D63189B"/>
    <w:multiLevelType w:val="singleLevel"/>
    <w:tmpl w:val="4D63189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0">
    <w:nsid w:val="4D94DA66"/>
    <w:multiLevelType w:val="singleLevel"/>
    <w:tmpl w:val="4D94DA66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91">
    <w:nsid w:val="4FB438A5"/>
    <w:multiLevelType w:val="singleLevel"/>
    <w:tmpl w:val="4FB438A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2">
    <w:nsid w:val="51C4BC33"/>
    <w:multiLevelType w:val="singleLevel"/>
    <w:tmpl w:val="51C4BC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54701CA1"/>
    <w:multiLevelType w:val="singleLevel"/>
    <w:tmpl w:val="54701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4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59EEFD2A"/>
    <w:multiLevelType w:val="singleLevel"/>
    <w:tmpl w:val="59EEFD2A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97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5FCE4367"/>
    <w:multiLevelType w:val="singleLevel"/>
    <w:tmpl w:val="5FCE43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0">
    <w:nsid w:val="610EFE5C"/>
    <w:multiLevelType w:val="singleLevel"/>
    <w:tmpl w:val="610EFE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2">
    <w:nsid w:val="65CD0074"/>
    <w:multiLevelType w:val="singleLevel"/>
    <w:tmpl w:val="65CD00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3">
    <w:nsid w:val="68B298F7"/>
    <w:multiLevelType w:val="singleLevel"/>
    <w:tmpl w:val="68B298F7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04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5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77633216"/>
    <w:multiLevelType w:val="singleLevel"/>
    <w:tmpl w:val="7763321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7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9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0">
    <w:nsid w:val="7DEC2089"/>
    <w:multiLevelType w:val="singleLevel"/>
    <w:tmpl w:val="7DEC2089"/>
    <w:lvl w:ilvl="0" w:tentative="0">
      <w:start w:val="9"/>
      <w:numFmt w:val="decimal"/>
      <w:lvlText w:val="%1."/>
      <w:lvlJc w:val="left"/>
      <w:rPr>
        <w:color w:val="3370FF"/>
      </w:rPr>
    </w:lvl>
  </w:abstractNum>
  <w:num w:numId="1">
    <w:abstractNumId w:val="54"/>
  </w:num>
  <w:num w:numId="2">
    <w:abstractNumId w:val="39"/>
  </w:num>
  <w:num w:numId="3">
    <w:abstractNumId w:val="95"/>
  </w:num>
  <w:num w:numId="4">
    <w:abstractNumId w:val="33"/>
  </w:num>
  <w:num w:numId="5">
    <w:abstractNumId w:val="25"/>
  </w:num>
  <w:num w:numId="6">
    <w:abstractNumId w:val="109"/>
  </w:num>
  <w:num w:numId="7">
    <w:abstractNumId w:val="107"/>
  </w:num>
  <w:num w:numId="8">
    <w:abstractNumId w:val="32"/>
  </w:num>
  <w:num w:numId="9">
    <w:abstractNumId w:val="101"/>
  </w:num>
  <w:num w:numId="10">
    <w:abstractNumId w:val="9"/>
  </w:num>
  <w:num w:numId="11">
    <w:abstractNumId w:val="82"/>
  </w:num>
  <w:num w:numId="12">
    <w:abstractNumId w:val="4"/>
  </w:num>
  <w:num w:numId="13">
    <w:abstractNumId w:val="94"/>
  </w:num>
  <w:num w:numId="14">
    <w:abstractNumId w:val="110"/>
  </w:num>
  <w:num w:numId="15">
    <w:abstractNumId w:val="1"/>
  </w:num>
  <w:num w:numId="16">
    <w:abstractNumId w:val="73"/>
  </w:num>
  <w:num w:numId="17">
    <w:abstractNumId w:val="90"/>
  </w:num>
  <w:num w:numId="18">
    <w:abstractNumId w:val="52"/>
  </w:num>
  <w:num w:numId="19">
    <w:abstractNumId w:val="44"/>
  </w:num>
  <w:num w:numId="20">
    <w:abstractNumId w:val="78"/>
  </w:num>
  <w:num w:numId="21">
    <w:abstractNumId w:val="108"/>
  </w:num>
  <w:num w:numId="22">
    <w:abstractNumId w:val="28"/>
  </w:num>
  <w:num w:numId="23">
    <w:abstractNumId w:val="7"/>
  </w:num>
  <w:num w:numId="24">
    <w:abstractNumId w:val="27"/>
  </w:num>
  <w:num w:numId="25">
    <w:abstractNumId w:val="97"/>
  </w:num>
  <w:num w:numId="26">
    <w:abstractNumId w:val="3"/>
  </w:num>
  <w:num w:numId="27">
    <w:abstractNumId w:val="66"/>
  </w:num>
  <w:num w:numId="28">
    <w:abstractNumId w:val="6"/>
  </w:num>
  <w:num w:numId="29">
    <w:abstractNumId w:val="99"/>
  </w:num>
  <w:num w:numId="30">
    <w:abstractNumId w:val="105"/>
  </w:num>
  <w:num w:numId="31">
    <w:abstractNumId w:val="87"/>
  </w:num>
  <w:num w:numId="32">
    <w:abstractNumId w:val="79"/>
  </w:num>
  <w:num w:numId="33">
    <w:abstractNumId w:val="102"/>
  </w:num>
  <w:num w:numId="34">
    <w:abstractNumId w:val="58"/>
  </w:num>
  <w:num w:numId="35">
    <w:abstractNumId w:val="59"/>
  </w:num>
  <w:num w:numId="36">
    <w:abstractNumId w:val="41"/>
  </w:num>
  <w:num w:numId="37">
    <w:abstractNumId w:val="80"/>
  </w:num>
  <w:num w:numId="38">
    <w:abstractNumId w:val="69"/>
  </w:num>
  <w:num w:numId="39">
    <w:abstractNumId w:val="47"/>
  </w:num>
  <w:num w:numId="40">
    <w:abstractNumId w:val="72"/>
  </w:num>
  <w:num w:numId="41">
    <w:abstractNumId w:val="24"/>
  </w:num>
  <w:num w:numId="42">
    <w:abstractNumId w:val="84"/>
  </w:num>
  <w:num w:numId="43">
    <w:abstractNumId w:val="60"/>
  </w:num>
  <w:num w:numId="44">
    <w:abstractNumId w:val="81"/>
  </w:num>
  <w:num w:numId="45">
    <w:abstractNumId w:val="56"/>
  </w:num>
  <w:num w:numId="46">
    <w:abstractNumId w:val="35"/>
  </w:num>
  <w:num w:numId="47">
    <w:abstractNumId w:val="63"/>
  </w:num>
  <w:num w:numId="48">
    <w:abstractNumId w:val="23"/>
  </w:num>
  <w:num w:numId="49">
    <w:abstractNumId w:val="83"/>
  </w:num>
  <w:num w:numId="50">
    <w:abstractNumId w:val="19"/>
  </w:num>
  <w:num w:numId="51">
    <w:abstractNumId w:val="51"/>
  </w:num>
  <w:num w:numId="52">
    <w:abstractNumId w:val="77"/>
  </w:num>
  <w:num w:numId="53">
    <w:abstractNumId w:val="53"/>
  </w:num>
  <w:num w:numId="54">
    <w:abstractNumId w:val="65"/>
  </w:num>
  <w:num w:numId="55">
    <w:abstractNumId w:val="104"/>
  </w:num>
  <w:num w:numId="56">
    <w:abstractNumId w:val="45"/>
  </w:num>
  <w:num w:numId="57">
    <w:abstractNumId w:val="36"/>
  </w:num>
  <w:num w:numId="58">
    <w:abstractNumId w:val="18"/>
  </w:num>
  <w:num w:numId="59">
    <w:abstractNumId w:val="106"/>
  </w:num>
  <w:num w:numId="60">
    <w:abstractNumId w:val="42"/>
  </w:num>
  <w:num w:numId="61">
    <w:abstractNumId w:val="26"/>
  </w:num>
  <w:num w:numId="62">
    <w:abstractNumId w:val="76"/>
  </w:num>
  <w:num w:numId="63">
    <w:abstractNumId w:val="46"/>
  </w:num>
  <w:num w:numId="64">
    <w:abstractNumId w:val="12"/>
  </w:num>
  <w:num w:numId="65">
    <w:abstractNumId w:val="96"/>
  </w:num>
  <w:num w:numId="66">
    <w:abstractNumId w:val="30"/>
  </w:num>
  <w:num w:numId="67">
    <w:abstractNumId w:val="22"/>
  </w:num>
  <w:num w:numId="68">
    <w:abstractNumId w:val="10"/>
  </w:num>
  <w:num w:numId="69">
    <w:abstractNumId w:val="15"/>
  </w:num>
  <w:num w:numId="70">
    <w:abstractNumId w:val="21"/>
  </w:num>
  <w:num w:numId="71">
    <w:abstractNumId w:val="8"/>
  </w:num>
  <w:num w:numId="72">
    <w:abstractNumId w:val="68"/>
  </w:num>
  <w:num w:numId="73">
    <w:abstractNumId w:val="31"/>
  </w:num>
  <w:num w:numId="74">
    <w:abstractNumId w:val="64"/>
  </w:num>
  <w:num w:numId="75">
    <w:abstractNumId w:val="40"/>
  </w:num>
  <w:num w:numId="76">
    <w:abstractNumId w:val="103"/>
  </w:num>
  <w:num w:numId="77">
    <w:abstractNumId w:val="0"/>
  </w:num>
  <w:num w:numId="78">
    <w:abstractNumId w:val="29"/>
  </w:num>
  <w:num w:numId="79">
    <w:abstractNumId w:val="50"/>
  </w:num>
  <w:num w:numId="80">
    <w:abstractNumId w:val="88"/>
  </w:num>
  <w:num w:numId="81">
    <w:abstractNumId w:val="61"/>
  </w:num>
  <w:num w:numId="82">
    <w:abstractNumId w:val="13"/>
  </w:num>
  <w:num w:numId="83">
    <w:abstractNumId w:val="43"/>
  </w:num>
  <w:num w:numId="84">
    <w:abstractNumId w:val="67"/>
  </w:num>
  <w:num w:numId="85">
    <w:abstractNumId w:val="86"/>
  </w:num>
  <w:num w:numId="86">
    <w:abstractNumId w:val="20"/>
  </w:num>
  <w:num w:numId="87">
    <w:abstractNumId w:val="100"/>
  </w:num>
  <w:num w:numId="88">
    <w:abstractNumId w:val="2"/>
  </w:num>
  <w:num w:numId="89">
    <w:abstractNumId w:val="5"/>
  </w:num>
  <w:num w:numId="90">
    <w:abstractNumId w:val="55"/>
  </w:num>
  <w:num w:numId="91">
    <w:abstractNumId w:val="17"/>
  </w:num>
  <w:num w:numId="92">
    <w:abstractNumId w:val="34"/>
  </w:num>
  <w:num w:numId="93">
    <w:abstractNumId w:val="37"/>
  </w:num>
  <w:num w:numId="94">
    <w:abstractNumId w:val="49"/>
  </w:num>
  <w:num w:numId="95">
    <w:abstractNumId w:val="98"/>
  </w:num>
  <w:num w:numId="96">
    <w:abstractNumId w:val="48"/>
  </w:num>
  <w:num w:numId="97">
    <w:abstractNumId w:val="93"/>
  </w:num>
  <w:num w:numId="98">
    <w:abstractNumId w:val="70"/>
  </w:num>
  <w:num w:numId="99">
    <w:abstractNumId w:val="11"/>
  </w:num>
  <w:num w:numId="100">
    <w:abstractNumId w:val="57"/>
  </w:num>
  <w:num w:numId="101">
    <w:abstractNumId w:val="16"/>
  </w:num>
  <w:num w:numId="102">
    <w:abstractNumId w:val="75"/>
  </w:num>
  <w:num w:numId="103">
    <w:abstractNumId w:val="92"/>
  </w:num>
  <w:num w:numId="104">
    <w:abstractNumId w:val="38"/>
  </w:num>
  <w:num w:numId="105">
    <w:abstractNumId w:val="14"/>
  </w:num>
  <w:num w:numId="106">
    <w:abstractNumId w:val="74"/>
  </w:num>
  <w:num w:numId="107">
    <w:abstractNumId w:val="85"/>
  </w:num>
  <w:num w:numId="108">
    <w:abstractNumId w:val="62"/>
  </w:num>
  <w:num w:numId="109">
    <w:abstractNumId w:val="89"/>
  </w:num>
  <w:num w:numId="110">
    <w:abstractNumId w:val="91"/>
  </w:num>
  <w:num w:numId="11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F07672"/>
    <w:rsid w:val="1C1528F6"/>
    <w:rsid w:val="4A1809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2"/>
    <w:basedOn w:val="1"/>
    <w:next w:val="1"/>
    <w:uiPriority w:val="0"/>
    <w:pPr>
      <w:ind w:left="420" w:leftChars="20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封面内容"/>
    <w:basedOn w:val="7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14288</Words>
  <Characters>15089</Characters>
  <TotalTime>35</TotalTime>
  <ScaleCrop>false</ScaleCrop>
  <LinksUpToDate>false</LinksUpToDate>
  <CharactersWithSpaces>15268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2026-01-02T10:37:00Z</dcterms:created>
  <dc:creator>Apache POI</dc:creator>
  <cp:lastModifiedBy>微信用户</cp:lastModifiedBy>
  <dcterms:modified xsi:type="dcterms:W3CDTF">2026-01-06T10:06:01Z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536DD3C354524CA088919CCD95043D12_12</vt:lpwstr>
  </property>
</Properties>
</file>