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0D20F">
      <w:bookmarkStart w:id="0" w:name="_Toc22021"/>
      <w:bookmarkStart w:id="1" w:name="heading_0"/>
    </w:p>
    <w:p w14:paraId="77A7266A"/>
    <w:p w14:paraId="532F7EE9">
      <w:pPr>
        <w:pStyle w:val="3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bookmarkStart w:id="2" w:name="_Toc30580"/>
      <w:r>
        <w:rPr>
          <w:rFonts w:hint="eastAsia" w:ascii="华文新魏" w:eastAsia="华文新魏"/>
          <w:sz w:val="72"/>
          <w:szCs w:val="72"/>
          <w:lang w:val="en-US" w:eastAsia="zh-CN"/>
        </w:rPr>
        <w:t>城小</w:t>
      </w:r>
      <w:bookmarkEnd w:id="0"/>
      <w:r>
        <w:rPr>
          <w:rFonts w:hint="eastAsia" w:ascii="华文新魏" w:eastAsia="华文新魏"/>
          <w:sz w:val="72"/>
          <w:szCs w:val="72"/>
          <w:lang w:val="en-US" w:eastAsia="zh-CN"/>
        </w:rPr>
        <w:t>二代码规范</w:t>
      </w:r>
      <w:bookmarkEnd w:id="2"/>
    </w:p>
    <w:p w14:paraId="1593D5E3">
      <w:pPr>
        <w:ind w:left="-2" w:leftChars="-1" w:firstLine="2280" w:firstLineChars="950"/>
        <w:rPr>
          <w:rFonts w:hint="eastAsia"/>
          <w:sz w:val="24"/>
        </w:rPr>
      </w:pPr>
    </w:p>
    <w:p w14:paraId="058331B4">
      <w:pPr>
        <w:jc w:val="center"/>
        <w:rPr>
          <w:rFonts w:hint="eastAsia"/>
          <w:b/>
          <w:sz w:val="18"/>
          <w:szCs w:val="20"/>
        </w:rPr>
      </w:pPr>
    </w:p>
    <w:p w14:paraId="4C63562F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2" name="图片 2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60E0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42D8A3B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1D604837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3FA4CDC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 xml:space="preserve">杨俊杰 潘攀兆 陈鹏宇 杨铭杰 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475044D1">
      <w:pPr>
        <w:jc w:val="left"/>
        <w:rPr>
          <w:rStyle w:val="9"/>
          <w:rFonts w:hint="eastAsia" w:asciiTheme="minorEastAsia" w:hAnsiTheme="minorEastAsia"/>
          <w:sz w:val="24"/>
        </w:rPr>
      </w:pPr>
    </w:p>
    <w:p w14:paraId="6A5E8DC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9"/>
          <w:rFonts w:hint="eastAsia" w:asciiTheme="minorEastAsia" w:hAnsiTheme="minorEastAsia"/>
          <w:sz w:val="24"/>
        </w:rPr>
        <w:t xml:space="preserve">          </w:t>
      </w:r>
      <w:r>
        <w:rPr>
          <w:rStyle w:val="9"/>
          <w:rFonts w:hint="eastAsia" w:asciiTheme="minorEastAsia" w:hAnsiTheme="minorEastAsia"/>
          <w:sz w:val="24"/>
          <w:lang w:val="en-US" w:eastAsia="zh-CN"/>
        </w:rPr>
        <w:t>项目计划</w:t>
      </w:r>
      <w:r>
        <w:rPr>
          <w:rStyle w:val="9"/>
          <w:rFonts w:hint="eastAsia" w:asciiTheme="minorEastAsia" w:hAnsiTheme="minorEastAsia"/>
          <w:sz w:val="24"/>
        </w:rPr>
        <w:t>日期：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  <w:u w:val="single"/>
          <w:lang w:val="en-US" w:eastAsia="zh-CN"/>
        </w:rPr>
        <w:t>2026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9"/>
          <w:rFonts w:hint="eastAsia" w:asciiTheme="minorEastAsia" w:hAnsiTheme="minorEastAsia"/>
          <w:sz w:val="24"/>
        </w:rPr>
        <w:t>年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9"/>
          <w:rFonts w:hint="eastAsia" w:asciiTheme="minorEastAsia" w:hAnsiTheme="minorEastAsia"/>
          <w:sz w:val="24"/>
          <w:u w:val="single"/>
          <w:lang w:val="en-US" w:eastAsia="zh-CN"/>
        </w:rPr>
        <w:t>1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</w:rPr>
        <w:t>月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  <w:u w:val="single"/>
          <w:lang w:val="en-US" w:eastAsia="zh-CN"/>
        </w:rPr>
        <w:t>2</w:t>
      </w:r>
      <w:r>
        <w:rPr>
          <w:rStyle w:val="9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9"/>
          <w:rFonts w:hint="eastAsia" w:asciiTheme="minorEastAsia" w:hAnsiTheme="minorEastAsia"/>
          <w:sz w:val="24"/>
        </w:rPr>
        <w:t>日</w:t>
      </w:r>
    </w:p>
    <w:p w14:paraId="09E4F98A">
      <w:pPr>
        <w:rPr>
          <w:rFonts w:hint="eastAsia"/>
          <w:lang w:val="en-US" w:eastAsia="zh-CN"/>
        </w:rPr>
      </w:pPr>
    </w:p>
    <w:p w14:paraId="0503C95F">
      <w:pPr>
        <w:rPr>
          <w:rFonts w:hint="eastAsia"/>
          <w:lang w:val="en-US" w:eastAsia="zh-CN"/>
        </w:rPr>
      </w:pPr>
    </w:p>
    <w:p w14:paraId="731238BB">
      <w:pPr>
        <w:rPr>
          <w:rFonts w:hint="eastAsia"/>
          <w:lang w:val="en-US" w:eastAsia="zh-CN"/>
        </w:rPr>
      </w:pPr>
    </w:p>
    <w:p w14:paraId="2F7A4078">
      <w:pPr>
        <w:rPr>
          <w:rFonts w:hint="eastAsia"/>
          <w:lang w:val="en-US" w:eastAsia="zh-CN"/>
        </w:rPr>
      </w:pPr>
    </w:p>
    <w:p w14:paraId="5F786833">
      <w:pPr>
        <w:rPr>
          <w:rFonts w:hint="eastAsia"/>
          <w:lang w:val="en-US" w:eastAsia="zh-CN"/>
        </w:rPr>
      </w:pPr>
    </w:p>
    <w:p w14:paraId="3168605D">
      <w:pPr>
        <w:rPr>
          <w:rFonts w:hint="eastAsia"/>
          <w:lang w:val="en-US" w:eastAsia="zh-CN"/>
        </w:rPr>
      </w:pPr>
    </w:p>
    <w:p w14:paraId="32A0E0FB">
      <w:pPr>
        <w:rPr>
          <w:rFonts w:hint="eastAsia"/>
          <w:lang w:val="en-US" w:eastAsia="zh-CN"/>
        </w:rPr>
      </w:pPr>
    </w:p>
    <w:p w14:paraId="548BC7FF">
      <w:pPr>
        <w:rPr>
          <w:rFonts w:hint="eastAsia"/>
          <w:lang w:val="en-US" w:eastAsia="zh-CN"/>
        </w:rPr>
      </w:pPr>
    </w:p>
    <w:p w14:paraId="605920C4">
      <w:pPr>
        <w:rPr>
          <w:rFonts w:hint="eastAsia"/>
          <w:lang w:val="en-US" w:eastAsia="zh-CN"/>
        </w:rPr>
      </w:pPr>
    </w:p>
    <w:p w14:paraId="1A621731">
      <w:pPr>
        <w:rPr>
          <w:rFonts w:hint="eastAsia"/>
          <w:lang w:val="en-US" w:eastAsia="zh-CN"/>
        </w:rPr>
      </w:pPr>
    </w:p>
    <w:p w14:paraId="0D5867B0">
      <w:pPr>
        <w:rPr>
          <w:rFonts w:hint="eastAsia"/>
          <w:lang w:val="en-US" w:eastAsia="zh-CN"/>
        </w:rPr>
      </w:pPr>
    </w:p>
    <w:p w14:paraId="52070A71">
      <w:pPr>
        <w:rPr>
          <w:rFonts w:hint="eastAsia"/>
          <w:lang w:val="en-US" w:eastAsia="zh-CN"/>
        </w:rPr>
      </w:pPr>
    </w:p>
    <w:p w14:paraId="77E3A6D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0DFC39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70B4347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3ECE8E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7"/>
        <w:tblpPr w:leftFromText="180" w:rightFromText="180" w:vertAnchor="text" w:tblpX="1409" w:tblpY="1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705"/>
      </w:tblGrid>
      <w:tr w14:paraId="22DB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238" w:type="dxa"/>
            <w:noWrap w:val="0"/>
            <w:vAlign w:val="top"/>
          </w:tcPr>
          <w:p w14:paraId="5E5B234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3705" w:type="dxa"/>
            <w:noWrap w:val="0"/>
            <w:vAlign w:val="top"/>
          </w:tcPr>
          <w:p w14:paraId="3A103B9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城小二微信小程序代码规范</w:t>
            </w:r>
          </w:p>
        </w:tc>
      </w:tr>
    </w:tbl>
    <w:p w14:paraId="5BCB818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7"/>
        <w:tblpPr w:leftFromText="180" w:rightFromText="180" w:vertAnchor="text" w:tblpX="1390" w:tblpY="2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  <w:gridCol w:w="1243"/>
        <w:gridCol w:w="1266"/>
      </w:tblGrid>
      <w:tr w14:paraId="09BC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275FDCB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243" w:type="dxa"/>
            <w:noWrap w:val="0"/>
            <w:vAlign w:val="top"/>
          </w:tcPr>
          <w:p w14:paraId="7F5CC7A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E93C25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1266" w:type="dxa"/>
            <w:noWrap w:val="0"/>
            <w:vAlign w:val="top"/>
          </w:tcPr>
          <w:p w14:paraId="7FECC29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</w:tr>
      <w:tr w14:paraId="03C1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7FEC07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项目阶段</w:t>
            </w:r>
          </w:p>
        </w:tc>
        <w:tc>
          <w:tcPr>
            <w:tcW w:w="1243" w:type="dxa"/>
            <w:noWrap w:val="0"/>
            <w:vAlign w:val="top"/>
          </w:tcPr>
          <w:p w14:paraId="6603E1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  <w:t>测试阶段</w:t>
            </w:r>
          </w:p>
        </w:tc>
        <w:tc>
          <w:tcPr>
            <w:tcW w:w="1243" w:type="dxa"/>
            <w:noWrap w:val="0"/>
            <w:vAlign w:val="top"/>
          </w:tcPr>
          <w:p w14:paraId="708985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文档版本日期</w:t>
            </w:r>
          </w:p>
        </w:tc>
        <w:tc>
          <w:tcPr>
            <w:tcW w:w="1266" w:type="dxa"/>
            <w:noWrap w:val="0"/>
            <w:vAlign w:val="top"/>
          </w:tcPr>
          <w:p w14:paraId="7CCAB16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2026.1.2</w:t>
            </w:r>
          </w:p>
        </w:tc>
      </w:tr>
      <w:tr w14:paraId="1337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1D25A6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起草人</w:t>
            </w:r>
          </w:p>
        </w:tc>
        <w:tc>
          <w:tcPr>
            <w:tcW w:w="1243" w:type="dxa"/>
            <w:noWrap w:val="0"/>
            <w:vAlign w:val="top"/>
          </w:tcPr>
          <w:p w14:paraId="0A7D95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739C4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起草日期</w:t>
            </w:r>
          </w:p>
        </w:tc>
        <w:tc>
          <w:tcPr>
            <w:tcW w:w="1266" w:type="dxa"/>
            <w:noWrap w:val="0"/>
            <w:vAlign w:val="top"/>
          </w:tcPr>
          <w:p w14:paraId="6C090AA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2025.12.27</w:t>
            </w:r>
          </w:p>
        </w:tc>
      </w:tr>
    </w:tbl>
    <w:p w14:paraId="06798CC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72FF96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A202EF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1E5EF2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99B74B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C9DB06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A42DFC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A9364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0920F2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3EA685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FCFADD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1A1AEF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4B5130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1"/>
        <w:gridCol w:w="2131"/>
      </w:tblGrid>
      <w:tr w14:paraId="465D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640F13F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noWrap w:val="0"/>
            <w:vAlign w:val="top"/>
          </w:tcPr>
          <w:p w14:paraId="0BF0D80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noWrap w:val="0"/>
            <w:vAlign w:val="top"/>
          </w:tcPr>
          <w:p w14:paraId="66EE13B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2131" w:type="dxa"/>
            <w:noWrap w:val="0"/>
            <w:vAlign w:val="top"/>
          </w:tcPr>
          <w:p w14:paraId="09338C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作者</w:t>
            </w:r>
          </w:p>
        </w:tc>
      </w:tr>
      <w:tr w14:paraId="3543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C364D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2025.1.2</w:t>
            </w:r>
          </w:p>
        </w:tc>
        <w:tc>
          <w:tcPr>
            <w:tcW w:w="2130" w:type="dxa"/>
            <w:noWrap w:val="0"/>
            <w:vAlign w:val="top"/>
          </w:tcPr>
          <w:p w14:paraId="2ED7709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  <w:tc>
          <w:tcPr>
            <w:tcW w:w="2131" w:type="dxa"/>
            <w:noWrap w:val="0"/>
            <w:vAlign w:val="top"/>
          </w:tcPr>
          <w:p w14:paraId="5E4D75B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初稿</w:t>
            </w:r>
          </w:p>
        </w:tc>
        <w:tc>
          <w:tcPr>
            <w:tcW w:w="2131" w:type="dxa"/>
            <w:noWrap w:val="0"/>
            <w:vAlign w:val="top"/>
          </w:tcPr>
          <w:p w14:paraId="7B4FFE4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44EB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203872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294AA55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266782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4DCAD7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</w:tr>
      <w:tr w14:paraId="0988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DB06C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0" w:type="dxa"/>
            <w:noWrap w:val="0"/>
            <w:vAlign w:val="top"/>
          </w:tcPr>
          <w:p w14:paraId="6259B24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10C0F52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3BD6FA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</w:tr>
    </w:tbl>
    <w:p w14:paraId="3F2E35C5">
      <w:pPr>
        <w:rPr>
          <w:rFonts w:hint="eastAsia"/>
          <w:lang w:val="en-US" w:eastAsia="zh-CN"/>
        </w:rPr>
      </w:pPr>
    </w:p>
    <w:p w14:paraId="0856E81F">
      <w:pPr>
        <w:pStyle w:val="2"/>
      </w:pPr>
    </w:p>
    <w:p w14:paraId="40002EB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210923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3687E6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C381DA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06B95C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872C33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929599E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AEC1DE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D1F5F3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97CF33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sdt>
      <w:sdtPr>
        <w:rPr>
          <w:rFonts w:ascii="宋体" w:hAnsi="宋体" w:eastAsia="宋体"/>
          <w:sz w:val="21"/>
          <w:szCs w:val="22"/>
        </w:rPr>
        <w:id w:val="14745436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312B159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A1078D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_Toc30580 </w:instrText>
          </w:r>
          <w: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t>城小二代码规范</w:t>
          </w:r>
          <w:r>
            <w:tab/>
          </w:r>
          <w:r>
            <w:fldChar w:fldCharType="begin"/>
          </w:r>
          <w:r>
            <w:instrText xml:space="preserve"> PAGEREF _Toc30580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1E6698E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_Toc29185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一、通用规范</w:t>
          </w:r>
          <w:r>
            <w:tab/>
          </w:r>
          <w:r>
            <w:fldChar w:fldCharType="begin"/>
          </w:r>
          <w:r>
            <w:instrText xml:space="preserve"> PAGEREF _Toc29185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AEBB8A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_Toc20236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命名规范</w:t>
          </w:r>
          <w:r>
            <w:tab/>
          </w:r>
          <w:r>
            <w:fldChar w:fldCharType="begin"/>
          </w:r>
          <w:r>
            <w:instrText xml:space="preserve"> PAGEREF _Toc20236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237111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_Toc32651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代码格式</w:t>
          </w:r>
          <w:r>
            <w:tab/>
          </w:r>
          <w:r>
            <w:fldChar w:fldCharType="begin"/>
          </w:r>
          <w:r>
            <w:instrText xml:space="preserve"> PAGEREF _Toc32651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66316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_Toc19993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注释规范</w:t>
          </w:r>
          <w:r>
            <w:tab/>
          </w:r>
          <w:r>
            <w:fldChar w:fldCharType="begin"/>
          </w:r>
          <w:r>
            <w:instrText xml:space="preserve"> PAGEREF _Toc19993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004949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_Toc23928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二、JavaScript/Node.js 规范</w:t>
          </w:r>
          <w:r>
            <w:tab/>
          </w:r>
          <w:r>
            <w:fldChar w:fldCharType="begin"/>
          </w:r>
          <w:r>
            <w:instrText xml:space="preserve"> PAGEREF _Toc23928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615EFD5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_Toc11442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变量声明</w:t>
          </w:r>
          <w:r>
            <w:tab/>
          </w:r>
          <w:r>
            <w:fldChar w:fldCharType="begin"/>
          </w:r>
          <w:r>
            <w:instrText xml:space="preserve"> PAGEREF _Toc11442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12DD9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_Toc15285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函数规范</w:t>
          </w:r>
          <w:r>
            <w:tab/>
          </w:r>
          <w:r>
            <w:fldChar w:fldCharType="begin"/>
          </w:r>
          <w:r>
            <w:instrText xml:space="preserve"> PAGEREF _Toc15285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8F952F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_Toc31372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数据库操作规范</w:t>
          </w:r>
          <w:r>
            <w:tab/>
          </w:r>
          <w:r>
            <w:fldChar w:fldCharType="begin"/>
          </w:r>
          <w:r>
            <w:instrText xml:space="preserve"> PAGEREF _Toc31372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B93FED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_Toc5267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三、API接口规范</w:t>
          </w:r>
          <w:r>
            <w:tab/>
          </w:r>
          <w:r>
            <w:fldChar w:fldCharType="begin"/>
          </w:r>
          <w:r>
            <w:instrText xml:space="preserve"> PAGEREF _Toc5267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417011D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_Toc13382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接口命名</w:t>
          </w:r>
          <w:r>
            <w:tab/>
          </w:r>
          <w:r>
            <w:fldChar w:fldCharType="begin"/>
          </w:r>
          <w:r>
            <w:instrText xml:space="preserve"> PAGEREF _Toc13382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395EA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_Toc30598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接口定义</w:t>
          </w:r>
          <w:r>
            <w:tab/>
          </w:r>
          <w:r>
            <w:fldChar w:fldCharType="begin"/>
          </w:r>
          <w:r>
            <w:instrText xml:space="preserve"> PAGEREF _Toc30598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830829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_Toc17319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四、前端规范</w:t>
          </w:r>
          <w:r>
            <w:tab/>
          </w:r>
          <w:r>
            <w:fldChar w:fldCharType="begin"/>
          </w:r>
          <w:r>
            <w:instrText xml:space="preserve"> PAGEREF _Toc17319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B0CDAA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_Toc26324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状态管理</w:t>
          </w:r>
          <w:r>
            <w:tab/>
          </w:r>
          <w:r>
            <w:fldChar w:fldCharType="begin"/>
          </w:r>
          <w:r>
            <w:instrText xml:space="preserve"> PAGEREF _Toc26324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BEA896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_Toc19218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组件规范</w:t>
          </w:r>
          <w:r>
            <w:tab/>
          </w:r>
          <w:r>
            <w:fldChar w:fldCharType="begin"/>
          </w:r>
          <w:r>
            <w:instrText xml:space="preserve"> PAGEREF _Toc19218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15DE65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_Toc18361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五、脚本规范</w:t>
          </w:r>
          <w:r>
            <w:tab/>
          </w:r>
          <w:r>
            <w:fldChar w:fldCharType="begin"/>
          </w:r>
          <w:r>
            <w:instrText xml:space="preserve"> PAGEREF _Toc18361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AA34C8C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_Toc23952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批处理脚本</w:t>
          </w:r>
          <w:r>
            <w:tab/>
          </w:r>
          <w:r>
            <w:fldChar w:fldCharType="begin"/>
          </w:r>
          <w:r>
            <w:instrText xml:space="preserve"> PAGEREF _Toc23952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3FA700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_Toc8406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六、数据库规范</w:t>
          </w:r>
          <w:r>
            <w:tab/>
          </w:r>
          <w:r>
            <w:fldChar w:fldCharType="begin"/>
          </w:r>
          <w:r>
            <w:instrText xml:space="preserve"> PAGEREF _Toc8406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6F94FE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_Toc4115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表结构设计</w:t>
          </w:r>
          <w:r>
            <w:tab/>
          </w:r>
          <w:r>
            <w:fldChar w:fldCharType="begin"/>
          </w:r>
          <w:r>
            <w:instrText xml:space="preserve"> PAGEREF _Toc4115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BFA607"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数据操作</w:t>
          </w:r>
          <w:r>
            <w:tab/>
          </w:r>
          <w:r>
            <w:fldChar w:fldCharType="begin"/>
          </w:r>
          <w:r>
            <w:instrText xml:space="preserve"> PAGEREF _Toc223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2521BC0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_Toc30176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七、版本控制规范</w:t>
          </w:r>
          <w:r>
            <w:tab/>
          </w:r>
          <w:r>
            <w:fldChar w:fldCharType="begin"/>
          </w:r>
          <w:r>
            <w:instrText xml:space="preserve"> PAGEREF _Toc30176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2D63B54">
          <w:pPr>
            <w:pStyle w:val="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_Toc30688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八、其他规范</w:t>
          </w:r>
          <w:r>
            <w:tab/>
          </w:r>
          <w:r>
            <w:fldChar w:fldCharType="begin"/>
          </w:r>
          <w:r>
            <w:instrText xml:space="preserve"> PAGEREF _Toc30688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F51B46">
          <w:pPr>
            <w:spacing w:before="320" w:after="120" w:line="288" w:lineRule="auto"/>
            <w:ind w:left="0"/>
            <w:jc w:val="left"/>
            <w:outlineLvl w:val="1"/>
            <w:rPr>
              <w:rFonts w:ascii="宋体" w:hAnsi="宋体" w:eastAsia="宋体"/>
              <w:sz w:val="21"/>
              <w:szCs w:val="22"/>
            </w:rPr>
          </w:pPr>
          <w:r>
            <w:fldChar w:fldCharType="end"/>
          </w:r>
        </w:p>
      </w:sdtContent>
    </w:sdt>
    <w:p w14:paraId="4E47BEBB">
      <w:pPr>
        <w:spacing w:before="320" w:after="120" w:line="288" w:lineRule="auto"/>
        <w:ind w:left="0"/>
        <w:jc w:val="left"/>
        <w:outlineLvl w:val="1"/>
        <w:rPr>
          <w:rFonts w:ascii="宋体" w:hAnsi="宋体" w:eastAsia="宋体"/>
          <w:sz w:val="21"/>
          <w:szCs w:val="22"/>
        </w:rPr>
      </w:pPr>
    </w:p>
    <w:p w14:paraId="590049B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360D40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292719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088B31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AF5E1F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66824F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F249C1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D8BAE3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D8D1CEA">
      <w:pPr>
        <w:spacing w:before="320" w:after="120" w:line="288" w:lineRule="auto"/>
        <w:ind w:left="0"/>
        <w:jc w:val="left"/>
        <w:outlineLvl w:val="1"/>
      </w:pPr>
      <w:bookmarkStart w:id="3" w:name="_Toc29185"/>
      <w:r>
        <w:rPr>
          <w:rFonts w:ascii="Arial" w:hAnsi="Arial" w:eastAsia="等线" w:cs="Arial"/>
          <w:b/>
          <w:sz w:val="32"/>
        </w:rPr>
        <w:t>一、通用规范</w:t>
      </w:r>
      <w:bookmarkEnd w:id="1"/>
      <w:bookmarkEnd w:id="3"/>
    </w:p>
    <w:p w14:paraId="7653F7F9">
      <w:pPr>
        <w:spacing w:before="300" w:after="120" w:line="288" w:lineRule="auto"/>
        <w:ind w:left="0"/>
        <w:jc w:val="left"/>
        <w:outlineLvl w:val="2"/>
      </w:pPr>
      <w:bookmarkStart w:id="4" w:name="heading_1"/>
      <w:bookmarkStart w:id="5" w:name="_Toc20236"/>
      <w:r>
        <w:rPr>
          <w:rFonts w:ascii="Arial" w:hAnsi="Arial" w:eastAsia="等线" w:cs="Arial"/>
          <w:b/>
          <w:sz w:val="30"/>
        </w:rPr>
        <w:t>1. 命名规范</w:t>
      </w:r>
      <w:bookmarkEnd w:id="4"/>
      <w:bookmarkEnd w:id="5"/>
    </w:p>
    <w:p w14:paraId="2AB2FCA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文件命名</w:t>
      </w:r>
      <w:r>
        <w:rPr>
          <w:rFonts w:ascii="Arial" w:hAnsi="Arial" w:eastAsia="等线" w:cs="Arial"/>
          <w:sz w:val="22"/>
        </w:rPr>
        <w:t>：采用小写字母+短横线分隔（kebab-case），如</w:t>
      </w:r>
      <w:r>
        <w:rPr>
          <w:rFonts w:ascii="Consolas" w:hAnsi="Consolas" w:eastAsia="Consolas" w:cs="Consolas"/>
          <w:sz w:val="22"/>
          <w:shd w:val="clear" w:fill="EFF0F1"/>
        </w:rPr>
        <w:t>check-users-table.js</w:t>
      </w:r>
    </w:p>
    <w:p w14:paraId="1B35FB1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变量命名</w:t>
      </w:r>
      <w:r>
        <w:rPr>
          <w:rFonts w:ascii="Arial" w:hAnsi="Arial" w:eastAsia="等线" w:cs="Arial"/>
          <w:sz w:val="22"/>
        </w:rPr>
        <w:t>：采用驼峰命名法（camelCase），如</w:t>
      </w:r>
      <w:r>
        <w:rPr>
          <w:rFonts w:ascii="Consolas" w:hAnsi="Consolas" w:eastAsia="Consolas" w:cs="Consolas"/>
          <w:sz w:val="22"/>
          <w:shd w:val="clear" w:fill="EFF0F1"/>
        </w:rPr>
        <w:t>userInfo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testUsers</w:t>
      </w:r>
    </w:p>
    <w:p w14:paraId="092C236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常量命名</w:t>
      </w:r>
      <w:r>
        <w:rPr>
          <w:rFonts w:ascii="Arial" w:hAnsi="Arial" w:eastAsia="等线" w:cs="Arial"/>
          <w:sz w:val="22"/>
        </w:rPr>
        <w:t>：采用全大写+下划线分隔（UPPER_SNAKE_CASE），如</w:t>
      </w:r>
      <w:r>
        <w:rPr>
          <w:rFonts w:ascii="Consolas" w:hAnsi="Consolas" w:eastAsia="Consolas" w:cs="Consolas"/>
          <w:sz w:val="22"/>
          <w:shd w:val="clear" w:fill="EFF0F1"/>
        </w:rPr>
        <w:t>DB_PATH</w:t>
      </w:r>
    </w:p>
    <w:p w14:paraId="008F459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函数命名</w:t>
      </w:r>
      <w:r>
        <w:rPr>
          <w:rFonts w:ascii="Arial" w:hAnsi="Arial" w:eastAsia="等线" w:cs="Arial"/>
          <w:sz w:val="22"/>
        </w:rPr>
        <w:t>：采用驼峰命名法（camelCase），且为动词或动词短语，如</w:t>
      </w:r>
      <w:r>
        <w:rPr>
          <w:rFonts w:ascii="Consolas" w:hAnsi="Consolas" w:eastAsia="Consolas" w:cs="Consolas"/>
          <w:sz w:val="22"/>
          <w:shd w:val="clear" w:fill="EFF0F1"/>
        </w:rPr>
        <w:t>createTestUsers()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checkUsersTable()</w:t>
      </w:r>
    </w:p>
    <w:p w14:paraId="0B66562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类名</w:t>
      </w:r>
      <w:r>
        <w:rPr>
          <w:rFonts w:ascii="Arial" w:hAnsi="Arial" w:eastAsia="等线" w:cs="Arial"/>
          <w:sz w:val="22"/>
        </w:rPr>
        <w:t>：采用帕斯卡命名法（PascalCase），如</w:t>
      </w:r>
      <w:r>
        <w:rPr>
          <w:rFonts w:ascii="Consolas" w:hAnsi="Consolas" w:eastAsia="Consolas" w:cs="Consolas"/>
          <w:sz w:val="22"/>
          <w:shd w:val="clear" w:fill="EFF0F1"/>
        </w:rPr>
        <w:t>DatabaseManager</w:t>
      </w:r>
    </w:p>
    <w:p w14:paraId="0385109A">
      <w:pPr>
        <w:spacing w:before="300" w:after="120" w:line="288" w:lineRule="auto"/>
        <w:ind w:left="0"/>
        <w:jc w:val="left"/>
        <w:outlineLvl w:val="2"/>
      </w:pPr>
      <w:bookmarkStart w:id="6" w:name="heading_2"/>
      <w:bookmarkStart w:id="7" w:name="_Toc32651"/>
      <w:r>
        <w:rPr>
          <w:rFonts w:ascii="Arial" w:hAnsi="Arial" w:eastAsia="等线" w:cs="Arial"/>
          <w:b/>
          <w:sz w:val="30"/>
        </w:rPr>
        <w:t>2. 代码格式</w:t>
      </w:r>
      <w:bookmarkEnd w:id="6"/>
      <w:bookmarkEnd w:id="7"/>
    </w:p>
    <w:p w14:paraId="179E08E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使用4个空格缩进，不使用制表符（Tab）</w:t>
      </w:r>
    </w:p>
    <w:p w14:paraId="2E0509E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每行代码长度不超过120个字符，过长时进行合理换行</w:t>
      </w:r>
    </w:p>
    <w:p w14:paraId="005A055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函数、类、逻辑块之间保留一个空行</w:t>
      </w:r>
    </w:p>
    <w:p w14:paraId="06EE2B0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运算符前后各保留一个空格，如</w:t>
      </w:r>
      <w:r>
        <w:rPr>
          <w:rFonts w:ascii="Consolas" w:hAnsi="Consolas" w:eastAsia="Consolas" w:cs="Consolas"/>
          <w:sz w:val="22"/>
          <w:shd w:val="clear" w:fill="EFF0F1"/>
        </w:rPr>
        <w:t>a + b</w:t>
      </w:r>
      <w:r>
        <w:rPr>
          <w:rFonts w:ascii="Arial" w:hAnsi="Arial" w:eastAsia="等线" w:cs="Arial"/>
          <w:sz w:val="22"/>
        </w:rPr>
        <w:t>而非</w:t>
      </w:r>
      <w:r>
        <w:rPr>
          <w:rFonts w:ascii="Consolas" w:hAnsi="Consolas" w:eastAsia="Consolas" w:cs="Consolas"/>
          <w:sz w:val="22"/>
          <w:shd w:val="clear" w:fill="EFF0F1"/>
        </w:rPr>
        <w:t>a+b</w:t>
      </w:r>
    </w:p>
    <w:p w14:paraId="12A8794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逗号后面保留一个空格，如</w:t>
      </w:r>
      <w:r>
        <w:rPr>
          <w:rFonts w:ascii="Consolas" w:hAnsi="Consolas" w:eastAsia="Consolas" w:cs="Consolas"/>
          <w:sz w:val="22"/>
          <w:shd w:val="clear" w:fill="EFF0F1"/>
        </w:rPr>
        <w:t>{a: 1, b: 2}</w:t>
      </w:r>
      <w:r>
        <w:rPr>
          <w:rFonts w:ascii="Arial" w:hAnsi="Arial" w:eastAsia="等线" w:cs="Arial"/>
          <w:sz w:val="22"/>
        </w:rPr>
        <w:t>而非</w:t>
      </w:r>
      <w:r>
        <w:rPr>
          <w:rFonts w:ascii="Consolas" w:hAnsi="Consolas" w:eastAsia="Consolas" w:cs="Consolas"/>
          <w:sz w:val="22"/>
          <w:shd w:val="clear" w:fill="EFF0F1"/>
        </w:rPr>
        <w:t>{a:1,b:2}</w:t>
      </w:r>
    </w:p>
    <w:p w14:paraId="3AEDBA34">
      <w:pPr>
        <w:spacing w:before="300" w:after="120" w:line="288" w:lineRule="auto"/>
        <w:ind w:left="0"/>
        <w:jc w:val="left"/>
        <w:outlineLvl w:val="2"/>
      </w:pPr>
      <w:bookmarkStart w:id="8" w:name="heading_3"/>
      <w:bookmarkStart w:id="9" w:name="_Toc19993"/>
      <w:r>
        <w:rPr>
          <w:rFonts w:ascii="Arial" w:hAnsi="Arial" w:eastAsia="等线" w:cs="Arial"/>
          <w:b/>
          <w:sz w:val="30"/>
        </w:rPr>
        <w:t>3. 注释规范</w:t>
      </w:r>
      <w:bookmarkEnd w:id="8"/>
      <w:bookmarkEnd w:id="9"/>
    </w:p>
    <w:p w14:paraId="3F3383A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关键函数、类、复杂逻辑块需添加注释说明功能和设计思路</w:t>
      </w:r>
    </w:p>
    <w:p w14:paraId="4A69EA6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注释应简洁明了，避免冗余和无意义的注释</w:t>
      </w:r>
    </w:p>
    <w:p w14:paraId="2E690C2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特殊处理或容易误解的代码必须添加注释</w:t>
      </w:r>
    </w:p>
    <w:p w14:paraId="68F7695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//</w:t>
      </w:r>
      <w:r>
        <w:rPr>
          <w:rFonts w:ascii="Arial" w:hAnsi="Arial" w:eastAsia="等线" w:cs="Arial"/>
          <w:sz w:val="22"/>
        </w:rPr>
        <w:t>进行单行注释，</w:t>
      </w:r>
      <w:r>
        <w:rPr>
          <w:rFonts w:ascii="Consolas" w:hAnsi="Consolas" w:eastAsia="Consolas" w:cs="Consolas"/>
          <w:sz w:val="22"/>
          <w:shd w:val="clear" w:fill="EFF0F1"/>
        </w:rPr>
        <w:t>/** */</w:t>
      </w:r>
      <w:r>
        <w:rPr>
          <w:rFonts w:ascii="Arial" w:hAnsi="Arial" w:eastAsia="等线" w:cs="Arial"/>
          <w:sz w:val="22"/>
        </w:rPr>
        <w:t>进行多行注释或文档注释</w:t>
      </w:r>
    </w:p>
    <w:p w14:paraId="470CF6C5">
      <w:pPr>
        <w:spacing w:before="320" w:after="120" w:line="288" w:lineRule="auto"/>
        <w:ind w:left="0"/>
        <w:jc w:val="left"/>
        <w:outlineLvl w:val="1"/>
      </w:pPr>
      <w:bookmarkStart w:id="10" w:name="heading_4"/>
      <w:bookmarkStart w:id="11" w:name="_Toc23928"/>
      <w:r>
        <w:rPr>
          <w:rFonts w:ascii="Arial" w:hAnsi="Arial" w:eastAsia="等线" w:cs="Arial"/>
          <w:b/>
          <w:sz w:val="32"/>
        </w:rPr>
        <w:t>二、JavaScript/Node.js 规范</w:t>
      </w:r>
      <w:bookmarkEnd w:id="10"/>
      <w:bookmarkEnd w:id="11"/>
    </w:p>
    <w:p w14:paraId="22694E8C">
      <w:pPr>
        <w:spacing w:before="300" w:after="120" w:line="288" w:lineRule="auto"/>
        <w:ind w:left="0"/>
        <w:jc w:val="left"/>
        <w:outlineLvl w:val="2"/>
      </w:pPr>
      <w:bookmarkStart w:id="12" w:name="heading_5"/>
      <w:bookmarkStart w:id="13" w:name="_Toc11442"/>
      <w:r>
        <w:rPr>
          <w:rFonts w:ascii="Arial" w:hAnsi="Arial" w:eastAsia="等线" w:cs="Arial"/>
          <w:b/>
          <w:sz w:val="30"/>
        </w:rPr>
        <w:t>1. 变量声明</w:t>
      </w:r>
      <w:bookmarkEnd w:id="12"/>
      <w:bookmarkEnd w:id="13"/>
    </w:p>
    <w:p w14:paraId="47F8523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优先使用</w:t>
      </w:r>
      <w:r>
        <w:rPr>
          <w:rFonts w:ascii="Consolas" w:hAnsi="Consolas" w:eastAsia="Consolas" w:cs="Consolas"/>
          <w:sz w:val="22"/>
          <w:shd w:val="clear" w:fill="EFF0F1"/>
        </w:rPr>
        <w:t>const</w:t>
      </w:r>
      <w:r>
        <w:rPr>
          <w:rFonts w:ascii="Arial" w:hAnsi="Arial" w:eastAsia="等线" w:cs="Arial"/>
          <w:sz w:val="22"/>
        </w:rPr>
        <w:t>声明不可变变量，其次使用</w:t>
      </w:r>
      <w:r>
        <w:rPr>
          <w:rFonts w:ascii="Consolas" w:hAnsi="Consolas" w:eastAsia="Consolas" w:cs="Consolas"/>
          <w:sz w:val="22"/>
          <w:shd w:val="clear" w:fill="EFF0F1"/>
        </w:rPr>
        <w:t>let</w:t>
      </w:r>
      <w:r>
        <w:rPr>
          <w:rFonts w:ascii="Arial" w:hAnsi="Arial" w:eastAsia="等线" w:cs="Arial"/>
          <w:sz w:val="22"/>
        </w:rPr>
        <w:t>声明可变变量，禁止使用</w:t>
      </w:r>
      <w:r>
        <w:rPr>
          <w:rFonts w:ascii="Consolas" w:hAnsi="Consolas" w:eastAsia="Consolas" w:cs="Consolas"/>
          <w:sz w:val="22"/>
          <w:shd w:val="clear" w:fill="EFF0F1"/>
        </w:rPr>
        <w:t>var</w:t>
      </w:r>
    </w:p>
    <w:p w14:paraId="208564B2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变量声明应尽可能靠近使用位置，避免全局变量滥用</w:t>
      </w:r>
    </w:p>
    <w:p w14:paraId="26B03448">
      <w:pPr>
        <w:spacing w:before="300" w:after="120" w:line="288" w:lineRule="auto"/>
        <w:ind w:left="0"/>
        <w:jc w:val="left"/>
        <w:outlineLvl w:val="2"/>
      </w:pPr>
      <w:bookmarkStart w:id="14" w:name="heading_6"/>
      <w:bookmarkStart w:id="15" w:name="_Toc15285"/>
      <w:r>
        <w:rPr>
          <w:rFonts w:ascii="Arial" w:hAnsi="Arial" w:eastAsia="等线" w:cs="Arial"/>
          <w:b/>
          <w:sz w:val="30"/>
        </w:rPr>
        <w:t>2. 函数规范</w:t>
      </w:r>
      <w:bookmarkEnd w:id="14"/>
      <w:bookmarkEnd w:id="15"/>
    </w:p>
    <w:p w14:paraId="3ECE0A6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异步函数统一使用</w:t>
      </w:r>
      <w:r>
        <w:rPr>
          <w:rFonts w:ascii="Consolas" w:hAnsi="Consolas" w:eastAsia="Consolas" w:cs="Consolas"/>
          <w:sz w:val="22"/>
          <w:shd w:val="clear" w:fill="EFF0F1"/>
        </w:rPr>
        <w:t>async/await</w:t>
      </w:r>
      <w:r>
        <w:rPr>
          <w:rFonts w:ascii="Arial" w:hAnsi="Arial" w:eastAsia="等线" w:cs="Arial"/>
          <w:sz w:val="22"/>
        </w:rPr>
        <w:t>语法，避免回调地狱</w:t>
      </w:r>
    </w:p>
    <w:p w14:paraId="122BF69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函数参数不宜过多（建议不超过5个），过多时应使用对象封装</w:t>
      </w:r>
    </w:p>
    <w:p w14:paraId="31D8CFB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函数应保持单一职责，避免过大过长的函数</w:t>
      </w:r>
    </w:p>
    <w:p w14:paraId="5272F57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错误处理需使用</w:t>
      </w:r>
      <w:r>
        <w:rPr>
          <w:rFonts w:ascii="Consolas" w:hAnsi="Consolas" w:eastAsia="Consolas" w:cs="Consolas"/>
          <w:sz w:val="22"/>
          <w:shd w:val="clear" w:fill="EFF0F1"/>
        </w:rPr>
        <w:t>try/catch</w:t>
      </w:r>
      <w:r>
        <w:rPr>
          <w:rFonts w:ascii="Arial" w:hAnsi="Arial" w:eastAsia="等线" w:cs="Arial"/>
          <w:sz w:val="22"/>
        </w:rPr>
        <w:t>捕获异常，并进行合理处理</w:t>
      </w:r>
    </w:p>
    <w:p w14:paraId="739343D5">
      <w:pPr>
        <w:spacing w:before="300" w:after="120" w:line="288" w:lineRule="auto"/>
        <w:ind w:left="0"/>
        <w:jc w:val="left"/>
        <w:outlineLvl w:val="2"/>
      </w:pPr>
      <w:bookmarkStart w:id="16" w:name="heading_7"/>
      <w:bookmarkStart w:id="17" w:name="_Toc31372"/>
      <w:r>
        <w:rPr>
          <w:rFonts w:ascii="Arial" w:hAnsi="Arial" w:eastAsia="等线" w:cs="Arial"/>
          <w:b/>
          <w:sz w:val="30"/>
        </w:rPr>
        <w:t>3. 数据库操作规范</w:t>
      </w:r>
      <w:bookmarkEnd w:id="16"/>
      <w:bookmarkEnd w:id="17"/>
    </w:p>
    <w:p w14:paraId="08CFBEF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数据库操作需进行错误处理，确保连接正确关闭</w:t>
      </w:r>
    </w:p>
    <w:p w14:paraId="1D4092F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SQL语句应格式化，提高可读性</w:t>
      </w:r>
    </w:p>
    <w:p w14:paraId="1BA7C40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批量操作使用预处理语句（prepared statement）防止SQL注入</w:t>
      </w:r>
    </w:p>
    <w:p w14:paraId="52D7BD1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数据库操作完成后必须关闭连接</w:t>
      </w:r>
    </w:p>
    <w:p w14:paraId="6E0ADFAA">
      <w:pPr>
        <w:spacing w:before="320" w:after="120" w:line="288" w:lineRule="auto"/>
        <w:ind w:left="0"/>
        <w:jc w:val="left"/>
        <w:outlineLvl w:val="1"/>
      </w:pPr>
      <w:bookmarkStart w:id="18" w:name="heading_8"/>
      <w:bookmarkStart w:id="19" w:name="_Toc5267"/>
      <w:r>
        <w:rPr>
          <w:rFonts w:ascii="Arial" w:hAnsi="Arial" w:eastAsia="等线" w:cs="Arial"/>
          <w:b/>
          <w:sz w:val="32"/>
        </w:rPr>
        <w:t>三、API接口规范</w:t>
      </w:r>
      <w:bookmarkEnd w:id="18"/>
      <w:bookmarkEnd w:id="19"/>
    </w:p>
    <w:p w14:paraId="2B0C3D44">
      <w:pPr>
        <w:spacing w:before="300" w:after="120" w:line="288" w:lineRule="auto"/>
        <w:ind w:left="0"/>
        <w:jc w:val="left"/>
        <w:outlineLvl w:val="2"/>
      </w:pPr>
      <w:bookmarkStart w:id="20" w:name="heading_9"/>
      <w:bookmarkStart w:id="21" w:name="_Toc13382"/>
      <w:r>
        <w:rPr>
          <w:rFonts w:ascii="Arial" w:hAnsi="Arial" w:eastAsia="等线" w:cs="Arial"/>
          <w:b/>
          <w:sz w:val="30"/>
        </w:rPr>
        <w:t>1. 接口命名</w:t>
      </w:r>
      <w:bookmarkEnd w:id="20"/>
      <w:bookmarkEnd w:id="21"/>
    </w:p>
    <w:p w14:paraId="42E3118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接口路径使用小写字母+短横线分隔，如</w:t>
      </w:r>
      <w:r>
        <w:rPr>
          <w:rFonts w:ascii="Consolas" w:hAnsi="Consolas" w:eastAsia="Consolas" w:cs="Consolas"/>
          <w:sz w:val="22"/>
          <w:shd w:val="clear" w:fill="EFF0F1"/>
        </w:rPr>
        <w:t>/api/order/list</w:t>
      </w:r>
    </w:p>
    <w:p w14:paraId="32773BE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接口命名应体现其功能，使用名词或名词短语</w:t>
      </w:r>
    </w:p>
    <w:p w14:paraId="6AC883E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RESTful风格接口应遵循对应的HTTP方法语义：</w:t>
      </w:r>
    </w:p>
    <w:p w14:paraId="56165DE3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GET：获取资源</w:t>
      </w:r>
    </w:p>
    <w:p w14:paraId="7456FFD5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POST：创建资源</w:t>
      </w:r>
    </w:p>
    <w:p w14:paraId="1C7D7530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PUT：更新资源</w:t>
      </w:r>
    </w:p>
    <w:p w14:paraId="2C9D4553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DELETE：删除资源</w:t>
      </w:r>
    </w:p>
    <w:p w14:paraId="280E309A">
      <w:pPr>
        <w:spacing w:before="300" w:after="120" w:line="288" w:lineRule="auto"/>
        <w:ind w:left="0"/>
        <w:jc w:val="left"/>
        <w:outlineLvl w:val="2"/>
      </w:pPr>
      <w:bookmarkStart w:id="22" w:name="heading_10"/>
      <w:bookmarkStart w:id="23" w:name="_Toc30598"/>
      <w:r>
        <w:rPr>
          <w:rFonts w:ascii="Arial" w:hAnsi="Arial" w:eastAsia="等线" w:cs="Arial"/>
          <w:b/>
          <w:sz w:val="30"/>
        </w:rPr>
        <w:t>2. 接口定义</w:t>
      </w:r>
      <w:bookmarkEnd w:id="22"/>
      <w:bookmarkEnd w:id="23"/>
    </w:p>
    <w:p w14:paraId="25979051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统一使用封装的请求函数，如</w:t>
      </w:r>
      <w:r>
        <w:rPr>
          <w:rFonts w:ascii="Consolas" w:hAnsi="Consolas" w:eastAsia="Consolas" w:cs="Consolas"/>
          <w:sz w:val="22"/>
          <w:shd w:val="clear" w:fill="EFF0F1"/>
        </w:rPr>
        <w:t>request()</w:t>
      </w:r>
    </w:p>
    <w:p w14:paraId="325E8FB8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接口参数和返回值需明确类型</w:t>
      </w:r>
    </w:p>
    <w:p w14:paraId="32B2F08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接口调用需处理成功和失败情况</w:t>
      </w:r>
    </w:p>
    <w:p w14:paraId="77451BB5">
      <w:pPr>
        <w:spacing w:before="320" w:after="120" w:line="288" w:lineRule="auto"/>
        <w:ind w:left="0"/>
        <w:jc w:val="left"/>
        <w:outlineLvl w:val="1"/>
      </w:pPr>
      <w:bookmarkStart w:id="24" w:name="heading_11"/>
      <w:bookmarkStart w:id="25" w:name="_Toc17319"/>
      <w:r>
        <w:rPr>
          <w:rFonts w:ascii="Arial" w:hAnsi="Arial" w:eastAsia="等线" w:cs="Arial"/>
          <w:b/>
          <w:sz w:val="32"/>
        </w:rPr>
        <w:t>四、前端规范</w:t>
      </w:r>
      <w:bookmarkEnd w:id="24"/>
      <w:bookmarkEnd w:id="25"/>
    </w:p>
    <w:p w14:paraId="0664C8A6">
      <w:pPr>
        <w:spacing w:before="300" w:after="120" w:line="288" w:lineRule="auto"/>
        <w:ind w:left="0"/>
        <w:jc w:val="left"/>
        <w:outlineLvl w:val="2"/>
      </w:pPr>
      <w:bookmarkStart w:id="26" w:name="heading_12"/>
      <w:bookmarkStart w:id="27" w:name="_Toc26324"/>
      <w:r>
        <w:rPr>
          <w:rFonts w:ascii="Arial" w:hAnsi="Arial" w:eastAsia="等线" w:cs="Arial"/>
          <w:b/>
          <w:sz w:val="30"/>
        </w:rPr>
        <w:t>1. 状态管理</w:t>
      </w:r>
      <w:bookmarkEnd w:id="26"/>
      <w:bookmarkEnd w:id="27"/>
    </w:p>
    <w:p w14:paraId="524D0FD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登录状态等全局状态应存储在localStorage或Vuex/Pinia中</w:t>
      </w:r>
    </w:p>
    <w:p w14:paraId="704202D1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敏感信息如token应妥善保管，避免暴露</w:t>
      </w:r>
    </w:p>
    <w:p w14:paraId="358CEAA9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状态更新应遵循单向数据流原则</w:t>
      </w:r>
    </w:p>
    <w:p w14:paraId="752D8744">
      <w:pPr>
        <w:spacing w:before="300" w:after="120" w:line="288" w:lineRule="auto"/>
        <w:ind w:left="0"/>
        <w:jc w:val="left"/>
        <w:outlineLvl w:val="2"/>
      </w:pPr>
      <w:bookmarkStart w:id="28" w:name="heading_13"/>
      <w:bookmarkStart w:id="29" w:name="_Toc19218"/>
      <w:r>
        <w:rPr>
          <w:rFonts w:ascii="Arial" w:hAnsi="Arial" w:eastAsia="等线" w:cs="Arial"/>
          <w:b/>
          <w:sz w:val="30"/>
        </w:rPr>
        <w:t>2. 组件规范</w:t>
      </w:r>
      <w:bookmarkEnd w:id="28"/>
      <w:bookmarkEnd w:id="29"/>
    </w:p>
    <w:p w14:paraId="0A3381E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组件命名使用帕斯卡命名法（PascalCase）</w:t>
      </w:r>
    </w:p>
    <w:p w14:paraId="7B34496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组件应保持独立性和可复用性</w:t>
      </w:r>
    </w:p>
    <w:p w14:paraId="354D2A7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复杂组件应拆分为多个小组件</w:t>
      </w:r>
    </w:p>
    <w:p w14:paraId="19A4266D">
      <w:pPr>
        <w:spacing w:before="320" w:after="120" w:line="288" w:lineRule="auto"/>
        <w:ind w:left="0"/>
        <w:jc w:val="left"/>
        <w:outlineLvl w:val="1"/>
      </w:pPr>
      <w:bookmarkStart w:id="30" w:name="heading_14"/>
      <w:bookmarkStart w:id="31" w:name="_Toc18361"/>
      <w:r>
        <w:rPr>
          <w:rFonts w:ascii="Arial" w:hAnsi="Arial" w:eastAsia="等线" w:cs="Arial"/>
          <w:b/>
          <w:sz w:val="32"/>
        </w:rPr>
        <w:t>五、脚本规范</w:t>
      </w:r>
      <w:bookmarkEnd w:id="30"/>
      <w:bookmarkEnd w:id="31"/>
    </w:p>
    <w:p w14:paraId="5BF731C4">
      <w:pPr>
        <w:spacing w:before="300" w:after="120" w:line="288" w:lineRule="auto"/>
        <w:ind w:left="0"/>
        <w:jc w:val="left"/>
        <w:outlineLvl w:val="2"/>
      </w:pPr>
      <w:bookmarkStart w:id="32" w:name="heading_15"/>
      <w:bookmarkStart w:id="33" w:name="_Toc23952"/>
      <w:r>
        <w:rPr>
          <w:rFonts w:ascii="Arial" w:hAnsi="Arial" w:eastAsia="等线" w:cs="Arial"/>
          <w:b/>
          <w:sz w:val="30"/>
        </w:rPr>
        <w:t>1. 批处理脚本</w:t>
      </w:r>
      <w:bookmarkEnd w:id="32"/>
      <w:bookmarkEnd w:id="33"/>
    </w:p>
    <w:p w14:paraId="243D7883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关键操作需添加日志输出，方便排查问题</w:t>
      </w:r>
    </w:p>
    <w:p w14:paraId="4777144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长时间操作需添加等待提示</w:t>
      </w:r>
    </w:p>
    <w:p w14:paraId="6C630AD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脚本执行完成后应有明确的结束提示</w:t>
      </w:r>
    </w:p>
    <w:p w14:paraId="384A798A">
      <w:pPr>
        <w:spacing w:before="320" w:after="120" w:line="288" w:lineRule="auto"/>
        <w:ind w:left="0"/>
        <w:jc w:val="left"/>
        <w:outlineLvl w:val="1"/>
      </w:pPr>
      <w:bookmarkStart w:id="34" w:name="heading_16"/>
      <w:bookmarkStart w:id="35" w:name="_Toc8406"/>
      <w:r>
        <w:rPr>
          <w:rFonts w:ascii="Arial" w:hAnsi="Arial" w:eastAsia="等线" w:cs="Arial"/>
          <w:b/>
          <w:sz w:val="32"/>
        </w:rPr>
        <w:t>六、数据库规范</w:t>
      </w:r>
      <w:bookmarkEnd w:id="34"/>
      <w:bookmarkEnd w:id="35"/>
    </w:p>
    <w:p w14:paraId="07C32CE8">
      <w:pPr>
        <w:spacing w:before="300" w:after="120" w:line="288" w:lineRule="auto"/>
        <w:ind w:left="0"/>
        <w:jc w:val="left"/>
        <w:outlineLvl w:val="2"/>
      </w:pPr>
      <w:bookmarkStart w:id="36" w:name="heading_17"/>
      <w:bookmarkStart w:id="37" w:name="_Toc4115"/>
      <w:r>
        <w:rPr>
          <w:rFonts w:ascii="Arial" w:hAnsi="Arial" w:eastAsia="等线" w:cs="Arial"/>
          <w:b/>
          <w:sz w:val="30"/>
        </w:rPr>
        <w:t>1. 表结构设计</w:t>
      </w:r>
      <w:bookmarkEnd w:id="36"/>
      <w:bookmarkEnd w:id="37"/>
    </w:p>
    <w:p w14:paraId="11638CE4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表名使用首字母大写的单数形式，如</w:t>
      </w:r>
      <w:r>
        <w:rPr>
          <w:rFonts w:ascii="Consolas" w:hAnsi="Consolas" w:eastAsia="Consolas" w:cs="Consolas"/>
          <w:sz w:val="22"/>
          <w:shd w:val="clear" w:fill="EFF0F1"/>
        </w:rPr>
        <w:t>User</w:t>
      </w:r>
      <w:r>
        <w:rPr>
          <w:rFonts w:ascii="Arial" w:hAnsi="Arial" w:eastAsia="等线" w:cs="Arial"/>
          <w:sz w:val="22"/>
        </w:rPr>
        <w:t>而非</w:t>
      </w:r>
      <w:r>
        <w:rPr>
          <w:rFonts w:ascii="Consolas" w:hAnsi="Consolas" w:eastAsia="Consolas" w:cs="Consolas"/>
          <w:sz w:val="22"/>
          <w:shd w:val="clear" w:fill="EFF0F1"/>
        </w:rPr>
        <w:t>users</w:t>
      </w:r>
    </w:p>
    <w:p w14:paraId="11417C6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字段名使用小写字母+下划线分隔（snake_case）</w:t>
      </w:r>
    </w:p>
    <w:p w14:paraId="5568EF73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必须包含主键，推荐使用有意义的ID而非自增数字</w:t>
      </w:r>
    </w:p>
    <w:p w14:paraId="2845225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包含必要的时间戳字段，如</w:t>
      </w:r>
      <w:r>
        <w:rPr>
          <w:rFonts w:ascii="Consolas" w:hAnsi="Consolas" w:eastAsia="Consolas" w:cs="Consolas"/>
          <w:sz w:val="22"/>
          <w:shd w:val="clear" w:fill="EFF0F1"/>
        </w:rPr>
        <w:t>created_at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updated_at</w:t>
      </w:r>
    </w:p>
    <w:p w14:paraId="3216B2DB">
      <w:pPr>
        <w:spacing w:before="300" w:after="120" w:line="288" w:lineRule="auto"/>
        <w:ind w:left="0"/>
        <w:jc w:val="left"/>
        <w:outlineLvl w:val="2"/>
      </w:pPr>
      <w:bookmarkStart w:id="38" w:name="heading_18"/>
      <w:bookmarkStart w:id="39" w:name="_Toc223"/>
      <w:r>
        <w:rPr>
          <w:rFonts w:ascii="Arial" w:hAnsi="Arial" w:eastAsia="等线" w:cs="Arial"/>
          <w:b/>
          <w:sz w:val="30"/>
        </w:rPr>
        <w:t>2. 数据操作</w:t>
      </w:r>
      <w:bookmarkEnd w:id="38"/>
      <w:bookmarkEnd w:id="39"/>
    </w:p>
    <w:p w14:paraId="4C05561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密码必须加密存储，禁止明文存储</w:t>
      </w:r>
    </w:p>
    <w:p w14:paraId="4B54916D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敏感数据操作需进行权限校验</w:t>
      </w:r>
    </w:p>
    <w:p w14:paraId="40373909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批量操作需考虑性能和事务完整性</w:t>
      </w:r>
    </w:p>
    <w:p w14:paraId="4B7FDD7F">
      <w:pPr>
        <w:spacing w:before="320" w:after="120" w:line="288" w:lineRule="auto"/>
        <w:ind w:left="0"/>
        <w:jc w:val="left"/>
        <w:outlineLvl w:val="1"/>
      </w:pPr>
      <w:bookmarkStart w:id="40" w:name="heading_19"/>
      <w:bookmarkStart w:id="41" w:name="_Toc30176"/>
      <w:r>
        <w:rPr>
          <w:rFonts w:ascii="Arial" w:hAnsi="Arial" w:eastAsia="等线" w:cs="Arial"/>
          <w:b/>
          <w:sz w:val="32"/>
        </w:rPr>
        <w:t>七、版本控制规范</w:t>
      </w:r>
      <w:bookmarkEnd w:id="40"/>
      <w:bookmarkEnd w:id="41"/>
    </w:p>
    <w:p w14:paraId="440744E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提交信息应清晰明了，格式为</w:t>
      </w:r>
      <w:r>
        <w:rPr>
          <w:rFonts w:ascii="Consolas" w:hAnsi="Consolas" w:eastAsia="Consolas" w:cs="Consolas"/>
          <w:sz w:val="22"/>
          <w:shd w:val="clear" w:fill="EFF0F1"/>
        </w:rPr>
        <w:t>[类型]: 描述信息</w:t>
      </w:r>
      <w:r>
        <w:rPr>
          <w:rFonts w:ascii="Arial" w:hAnsi="Arial" w:eastAsia="等线" w:cs="Arial"/>
          <w:sz w:val="22"/>
        </w:rPr>
        <w:t>，如</w:t>
      </w:r>
      <w:r>
        <w:rPr>
          <w:rFonts w:ascii="Consolas" w:hAnsi="Consolas" w:eastAsia="Consolas" w:cs="Consolas"/>
          <w:sz w:val="22"/>
          <w:shd w:val="clear" w:fill="EFF0F1"/>
        </w:rPr>
        <w:t>[feat]: 添加用户登录功能</w:t>
      </w:r>
    </w:p>
    <w:p w14:paraId="6DE4362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功能开发应在独立分支进行，完成后通过PR/MR合并到主分支</w:t>
      </w:r>
    </w:p>
    <w:p w14:paraId="791BD49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定期进行代码审查，确保代码质量</w:t>
      </w:r>
    </w:p>
    <w:p w14:paraId="50B2D5BE">
      <w:pPr>
        <w:spacing w:before="320" w:after="120" w:line="288" w:lineRule="auto"/>
        <w:ind w:left="0"/>
        <w:jc w:val="left"/>
        <w:outlineLvl w:val="1"/>
      </w:pPr>
      <w:bookmarkStart w:id="42" w:name="heading_20"/>
      <w:bookmarkStart w:id="43" w:name="_Toc30688"/>
      <w:r>
        <w:rPr>
          <w:rFonts w:ascii="Arial" w:hAnsi="Arial" w:eastAsia="等线" w:cs="Arial"/>
          <w:b/>
          <w:sz w:val="32"/>
        </w:rPr>
        <w:t>八、其他规范</w:t>
      </w:r>
      <w:bookmarkEnd w:id="42"/>
      <w:bookmarkEnd w:id="43"/>
    </w:p>
    <w:p w14:paraId="48A528B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避免硬编码，常量和配置应集中管理</w:t>
      </w:r>
    </w:p>
    <w:p w14:paraId="7859DF23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代码中禁止出现调试信息（如console.log）提交到生产环境</w:t>
      </w:r>
    </w:p>
    <w:p w14:paraId="52A0945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定期清理无用代码和注释</w:t>
      </w:r>
    </w:p>
    <w:p w14:paraId="3C1D45B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遵循DRY原则（Don't Repeat Yourself），避免代码重复</w:t>
      </w:r>
    </w:p>
    <w:p w14:paraId="34A0BC8B">
      <w:pPr>
        <w:spacing w:before="120" w:after="120" w:line="288" w:lineRule="auto"/>
        <w:ind w:left="0"/>
        <w:jc w:val="left"/>
      </w:pPr>
      <w:bookmarkStart w:id="44" w:name="_GoBack"/>
      <w:bookmarkEnd w:id="4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0C82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625D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2"/>
  </w:num>
  <w:num w:numId="2">
    <w:abstractNumId w:val="15"/>
  </w:num>
  <w:num w:numId="3">
    <w:abstractNumId w:val="44"/>
  </w:num>
  <w:num w:numId="4">
    <w:abstractNumId w:val="13"/>
  </w:num>
  <w:num w:numId="5">
    <w:abstractNumId w:val="9"/>
  </w:num>
  <w:num w:numId="6">
    <w:abstractNumId w:val="24"/>
  </w:num>
  <w:num w:numId="7">
    <w:abstractNumId w:val="32"/>
  </w:num>
  <w:num w:numId="8">
    <w:abstractNumId w:val="51"/>
  </w:num>
  <w:num w:numId="9">
    <w:abstractNumId w:val="23"/>
  </w:num>
  <w:num w:numId="10">
    <w:abstractNumId w:val="5"/>
  </w:num>
  <w:num w:numId="11">
    <w:abstractNumId w:val="33"/>
  </w:num>
  <w:num w:numId="12">
    <w:abstractNumId w:val="45"/>
  </w:num>
  <w:num w:numId="13">
    <w:abstractNumId w:val="14"/>
  </w:num>
  <w:num w:numId="14">
    <w:abstractNumId w:val="41"/>
  </w:num>
  <w:num w:numId="15">
    <w:abstractNumId w:val="20"/>
  </w:num>
  <w:num w:numId="16">
    <w:abstractNumId w:val="31"/>
  </w:num>
  <w:num w:numId="17">
    <w:abstractNumId w:val="18"/>
  </w:num>
  <w:num w:numId="18">
    <w:abstractNumId w:val="17"/>
  </w:num>
  <w:num w:numId="19">
    <w:abstractNumId w:val="7"/>
  </w:num>
  <w:num w:numId="20">
    <w:abstractNumId w:val="39"/>
  </w:num>
  <w:num w:numId="21">
    <w:abstractNumId w:val="48"/>
  </w:num>
  <w:num w:numId="22">
    <w:abstractNumId w:val="27"/>
  </w:num>
  <w:num w:numId="23">
    <w:abstractNumId w:val="38"/>
  </w:num>
  <w:num w:numId="24">
    <w:abstractNumId w:val="8"/>
  </w:num>
  <w:num w:numId="25">
    <w:abstractNumId w:val="55"/>
  </w:num>
  <w:num w:numId="26">
    <w:abstractNumId w:val="53"/>
  </w:num>
  <w:num w:numId="27">
    <w:abstractNumId w:val="12"/>
  </w:num>
  <w:num w:numId="28">
    <w:abstractNumId w:val="49"/>
  </w:num>
  <w:num w:numId="29">
    <w:abstractNumId w:val="6"/>
  </w:num>
  <w:num w:numId="30">
    <w:abstractNumId w:val="37"/>
  </w:num>
  <w:num w:numId="31">
    <w:abstractNumId w:val="2"/>
  </w:num>
  <w:num w:numId="32">
    <w:abstractNumId w:val="43"/>
  </w:num>
  <w:num w:numId="33">
    <w:abstractNumId w:val="56"/>
  </w:num>
  <w:num w:numId="34">
    <w:abstractNumId w:val="0"/>
  </w:num>
  <w:num w:numId="35">
    <w:abstractNumId w:val="30"/>
  </w:num>
  <w:num w:numId="36">
    <w:abstractNumId w:val="42"/>
  </w:num>
  <w:num w:numId="37">
    <w:abstractNumId w:val="21"/>
  </w:num>
  <w:num w:numId="38">
    <w:abstractNumId w:val="19"/>
  </w:num>
  <w:num w:numId="39">
    <w:abstractNumId w:val="34"/>
  </w:num>
  <w:num w:numId="40">
    <w:abstractNumId w:val="54"/>
  </w:num>
  <w:num w:numId="41">
    <w:abstractNumId w:val="11"/>
  </w:num>
  <w:num w:numId="42">
    <w:abstractNumId w:val="4"/>
  </w:num>
  <w:num w:numId="43">
    <w:abstractNumId w:val="10"/>
  </w:num>
  <w:num w:numId="44">
    <w:abstractNumId w:val="46"/>
  </w:num>
  <w:num w:numId="45">
    <w:abstractNumId w:val="1"/>
  </w:num>
  <w:num w:numId="46">
    <w:abstractNumId w:val="28"/>
  </w:num>
  <w:num w:numId="47">
    <w:abstractNumId w:val="3"/>
  </w:num>
  <w:num w:numId="48">
    <w:abstractNumId w:val="47"/>
  </w:num>
  <w:num w:numId="49">
    <w:abstractNumId w:val="52"/>
  </w:num>
  <w:num w:numId="50">
    <w:abstractNumId w:val="40"/>
  </w:num>
  <w:num w:numId="51">
    <w:abstractNumId w:val="35"/>
  </w:num>
  <w:num w:numId="52">
    <w:abstractNumId w:val="50"/>
  </w:num>
  <w:num w:numId="53">
    <w:abstractNumId w:val="25"/>
  </w:num>
  <w:num w:numId="54">
    <w:abstractNumId w:val="26"/>
  </w:num>
  <w:num w:numId="55">
    <w:abstractNumId w:val="16"/>
  </w:num>
  <w:num w:numId="56">
    <w:abstractNumId w:val="36"/>
  </w:num>
  <w:num w:numId="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C4B70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toc 2"/>
    <w:basedOn w:val="1"/>
    <w:next w:val="1"/>
    <w:uiPriority w:val="0"/>
    <w:pPr>
      <w:ind w:left="420" w:leftChars="2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封面内容"/>
    <w:basedOn w:val="8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1183</Words>
  <Characters>1614</Characters>
  <TotalTime>1</TotalTime>
  <ScaleCrop>false</ScaleCrop>
  <LinksUpToDate>false</LinksUpToDate>
  <CharactersWithSpaces>1642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2026-01-02T11:31:00Z</dcterms:created>
  <dc:creator>Apache POI</dc:creator>
  <cp:lastModifiedBy>微信用户</cp:lastModifiedBy>
  <dcterms:modified xsi:type="dcterms:W3CDTF">2026-01-02T12:07:55Z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459C1DCD1E354196B306517729F98C32_12</vt:lpwstr>
  </property>
</Properties>
</file>