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E0371">
      <w:bookmarkStart w:id="0" w:name="_Toc7782"/>
      <w:bookmarkStart w:id="1" w:name="heading_0"/>
    </w:p>
    <w:p w14:paraId="6482A443"/>
    <w:p w14:paraId="532F7EE9">
      <w:pPr>
        <w:pStyle w:val="3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2" w:name="_Toc22021"/>
      <w:r>
        <w:rPr>
          <w:rFonts w:hint="eastAsia" w:ascii="华文新魏" w:eastAsia="华文新魏"/>
          <w:sz w:val="72"/>
          <w:szCs w:val="72"/>
          <w:lang w:val="en-US" w:eastAsia="zh-CN"/>
        </w:rPr>
        <w:t>城小二集成测试用例</w:t>
      </w:r>
      <w:bookmarkEnd w:id="0"/>
      <w:bookmarkEnd w:id="2"/>
    </w:p>
    <w:p w14:paraId="1593D5E3">
      <w:pPr>
        <w:ind w:left="-2" w:leftChars="-1" w:firstLine="2280" w:firstLineChars="950"/>
        <w:rPr>
          <w:rFonts w:hint="eastAsia"/>
          <w:sz w:val="24"/>
        </w:rPr>
      </w:pPr>
    </w:p>
    <w:p w14:paraId="058331B4">
      <w:pPr>
        <w:jc w:val="center"/>
        <w:rPr>
          <w:rFonts w:hint="eastAsia"/>
          <w:b/>
          <w:sz w:val="18"/>
          <w:szCs w:val="20"/>
        </w:rPr>
      </w:pPr>
    </w:p>
    <w:p w14:paraId="4C63562F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2" name="图片 2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60E0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2D8A3B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1D604837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3FA4CDC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 xml:space="preserve">杨俊杰 潘攀兆 陈鹏宇 杨铭杰 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475044D1">
      <w:pPr>
        <w:jc w:val="left"/>
        <w:rPr>
          <w:rStyle w:val="9"/>
          <w:rFonts w:hint="eastAsia" w:asciiTheme="minorEastAsia" w:hAnsiTheme="minorEastAsia"/>
          <w:sz w:val="24"/>
        </w:rPr>
      </w:pPr>
    </w:p>
    <w:p w14:paraId="6A5E8DC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9"/>
          <w:rFonts w:hint="eastAsia" w:asciiTheme="minorEastAsia" w:hAnsiTheme="minorEastAsia"/>
          <w:sz w:val="24"/>
        </w:rPr>
        <w:t xml:space="preserve">          </w:t>
      </w:r>
      <w:r>
        <w:rPr>
          <w:rStyle w:val="9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9"/>
          <w:rFonts w:hint="eastAsia" w:asciiTheme="minorEastAsia" w:hAnsiTheme="minorEastAsia"/>
          <w:sz w:val="24"/>
        </w:rPr>
        <w:t>日期：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  <w:u w:val="single"/>
          <w:lang w:val="en-US" w:eastAsia="zh-CN"/>
        </w:rPr>
        <w:t>2026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9"/>
          <w:rFonts w:hint="eastAsia" w:asciiTheme="minorEastAsia" w:hAnsiTheme="minorEastAsia"/>
          <w:sz w:val="24"/>
        </w:rPr>
        <w:t>年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9"/>
          <w:rFonts w:hint="eastAsia" w:asciiTheme="minorEastAsia" w:hAnsiTheme="minorEastAsia"/>
          <w:sz w:val="24"/>
          <w:u w:val="single"/>
          <w:lang w:val="en-US" w:eastAsia="zh-CN"/>
        </w:rPr>
        <w:t>1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</w:rPr>
        <w:t>月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  <w:u w:val="single"/>
          <w:lang w:val="en-US" w:eastAsia="zh-CN"/>
        </w:rPr>
        <w:t>2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</w:rPr>
        <w:t>日</w:t>
      </w:r>
    </w:p>
    <w:p w14:paraId="09E4F98A">
      <w:pPr>
        <w:rPr>
          <w:rFonts w:hint="eastAsia"/>
          <w:lang w:val="en-US" w:eastAsia="zh-CN"/>
        </w:rPr>
      </w:pPr>
    </w:p>
    <w:p w14:paraId="0503C95F">
      <w:pPr>
        <w:rPr>
          <w:rFonts w:hint="eastAsia"/>
          <w:lang w:val="en-US" w:eastAsia="zh-CN"/>
        </w:rPr>
      </w:pPr>
    </w:p>
    <w:p w14:paraId="731238BB">
      <w:pPr>
        <w:rPr>
          <w:rFonts w:hint="eastAsia"/>
          <w:lang w:val="en-US" w:eastAsia="zh-CN"/>
        </w:rPr>
      </w:pPr>
    </w:p>
    <w:p w14:paraId="2F7A4078">
      <w:pPr>
        <w:rPr>
          <w:rFonts w:hint="eastAsia"/>
          <w:lang w:val="en-US" w:eastAsia="zh-CN"/>
        </w:rPr>
      </w:pPr>
    </w:p>
    <w:p w14:paraId="5F786833">
      <w:pPr>
        <w:rPr>
          <w:rFonts w:hint="eastAsia"/>
          <w:lang w:val="en-US" w:eastAsia="zh-CN"/>
        </w:rPr>
      </w:pPr>
    </w:p>
    <w:p w14:paraId="3168605D">
      <w:pPr>
        <w:rPr>
          <w:rFonts w:hint="eastAsia"/>
          <w:lang w:val="en-US" w:eastAsia="zh-CN"/>
        </w:rPr>
      </w:pPr>
    </w:p>
    <w:p w14:paraId="32A0E0FB">
      <w:pPr>
        <w:rPr>
          <w:rFonts w:hint="eastAsia"/>
          <w:lang w:val="en-US" w:eastAsia="zh-CN"/>
        </w:rPr>
      </w:pPr>
    </w:p>
    <w:p w14:paraId="548BC7FF">
      <w:pPr>
        <w:rPr>
          <w:rFonts w:hint="eastAsia"/>
          <w:lang w:val="en-US" w:eastAsia="zh-CN"/>
        </w:rPr>
      </w:pPr>
    </w:p>
    <w:p w14:paraId="605920C4">
      <w:pPr>
        <w:rPr>
          <w:rFonts w:hint="eastAsia"/>
          <w:lang w:val="en-US" w:eastAsia="zh-CN"/>
        </w:rPr>
      </w:pPr>
    </w:p>
    <w:p w14:paraId="1A621731">
      <w:pPr>
        <w:rPr>
          <w:rFonts w:hint="eastAsia"/>
          <w:lang w:val="en-US" w:eastAsia="zh-CN"/>
        </w:rPr>
      </w:pPr>
    </w:p>
    <w:p w14:paraId="0D5867B0">
      <w:pPr>
        <w:rPr>
          <w:rFonts w:hint="eastAsia"/>
          <w:lang w:val="en-US" w:eastAsia="zh-CN"/>
        </w:rPr>
      </w:pPr>
    </w:p>
    <w:p w14:paraId="52070A71">
      <w:pPr>
        <w:rPr>
          <w:rFonts w:hint="eastAsia"/>
          <w:lang w:val="en-US" w:eastAsia="zh-CN"/>
        </w:rPr>
      </w:pPr>
    </w:p>
    <w:p w14:paraId="77E3A6D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0DFC3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70B4347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3ECE8E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7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22DB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5E5B234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3A103B9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城小二微信小程序集成测试用例</w:t>
            </w:r>
          </w:p>
        </w:tc>
      </w:tr>
    </w:tbl>
    <w:p w14:paraId="5BCB818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7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09BC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275FDCB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7F5CC7A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E93C25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7FECC29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03C1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7FEC07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6603E1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>测试阶段</w:t>
            </w:r>
          </w:p>
        </w:tc>
        <w:tc>
          <w:tcPr>
            <w:tcW w:w="1243" w:type="dxa"/>
            <w:noWrap w:val="0"/>
            <w:vAlign w:val="top"/>
          </w:tcPr>
          <w:p w14:paraId="708985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7CCAB16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2026.1.2</w:t>
            </w:r>
          </w:p>
        </w:tc>
      </w:tr>
      <w:tr w14:paraId="1337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1D25A6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0A7D95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739C4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6C090AA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2025.12.27</w:t>
            </w:r>
          </w:p>
        </w:tc>
      </w:tr>
    </w:tbl>
    <w:p w14:paraId="06798CC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72FF96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A202EF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1E5EF2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99B74B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C9DB06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A42DF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A9364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0920F2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3EA685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FCFADD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1A1AEF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4B5130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1"/>
        <w:gridCol w:w="2131"/>
      </w:tblGrid>
      <w:tr w14:paraId="465D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640F13F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0BF0D80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66EE13B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09338C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3543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C364D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2025.1.2</w:t>
            </w:r>
          </w:p>
        </w:tc>
        <w:tc>
          <w:tcPr>
            <w:tcW w:w="2130" w:type="dxa"/>
            <w:noWrap w:val="0"/>
            <w:vAlign w:val="top"/>
          </w:tcPr>
          <w:p w14:paraId="2ED7709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5E4D75B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7B4FFE4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44EB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203872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94AA55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266782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4DCAD7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</w:tr>
      <w:tr w14:paraId="0988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DB06C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6259B24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10C0F52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3BD6FA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3F2E35C5">
      <w:pPr>
        <w:rPr>
          <w:rFonts w:hint="eastAsia"/>
          <w:lang w:val="en-US" w:eastAsia="zh-CN"/>
        </w:rPr>
      </w:pPr>
    </w:p>
    <w:p w14:paraId="0856E81F">
      <w:pPr>
        <w:pStyle w:val="2"/>
      </w:pPr>
    </w:p>
    <w:p w14:paraId="62560D8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999374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8B0F9E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3B9F29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3B91D3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E364A7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067AB4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2DBAD0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375056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7D5560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sdt>
      <w:sdtPr>
        <w:rPr>
          <w:rFonts w:ascii="宋体" w:hAnsi="宋体" w:eastAsia="宋体"/>
          <w:sz w:val="21"/>
          <w:szCs w:val="22"/>
        </w:rPr>
        <w:id w:val="1474540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4B33896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853615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_Toc22021 </w:instrText>
          </w:r>
          <w: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城小二集成测试用例</w:t>
          </w:r>
          <w:r>
            <w:tab/>
          </w:r>
          <w:r>
            <w:fldChar w:fldCharType="begin"/>
          </w:r>
          <w:r>
            <w:instrText xml:space="preserve"> PAGEREF _Toc22021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9ED0AF8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_Toc13801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一、测试概述</w:t>
          </w:r>
          <w:r>
            <w:tab/>
          </w:r>
          <w:r>
            <w:fldChar w:fldCharType="begin"/>
          </w:r>
          <w:r>
            <w:instrText xml:space="preserve"> PAGEREF _Toc13801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110727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测试背景与目标</w:t>
          </w:r>
          <w:r>
            <w:tab/>
          </w:r>
          <w:r>
            <w:fldChar w:fldCharType="begin"/>
          </w:r>
          <w:r>
            <w:instrText xml:space="preserve"> PAGEREF _Toc196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8DB9F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_Toc7502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测试环境与工具</w:t>
          </w:r>
          <w:r>
            <w:tab/>
          </w:r>
          <w:r>
            <w:fldChar w:fldCharType="begin"/>
          </w:r>
          <w:r>
            <w:instrText xml:space="preserve"> PAGEREF _Toc7502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1C871A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_Toc23123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测试范围与集成方式说明</w:t>
          </w:r>
          <w:r>
            <w:tab/>
          </w:r>
          <w:r>
            <w:fldChar w:fldCharType="begin"/>
          </w:r>
          <w:r>
            <w:instrText xml:space="preserve"> PAGEREF _Toc23123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5E0717D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_Toc3467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二、测试用例设计与执行结果</w:t>
          </w:r>
          <w:r>
            <w:tab/>
          </w:r>
          <w:r>
            <w:fldChar w:fldCharType="begin"/>
          </w:r>
          <w:r>
            <w:instrText xml:space="preserve"> PAGEREF _Toc3467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EE091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_Toc3709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加购-确认订单流程测试（纯JS逻辑）</w:t>
          </w:r>
          <w:r>
            <w:tab/>
          </w:r>
          <w:r>
            <w:fldChar w:fldCharType="begin"/>
          </w:r>
          <w:r>
            <w:instrText xml:space="preserve"> PAGEREF _Toc3709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13206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_Toc28554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确认订单-下单-订单列表流程测试（纯JS逻辑）</w:t>
          </w:r>
          <w:r>
            <w:tab/>
          </w:r>
          <w:r>
            <w:fldChar w:fldCharType="begin"/>
          </w:r>
          <w:r>
            <w:instrText xml:space="preserve"> PAGEREF _Toc28554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0E74BB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_Toc17829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确认订单-支付流程测试（纯JS逻辑）</w:t>
          </w:r>
          <w:r>
            <w:tab/>
          </w:r>
          <w:r>
            <w:fldChar w:fldCharType="begin"/>
          </w:r>
          <w:r>
            <w:instrText xml:space="preserve"> PAGEREF _Toc17829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B36D240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_Toc10430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三、核心脚本逻辑说明</w:t>
          </w:r>
          <w:r>
            <w:tab/>
          </w:r>
          <w:r>
            <w:fldChar w:fldCharType="begin"/>
          </w:r>
          <w:r>
            <w:instrText xml:space="preserve"> PAGEREF _Toc10430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FC6EC9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_Toc7080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测试数据管理</w:t>
          </w:r>
          <w:r>
            <w:tab/>
          </w:r>
          <w:r>
            <w:fldChar w:fldCharType="begin"/>
          </w:r>
          <w:r>
            <w:instrText xml:space="preserve"> PAGEREF _Toc7080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59916C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_Toc18679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函数封装与集成逻辑</w:t>
          </w:r>
          <w:r>
            <w:tab/>
          </w:r>
          <w:r>
            <w:fldChar w:fldCharType="begin"/>
          </w:r>
          <w:r>
            <w:instrText xml:space="preserve"> PAGEREF _Toc18679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A75A4A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_Toc24279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Mock策略与隔离设计</w:t>
          </w:r>
          <w:r>
            <w:tab/>
          </w:r>
          <w:r>
            <w:fldChar w:fldCharType="begin"/>
          </w:r>
          <w:r>
            <w:instrText xml:space="preserve"> PAGEREF _Toc24279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7F22C9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_Toc29694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 断言策略</w:t>
          </w:r>
          <w:r>
            <w:tab/>
          </w:r>
          <w:r>
            <w:fldChar w:fldCharType="begin"/>
          </w:r>
          <w:r>
            <w:instrText xml:space="preserve"> PAGEREF _Toc29694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788C79D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_Toc24489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四、测试结论</w:t>
          </w:r>
          <w:r>
            <w:tab/>
          </w:r>
          <w:r>
            <w:fldChar w:fldCharType="begin"/>
          </w:r>
          <w:r>
            <w:instrText xml:space="preserve"> PAGEREF _Toc24489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3E1C4F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_Toc19701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集成验证结果</w:t>
          </w:r>
          <w:r>
            <w:tab/>
          </w:r>
          <w:r>
            <w:fldChar w:fldCharType="begin"/>
          </w:r>
          <w:r>
            <w:instrText xml:space="preserve"> PAGEREF _Toc19701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436535E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_Toc7960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五、关键点回顾</w:t>
          </w:r>
          <w:r>
            <w:tab/>
          </w:r>
          <w:r>
            <w:fldChar w:fldCharType="begin"/>
          </w:r>
          <w:r>
            <w:instrText xml:space="preserve"> PAGEREF _Toc7960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2057332">
          <w:pPr>
            <w:spacing w:before="320" w:after="120" w:line="288" w:lineRule="auto"/>
            <w:ind w:left="0" w:leftChars="0"/>
            <w:jc w:val="left"/>
            <w:outlineLvl w:val="1"/>
          </w:pPr>
          <w:r>
            <w:fldChar w:fldCharType="end"/>
          </w:r>
          <w:bookmarkStart w:id="3" w:name="_Toc13801"/>
        </w:p>
      </w:sdtContent>
    </w:sdt>
    <w:p w14:paraId="20DEFDC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C1EB0D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DEB7CE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088A8F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24B7D2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D19AD5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34" w:name="_GoBack"/>
    </w:p>
    <w:bookmarkEnd w:id="34"/>
    <w:p w14:paraId="3CBB3A3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98CB93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44010A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79D691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D98C71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一、测试概述</w:t>
      </w:r>
      <w:bookmarkEnd w:id="1"/>
      <w:bookmarkEnd w:id="3"/>
    </w:p>
    <w:p w14:paraId="26A793D3">
      <w:pPr>
        <w:spacing w:before="300" w:after="120" w:line="288" w:lineRule="auto"/>
        <w:ind w:left="0"/>
        <w:jc w:val="left"/>
        <w:outlineLvl w:val="2"/>
      </w:pPr>
      <w:bookmarkStart w:id="4" w:name="heading_1"/>
      <w:bookmarkStart w:id="5" w:name="_Toc196"/>
      <w:r>
        <w:rPr>
          <w:rFonts w:ascii="Arial" w:hAnsi="Arial" w:eastAsia="等线" w:cs="Arial"/>
          <w:b/>
          <w:sz w:val="30"/>
        </w:rPr>
        <w:t>1. 测试背景与目标</w:t>
      </w:r>
      <w:bookmarkEnd w:id="4"/>
      <w:bookmarkEnd w:id="5"/>
    </w:p>
    <w:p w14:paraId="3DAC0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为白盒集成测试，聚焦城小二项目核心业务链路的纯JS逻辑验证，不依赖Vue组件、后端服务及项目其他依赖文件。通过对“加购-确认订单”“确认订单-下单-订单列表”“确认订单-支付”三个关键集成流程的逻辑测试，验证各流程内部函数间的交互正确性、数据传递连贯性及业务规则符合性。测试基于代码内部逻辑设计用例，覆盖正常业务流程及典型异常场景，确保核心业务逻辑独立运行的可靠性。</w:t>
      </w:r>
    </w:p>
    <w:p w14:paraId="56093A1F">
      <w:pPr>
        <w:spacing w:before="300" w:after="120" w:line="288" w:lineRule="auto"/>
        <w:ind w:left="0"/>
        <w:jc w:val="left"/>
        <w:outlineLvl w:val="2"/>
      </w:pPr>
      <w:bookmarkStart w:id="6" w:name="heading_2"/>
      <w:bookmarkStart w:id="7" w:name="_Toc7502"/>
      <w:r>
        <w:rPr>
          <w:rFonts w:ascii="Arial" w:hAnsi="Arial" w:eastAsia="等线" w:cs="Arial"/>
          <w:b/>
          <w:sz w:val="30"/>
        </w:rPr>
        <w:t>2. 测试环境与工具</w:t>
      </w:r>
      <w:bookmarkEnd w:id="6"/>
      <w:bookmarkEnd w:id="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D5BC1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B6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A4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</w:t>
            </w:r>
          </w:p>
        </w:tc>
      </w:tr>
      <w:tr w14:paraId="4CC12D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1E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E0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本地开发环境（Node.js运行环境）</w:t>
            </w:r>
          </w:p>
        </w:tc>
      </w:tr>
      <w:tr w14:paraId="3F7C98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8CE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D5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Node.js + Jest（测试框架） + axios（模拟接口，已Mock隔离）</w:t>
            </w:r>
          </w:p>
        </w:tc>
      </w:tr>
      <w:tr w14:paraId="18A49F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5F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核心依赖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2D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jest@^29.0.0、axios@^1.0.0</w:t>
            </w:r>
          </w:p>
        </w:tc>
      </w:tr>
      <w:tr w14:paraId="288557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41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测试隔离方式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49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通过jest.mock('axios') Mock所有接口请求，模拟localStorage存储，完全隔离后端服务及项目其他依赖</w:t>
            </w:r>
          </w:p>
        </w:tc>
      </w:tr>
    </w:tbl>
    <w:p w14:paraId="510F13FD">
      <w:pPr>
        <w:spacing w:before="300" w:after="120" w:line="288" w:lineRule="auto"/>
        <w:ind w:left="0"/>
        <w:jc w:val="left"/>
        <w:outlineLvl w:val="2"/>
      </w:pPr>
      <w:bookmarkStart w:id="8" w:name="heading_3"/>
      <w:bookmarkStart w:id="9" w:name="_Toc23123"/>
      <w:r>
        <w:rPr>
          <w:rFonts w:ascii="Arial" w:hAnsi="Arial" w:eastAsia="等线" w:cs="Arial"/>
          <w:b/>
          <w:sz w:val="30"/>
        </w:rPr>
        <w:t>3. 测试范围与集成方式说明</w:t>
      </w:r>
      <w:bookmarkEnd w:id="8"/>
      <w:bookmarkEnd w:id="9"/>
    </w:p>
    <w:p w14:paraId="6B630C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本次集成测试覆盖三个核心业务流程：1. 加购-确认订单流程；2. 确认订单-下单-订单列表流程；3. 确认订单-支付流程。</w:t>
      </w:r>
    </w:p>
    <w:p w14:paraId="5B992C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集成方式：</w:t>
      </w:r>
      <w:r>
        <w:rPr>
          <w:rFonts w:ascii="Arial" w:hAnsi="Arial" w:eastAsia="等线" w:cs="Arial"/>
          <w:b/>
          <w:sz w:val="22"/>
        </w:rPr>
        <w:t>自底向上集成</w:t>
      </w:r>
      <w:r>
        <w:rPr>
          <w:rFonts w:ascii="Arial" w:hAnsi="Arial" w:eastAsia="等线" w:cs="Arial"/>
          <w:sz w:val="22"/>
        </w:rPr>
        <w:t>。各流程均先对底层独立函数（如加购函数、确认订单函数、下单函数等）进行逻辑验证，再逐步向上集成依赖这些底层函数的上层流程，验证函数间的交互与数据传递。该方式可提前暴露底层函数的逻辑问题，降低上层集成风险，适配本次纯JS逻辑分层测试的需求。</w:t>
      </w:r>
    </w:p>
    <w:p w14:paraId="4750EF6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加购-确认订单流程：集成addToCart（加购函数）、createOrder（创建订单函数），验证从加购到订单创建的逻辑连贯性；</w:t>
      </w:r>
    </w:p>
    <w:p w14:paraId="39D98C8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确认订单-下单-订单列表流程：集成confirmOrder（确认订单函数）、placeOrder（下单函数）、getOrderList（获取订单列表函数），验证订单预览、正式创建及列表查询的全链路逻辑；</w:t>
      </w:r>
    </w:p>
    <w:p w14:paraId="5606EBB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确认订单-支付流程：集成confirmOrder（确认订单函数）、payOrder（支付函数）、getOrderList（获取订单列表函数），验证订单确认、支付交互及订单状态更新的逻辑正确性。</w:t>
      </w:r>
    </w:p>
    <w:p w14:paraId="3FFC9BFB">
      <w:pPr>
        <w:spacing w:before="320" w:after="120" w:line="288" w:lineRule="auto"/>
        <w:ind w:left="0"/>
        <w:jc w:val="left"/>
        <w:outlineLvl w:val="1"/>
      </w:pPr>
      <w:bookmarkStart w:id="10" w:name="heading_4"/>
      <w:bookmarkStart w:id="11" w:name="_Toc3467"/>
      <w:r>
        <w:rPr>
          <w:rFonts w:ascii="Arial" w:hAnsi="Arial" w:eastAsia="等线" w:cs="Arial"/>
          <w:b/>
          <w:sz w:val="32"/>
        </w:rPr>
        <w:t>二、测试用例设计与执行结果</w:t>
      </w:r>
      <w:bookmarkEnd w:id="10"/>
      <w:bookmarkEnd w:id="11"/>
    </w:p>
    <w:p w14:paraId="657606AF">
      <w:pPr>
        <w:spacing w:before="300" w:after="120" w:line="288" w:lineRule="auto"/>
        <w:ind w:left="0"/>
        <w:jc w:val="left"/>
        <w:outlineLvl w:val="2"/>
      </w:pPr>
      <w:bookmarkStart w:id="12" w:name="heading_5"/>
      <w:bookmarkStart w:id="13" w:name="_Toc3709"/>
      <w:r>
        <w:rPr>
          <w:rFonts w:ascii="Arial" w:hAnsi="Arial" w:eastAsia="等线" w:cs="Arial"/>
          <w:b/>
          <w:sz w:val="30"/>
        </w:rPr>
        <w:t>1. 加购-确认订单流程测试（纯JS逻辑）</w:t>
      </w:r>
      <w:bookmarkEnd w:id="12"/>
      <w:bookmarkEnd w:id="13"/>
    </w:p>
    <w:p w14:paraId="7973E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测试目标：验证加购函数与创建订单函数的集成正确性，确保加购后的数据能正确传递至订单创建流程，且业务规则（如购物车非空校验）有效。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9DF38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8C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EE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19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7E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操作步骤（脚本逻辑）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0A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D9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E4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19126A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62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SYS-INTEG-CART-001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B9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正常加购：成功添加商品到购物车并更新数据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5A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商品数据：{id: '1001', name: '测试商品', price: 99.9, quantity: 1}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CC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Mock axios.post返回成功响应；2. 调用addToCart函数传入测试商品；3. 验证函数返回结果及购物车数据。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CB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addToCart返回success=true；2. 购物车items长度=1，商品名称为“测试商品”；3. 购物车total=99.9；4. axios.post调用参数正确。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EF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符合预期，所有断言均通过，购物车数据更新正确，接口调用参数无误。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F8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75BF6C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01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SYS-INTEG-CART-002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C5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确认订单：基于加购数据成功创建订单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54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商品数据：{id: '1001', name: '测试商品', price: 99.9, quantity: 1}；用户ID：mock_user_001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9F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先调用addToCart完成加购；2. Mock createOrder对应的axios.post返回成功响应；3. 调用createOrder传入购物车数据；4. 验证返回结果及接口调用参数。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09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createOrder返回success=true，orderId=ORDER_1001；2. axios.post调用参数包含正确的购物车商品列表及总金额；3. 订单数据与购物车数据一致。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64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符合预期，订单创建成功，返回订单号正确，接口调用参数与购物车数据一致，断言通过。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BB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4E8A79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85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SYS-INTEG-CART-003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9B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异常场景：购物车为空时创建订单失败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65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购物车数据：{items: [], total: 0}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FD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不执行加购操作，保持购物车为空；2. Mock axios.post返回失败响应；3. 调用createOrder传入空购物车数据；4. 验证返回结果。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4A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createOrder返回success=false；2. 提示语为“购物车为空，无法创建订单”；3. 未生成订单号。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FE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符合预期，返回失败结果及正确提示语，未生成订单，断言通过。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98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0CE3A5AC">
      <w:pPr>
        <w:spacing w:before="300" w:after="120" w:line="288" w:lineRule="auto"/>
        <w:ind w:left="0"/>
        <w:jc w:val="left"/>
        <w:outlineLvl w:val="2"/>
      </w:pPr>
      <w:bookmarkStart w:id="14" w:name="heading_6"/>
      <w:bookmarkStart w:id="15" w:name="_Toc28554"/>
      <w:r>
        <w:rPr>
          <w:rFonts w:ascii="Arial" w:hAnsi="Arial" w:eastAsia="等线" w:cs="Arial"/>
          <w:b/>
          <w:sz w:val="30"/>
        </w:rPr>
        <w:t>2. 确认订单-下单-订单列表流程测试（纯JS逻辑）</w:t>
      </w:r>
      <w:bookmarkEnd w:id="14"/>
      <w:bookmarkEnd w:id="15"/>
    </w:p>
    <w:p w14:paraId="1C41A0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测试目标：验证确认订单、下单、获取订单列表三个函数的集成连贯性，确保订单预览数据正确传递至下单流程，下单后订单能正确存入列表并按规则排序。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B6A3B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7B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7C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0C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1F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操作步骤（脚本逻辑）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71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65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66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1B65E3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9C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SYS-INTEG-ORDER-001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F8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完整流程：确认订单→下单→订单列表查询成功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28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收货地址：{name: '张三', phone: '13800138000', region: ['广东省','深圳市','南山区'], detail: '科技园路1号'}；购物车商品：[{id: 'p1', name: '测试商品', price: 59.9, quantity: 2}]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07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调用confirmOrder传入地址和购物车数据，生成订单预览；2. 调用placeOrder传入订单预览数据，创建正式订单；3. 调用getOrderList获取订单列表；4. 验证各步骤返回结果及数据一致性。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3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confirmOrder返回success=true，预览订单total=119.8；2. placeOrder返回success=true，订单号=ORDER_1000，状态=pending；3. getOrderList返回列表长度=1，订单信息与创建的订单一致；4. 列表按创建时间倒序排列。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DF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符合预期，各函数间数据传递正确，订单创建成功且列表查询正常，排序规则符合要求，所有断言通过。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AE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55F4A4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E7B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SYS-INTEG-ORDER-002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99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异常场景：地址不完整时确认订单失败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7B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不完整地址：{name: '李四', phone: '', region: []}；购物车商品：[{id: 'p2', price: 99, quantity: 1}]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87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调用confirmOrder传入不完整地址和购物车数据；2. 验证返回结果。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93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confirmOrder返回success=false；2. 错误提示为“请完善收货地址”；3. 未生成订单预览。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9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符合预期，返回失败结果及正确错误提示，未生成订单预览，断言通过。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EA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2E8253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18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SYS-INTEG-ORDER-003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2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多订单场景：下单后列表按时间倒序排列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9D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两个不同用户地址及对应购物车商品数据；模拟5分钟时间差。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1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调用confirmOrder和placeOrder创建第一个订单；2. 模拟5分钟时间差；3. 调用confirmOrder和placeOrder创建第二个订单；4. 调用getOrderList验证列表排序。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FD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两个订单均创建成功，订单号分别为ORDER_1000、ORDER_1001；2. getOrderList返回列表中，后创建的ORDER_1001排在首位，ORDER_1000排在第二位。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64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符合预期，两个订单均创建成功，列表按创建时间倒序排列，断言通过。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A7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174B7DD7">
      <w:pPr>
        <w:spacing w:before="300" w:after="120" w:line="288" w:lineRule="auto"/>
        <w:ind w:left="0"/>
        <w:jc w:val="left"/>
        <w:outlineLvl w:val="2"/>
      </w:pPr>
      <w:bookmarkStart w:id="16" w:name="heading_7"/>
      <w:bookmarkStart w:id="17" w:name="_Toc17829"/>
      <w:r>
        <w:rPr>
          <w:rFonts w:ascii="Arial" w:hAnsi="Arial" w:eastAsia="等线" w:cs="Arial"/>
          <w:b/>
          <w:sz w:val="30"/>
        </w:rPr>
        <w:t>3. 确认订单-支付流程测试（纯JS逻辑）</w:t>
      </w:r>
      <w:bookmarkEnd w:id="16"/>
      <w:bookmarkEnd w:id="17"/>
    </w:p>
    <w:p w14:paraId="245BE3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测试目标：验证确认订单、支付、获取订单列表三个函数的集成正确性，确保订单确认后的数据能正确传递至支付流程，支付结果能准确更新订单状态。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5D018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CA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C0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09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64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操作步骤（脚本逻辑）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ED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7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C2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4CE6B6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7C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SYS-INTEG-PAY-001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F5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完整流程：确认订单→支付成功→订单状态更新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58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订单数据：{orderId: 'ORDER_2023', userId: 'user_001', items: [{id: 'p1', name: '测试商品', price: 99.9, quantity: 1}], total: 99.9, address: {name: '张三', phone: '13800138001', region: ['广东省','深圳市','南山区'], detail: '科技园路1号'}, status: 'pending'}；支付方式：wechat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5F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调用confirmOrder传入订单数据，完成订单确认；2. Mock支付接口返回成功响应；3. 调用payOrder传入订单ID和支付方式；4. Mock订单列表接口返回更新后的数据；5. 调用getOrderList验证订单状态。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E4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confirmOrder返回success=true；2. payOrder返回success=true，tradeNo=PAY_123456；3. 支付接口调用参数正确（含订单ID、支付方式、mock_token）；4. getOrderList返回订单状态=paid（已支付）。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DC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符合预期，订单确认、支付成功及状态更新全流程正常，接口调用参数正确，断言通过。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A1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7DD601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92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SYS-INTEG-PAY-002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AC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异常场景：地址不完整导致确认订单失败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85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不完整订单数据：订单数据中address.phone为空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04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调用confirmOrder传入地址不完整的订单数据；2. 验证返回结果。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2B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confirmOrder返回success=false；2. 错误提示为“收货地址不完整”；3. 无法进入支付流程。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C8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符合预期，返回失败结果及正确错误提示，未进入支付流程，断言通过。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DD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5FCC33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65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SYS-INTEG-PAY-003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3C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异常场景：支付失败，订单状态保持待支付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03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订单数据：同SYS-INTEG-PAY-001；支付方式：alipay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87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调用confirmOrder完成订单确认；2. Mock支付接口返回失败响应（余额不足）；3. 调用payOrder执行支付；4. Mock订单列表接口返回数据；5. 调用getOrderList验证订单状态。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2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payOrder返回success=false，错误提示为“余额不足”；2. getOrderList返回订单状态仍为pending（待支付）；3. 未生成交易号。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7D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符合预期，支付失败后订单状态未变更，返回正确错误提示，断言通过。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F0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18046042">
      <w:pPr>
        <w:spacing w:before="320" w:after="120" w:line="288" w:lineRule="auto"/>
        <w:ind w:left="0"/>
        <w:jc w:val="left"/>
        <w:outlineLvl w:val="1"/>
      </w:pPr>
      <w:bookmarkStart w:id="18" w:name="heading_8"/>
      <w:bookmarkStart w:id="19" w:name="_Toc10430"/>
      <w:r>
        <w:rPr>
          <w:rFonts w:ascii="Arial" w:hAnsi="Arial" w:eastAsia="等线" w:cs="Arial"/>
          <w:b/>
          <w:sz w:val="32"/>
        </w:rPr>
        <w:t>三、核心脚本逻辑说明</w:t>
      </w:r>
      <w:bookmarkEnd w:id="18"/>
      <w:bookmarkEnd w:id="19"/>
    </w:p>
    <w:p w14:paraId="6C2186D9">
      <w:pPr>
        <w:spacing w:before="300" w:after="120" w:line="288" w:lineRule="auto"/>
        <w:ind w:left="0"/>
        <w:jc w:val="left"/>
        <w:outlineLvl w:val="2"/>
      </w:pPr>
      <w:bookmarkStart w:id="20" w:name="heading_9"/>
      <w:bookmarkStart w:id="21" w:name="_Toc7080"/>
      <w:r>
        <w:rPr>
          <w:rFonts w:ascii="Arial" w:hAnsi="Arial" w:eastAsia="等线" w:cs="Arial"/>
          <w:b/>
          <w:sz w:val="30"/>
        </w:rPr>
        <w:t>1. 测试数据管理</w:t>
      </w:r>
      <w:bookmarkEnd w:id="20"/>
      <w:bookmarkEnd w:id="21"/>
    </w:p>
    <w:p w14:paraId="14BA9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本地模拟数据方式，不依赖外部数据源。通过beforeEach钩子函数在每个用例执行前重置模拟数据（如购物车数据、订单列表、订单ID自增器等），确保各用例独立运行，避免数据污染。同时模拟localStorage存储登录token，完全隔离项目store依赖。</w:t>
      </w:r>
    </w:p>
    <w:p w14:paraId="65AC5E43">
      <w:pPr>
        <w:spacing w:before="300" w:after="120" w:line="288" w:lineRule="auto"/>
        <w:ind w:left="0"/>
        <w:jc w:val="left"/>
        <w:outlineLvl w:val="2"/>
      </w:pPr>
      <w:bookmarkStart w:id="22" w:name="heading_10"/>
      <w:bookmarkStart w:id="23" w:name="_Toc18679"/>
      <w:r>
        <w:rPr>
          <w:rFonts w:ascii="Arial" w:hAnsi="Arial" w:eastAsia="等线" w:cs="Arial"/>
          <w:b/>
          <w:sz w:val="30"/>
        </w:rPr>
        <w:t>2. 函数封装与集成逻辑</w:t>
      </w:r>
      <w:bookmarkEnd w:id="22"/>
      <w:bookmarkEnd w:id="23"/>
    </w:p>
    <w:p w14:paraId="59FBF7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流程的核心业务逻辑均封装为独立纯JS函数（如addToCart、confirmOrder、placeOrder等），函数间通过参数传递数据，无直接耦合。集成测试聚焦函数间的调用关系与数据流转，验证上层函数对下层函数的依赖调用正确性，确保集成链路畅通。</w:t>
      </w:r>
    </w:p>
    <w:p w14:paraId="6445B391">
      <w:pPr>
        <w:spacing w:before="300" w:after="120" w:line="288" w:lineRule="auto"/>
        <w:ind w:left="0"/>
        <w:jc w:val="left"/>
        <w:outlineLvl w:val="2"/>
      </w:pPr>
      <w:bookmarkStart w:id="24" w:name="heading_11"/>
      <w:bookmarkStart w:id="25" w:name="_Toc24279"/>
      <w:r>
        <w:rPr>
          <w:rFonts w:ascii="Arial" w:hAnsi="Arial" w:eastAsia="等线" w:cs="Arial"/>
          <w:b/>
          <w:sz w:val="30"/>
        </w:rPr>
        <w:t>3. Mock策略与隔离设计</w:t>
      </w:r>
      <w:bookmarkEnd w:id="24"/>
      <w:bookmarkEnd w:id="25"/>
    </w:p>
    <w:p w14:paraId="1D8383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通过jest.mock('axios')完全Mock接口请求，预设接口成功/失败响应，隔离后端服务依赖，使测试仅聚焦纯JS业务逻辑。Mock逻辑独立于用例，每个用例可根据需求单独设置Mock响应，提升测试灵活性。</w:t>
      </w:r>
    </w:p>
    <w:p w14:paraId="3EF6C1A5">
      <w:pPr>
        <w:spacing w:before="300" w:after="120" w:line="288" w:lineRule="auto"/>
        <w:ind w:left="0"/>
        <w:jc w:val="left"/>
        <w:outlineLvl w:val="2"/>
      </w:pPr>
      <w:bookmarkStart w:id="26" w:name="heading_12"/>
      <w:bookmarkStart w:id="27" w:name="_Toc29694"/>
      <w:r>
        <w:rPr>
          <w:rFonts w:ascii="Arial" w:hAnsi="Arial" w:eastAsia="等线" w:cs="Arial"/>
          <w:b/>
          <w:sz w:val="30"/>
        </w:rPr>
        <w:t>4. 断言策略</w:t>
      </w:r>
      <w:bookmarkEnd w:id="26"/>
      <w:bookmarkEnd w:id="27"/>
    </w:p>
    <w:p w14:paraId="75160C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聚焦核心逻辑验证点，确保测试覆盖全面：</w:t>
      </w:r>
    </w:p>
    <w:p w14:paraId="71736FE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函数返回结果校验：验证函数执行后success状态、提示语、核心数据（订单号、总金额等）的正确性；</w:t>
      </w:r>
    </w:p>
    <w:p w14:paraId="4A7AEAA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数据传递校验：验证上层函数接收的参数与下层函数返回的核心数据一致；</w:t>
      </w:r>
    </w:p>
    <w:p w14:paraId="1BC698E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接口调用校验：验证axios.post/axios.get的调用参数符合业务规则；</w:t>
      </w:r>
    </w:p>
    <w:p w14:paraId="1429A30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业务规则校验：验证购物车非空、地址完整性、订单状态更新、列表排序等业务规则的执行正确性。</w:t>
      </w:r>
    </w:p>
    <w:p w14:paraId="2DD225E1">
      <w:pPr>
        <w:spacing w:before="320" w:after="120" w:line="288" w:lineRule="auto"/>
        <w:ind w:left="0"/>
        <w:jc w:val="left"/>
        <w:outlineLvl w:val="1"/>
      </w:pPr>
      <w:bookmarkStart w:id="28" w:name="heading_13"/>
      <w:bookmarkStart w:id="29" w:name="_Toc24489"/>
      <w:r>
        <w:rPr>
          <w:rFonts w:ascii="Arial" w:hAnsi="Arial" w:eastAsia="等线" w:cs="Arial"/>
          <w:b/>
          <w:sz w:val="32"/>
        </w:rPr>
        <w:t>四、测试结论</w:t>
      </w:r>
      <w:bookmarkEnd w:id="28"/>
      <w:bookmarkEnd w:id="29"/>
    </w:p>
    <w:p w14:paraId="5279F639">
      <w:pPr>
        <w:spacing w:before="300" w:after="120" w:line="288" w:lineRule="auto"/>
        <w:ind w:left="0"/>
        <w:jc w:val="left"/>
        <w:outlineLvl w:val="2"/>
      </w:pPr>
      <w:bookmarkStart w:id="30" w:name="heading_14"/>
      <w:bookmarkStart w:id="31" w:name="_Toc19701"/>
      <w:r>
        <w:rPr>
          <w:rFonts w:ascii="Arial" w:hAnsi="Arial" w:eastAsia="等线" w:cs="Arial"/>
          <w:b/>
          <w:sz w:val="30"/>
        </w:rPr>
        <w:t>1. 集成验证结果</w:t>
      </w:r>
      <w:bookmarkEnd w:id="30"/>
      <w:bookmarkEnd w:id="31"/>
    </w:p>
    <w:p w14:paraId="60DBBEA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核心集成流程：本次测试覆盖的“加购-确认订单”“确认订单-下单-订单列表”“确认订单-支付”三个核心集成流程，各函数间交互正常，数据传递连贯无丢失，业务规则执行准确；</w:t>
      </w:r>
    </w:p>
    <w:p w14:paraId="392BE4A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异常场景处理：各流程的异常场景（如空购物车下单、地址不完整、支付失败等）均能正确识别并返回符合预期的错误提示，异常处理逻辑有效；</w:t>
      </w:r>
    </w:p>
    <w:p w14:paraId="2E429B0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测试独立性：通过数据重置和Mock隔离，所有用例独立运行无干扰，测试结果可靠，所有测试用例均执行通过。</w:t>
      </w:r>
    </w:p>
    <w:p w14:paraId="4FB73974">
      <w:pPr>
        <w:spacing w:before="320" w:after="120" w:line="288" w:lineRule="auto"/>
        <w:ind w:left="0"/>
        <w:jc w:val="left"/>
        <w:outlineLvl w:val="1"/>
      </w:pPr>
      <w:bookmarkStart w:id="32" w:name="heading_16"/>
      <w:bookmarkStart w:id="33" w:name="_Toc7960"/>
      <w:r>
        <w:rPr>
          <w:rFonts w:ascii="Arial" w:hAnsi="Arial" w:eastAsia="等线" w:cs="Arial"/>
          <w:b/>
          <w:sz w:val="32"/>
        </w:rPr>
        <w:t>五、关键点回顾</w:t>
      </w:r>
      <w:bookmarkEnd w:id="32"/>
      <w:bookmarkEnd w:id="33"/>
    </w:p>
    <w:p w14:paraId="1C54B59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本次测试采用自底向上的集成方式，先验证底层独立函数，再逐步集成上层流程，有效降低了集成风险；</w:t>
      </w:r>
    </w:p>
    <w:p w14:paraId="27DB72F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通过Mock技术完全隔离了后端服务、Vue组件及项目其他依赖，实现了纯JS逻辑的独立测试，测试结果仅反映核心业务逻辑的正确性；</w:t>
      </w:r>
    </w:p>
    <w:p w14:paraId="3B2FE9F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测试覆盖了三个核心业务流程的正常场景与典型异常场景，断言聚焦数据传递、函数交互及业务规则，验证全面且精准；</w:t>
      </w:r>
    </w:p>
    <w:p w14:paraId="0EF1B12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所有测试用例均执行通过，说明城小二项目核心业务的纯JS集成逻辑正确、稳定，可支撑后续与前端组件及后端服务的对接集成。</w:t>
      </w:r>
    </w:p>
    <w:p w14:paraId="4553329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85D6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6485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3"/>
  </w:num>
  <w:num w:numId="9">
    <w:abstractNumId w:val="8"/>
  </w:num>
  <w:num w:numId="10">
    <w:abstractNumId w:val="0"/>
  </w:num>
  <w:num w:numId="11">
    <w:abstractNumId w:val="6"/>
  </w:num>
  <w:num w:numId="12">
    <w:abstractNumId w:val="10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9576E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封面内容"/>
    <w:basedOn w:val="8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3787</Words>
  <Characters>5377</Characters>
  <TotalTime>1</TotalTime>
  <ScaleCrop>false</ScaleCrop>
  <LinksUpToDate>false</LinksUpToDate>
  <CharactersWithSpaces>5530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2026-01-02T07:25:00Z</dcterms:created>
  <dc:creator>Apache POI</dc:creator>
  <cp:lastModifiedBy>微信用户</cp:lastModifiedBy>
  <dcterms:modified xsi:type="dcterms:W3CDTF">2026-01-02T07:33:38Z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126188D062EF481FAB11BFBE41F67B14_12</vt:lpwstr>
  </property>
</Properties>
</file>