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2A1F" w14:textId="77777777" w:rsidR="00AA0B97" w:rsidRDefault="00000000">
      <w:pPr>
        <w:spacing w:line="360" w:lineRule="auto"/>
        <w:ind w:left="1114" w:hangingChars="398" w:hanging="1114"/>
        <w:jc w:val="left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附件</w:t>
      </w:r>
      <w:r>
        <w:rPr>
          <w:rFonts w:ascii="Times New Roman" w:eastAsia="仿宋" w:hAnsi="Times New Roman" w:cs="Times New Roman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sz w:val="28"/>
          <w:szCs w:val="28"/>
        </w:rPr>
        <w:t>：</w:t>
      </w:r>
    </w:p>
    <w:p w14:paraId="24D71680" w14:textId="77777777" w:rsidR="00091FD2" w:rsidRDefault="00091FD2" w:rsidP="00091FD2">
      <w:pPr>
        <w:widowControl/>
        <w:spacing w:line="360" w:lineRule="auto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第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  <w:lang w:eastAsia="zh-Hans"/>
        </w:rPr>
        <w:t>十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C8A8904" w14:textId="40CB85A2" w:rsidR="00AA0B97" w:rsidRDefault="00091FD2" w:rsidP="00091FD2">
      <w:pPr>
        <w:widowControl/>
        <w:spacing w:line="360" w:lineRule="auto"/>
        <w:ind w:firstLineChars="200" w:firstLine="720"/>
        <w:jc w:val="center"/>
        <w:rPr>
          <w:rFonts w:ascii="Times New Roman" w:eastAsia="仿宋" w:hAnsi="Times New Roman" w:cs="Times New Roman"/>
          <w:b/>
          <w:sz w:val="30"/>
          <w:szCs w:val="30"/>
        </w:rPr>
      </w:pPr>
      <w:bookmarkStart w:id="2" w:name="_Toc108088507"/>
      <w:bookmarkStart w:id="3" w:name="_Toc7210846"/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创意设计赛</w:t>
      </w:r>
      <w:bookmarkEnd w:id="0"/>
      <w:bookmarkEnd w:id="1"/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项目</w:t>
      </w:r>
      <w:bookmarkEnd w:id="2"/>
      <w:bookmarkEnd w:id="3"/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商业计划书</w:t>
      </w:r>
    </w:p>
    <w:p w14:paraId="59B73A64" w14:textId="3FD1A66D" w:rsidR="00AA0B97" w:rsidRPr="001B5A98" w:rsidRDefault="001B5A98" w:rsidP="001B5A98">
      <w:pPr>
        <w:widowControl/>
        <w:spacing w:line="360" w:lineRule="auto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 w:hint="eastAsia"/>
          <w:b/>
          <w:sz w:val="28"/>
          <w:szCs w:val="28"/>
        </w:rPr>
        <w:t>一、项目方案概述</w:t>
      </w:r>
    </w:p>
    <w:p w14:paraId="6F68D4DA" w14:textId="017FC866" w:rsidR="001B5A98" w:rsidRPr="001B5A98" w:rsidRDefault="001B5A98" w:rsidP="001B5A98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 w:hint="eastAsia"/>
          <w:sz w:val="28"/>
          <w:szCs w:val="28"/>
        </w:rPr>
        <w:t>标智通面向招投标审核中要求分散、证明材料繁多、跨文件核对工作量大的问题，提供集规则整理、资料管理、协同核验和报告交付于一体的智能审核工作台。通过领域专用多智能体执行机制，辅助采购人员梳理条件、查证材料、识别疑点并逐项复核。项目拟形成线上订阅与自行部署年度授权两种服务：线上提供模型选择和持续使用，自行部署支持机构管理运行环境，共同服务内部预审与会审准备，减少重复整理和成果交接负担。</w:t>
      </w:r>
    </w:p>
    <w:p w14:paraId="6547E34B" w14:textId="1E37A1C3" w:rsidR="00AA0B97" w:rsidRDefault="00000000">
      <w:pPr>
        <w:widowControl/>
        <w:spacing w:line="360" w:lineRule="auto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b/>
          <w:sz w:val="28"/>
          <w:szCs w:val="28"/>
        </w:rPr>
        <w:t>二、项目团队</w:t>
      </w:r>
    </w:p>
    <w:p w14:paraId="1D47E134" w14:textId="425963F1" w:rsidR="001B5A98" w:rsidRPr="001B5A98" w:rsidRDefault="001B5A98" w:rsidP="001B5A98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/>
          <w:sz w:val="28"/>
          <w:szCs w:val="28"/>
        </w:rPr>
        <w:t>团队由</w:t>
      </w:r>
      <w:r>
        <w:rPr>
          <w:rFonts w:ascii="Times New Roman" w:eastAsia="仿宋" w:hAnsi="Times New Roman" w:cs="Times New Roman" w:hint="eastAsia"/>
          <w:sz w:val="28"/>
          <w:szCs w:val="28"/>
        </w:rPr>
        <w:t>4</w:t>
      </w:r>
      <w:r w:rsidRPr="001B5A98">
        <w:rPr>
          <w:rFonts w:ascii="Times New Roman" w:eastAsia="仿宋" w:hAnsi="Times New Roman" w:cs="Times New Roman"/>
          <w:sz w:val="28"/>
          <w:szCs w:val="28"/>
        </w:rPr>
        <w:t>名成员组成，围绕复杂采购审核完成领域分析、流程设计、系统实现与测试复核。采用通用模型及基础组件，团队重点完成条件提取与归并流程、核验任务与资料范围组织、报告状态及交互工作台。</w:t>
      </w:r>
      <w:r w:rsidR="005C7483" w:rsidRPr="005C7483">
        <w:rPr>
          <w:rFonts w:ascii="Times New Roman" w:eastAsia="仿宋" w:hAnsi="Times New Roman" w:cs="Times New Roman"/>
          <w:sz w:val="28"/>
          <w:szCs w:val="28"/>
        </w:rPr>
        <w:t>团队按</w:t>
      </w:r>
      <w:r w:rsidR="005C7483"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="005C7483" w:rsidRPr="005C7483">
        <w:rPr>
          <w:rFonts w:ascii="Times New Roman" w:eastAsia="仿宋" w:hAnsi="Times New Roman" w:cs="Times New Roman"/>
          <w:sz w:val="28"/>
          <w:szCs w:val="28"/>
        </w:rPr>
        <w:t>设计</w:t>
      </w:r>
      <w:r w:rsidR="005C7483" w:rsidRPr="005C7483">
        <w:rPr>
          <w:rFonts w:ascii="Times New Roman" w:eastAsia="仿宋" w:hAnsi="Times New Roman" w:cs="Times New Roman"/>
          <w:sz w:val="28"/>
          <w:szCs w:val="28"/>
        </w:rPr>
        <w:t>—</w:t>
      </w:r>
      <w:r w:rsidR="005C7483" w:rsidRPr="005C7483">
        <w:rPr>
          <w:rFonts w:ascii="Times New Roman" w:eastAsia="仿宋" w:hAnsi="Times New Roman" w:cs="Times New Roman"/>
          <w:sz w:val="28"/>
          <w:szCs w:val="28"/>
        </w:rPr>
        <w:t>实现</w:t>
      </w:r>
      <w:r w:rsidR="005C7483" w:rsidRPr="005C7483">
        <w:rPr>
          <w:rFonts w:ascii="Times New Roman" w:eastAsia="仿宋" w:hAnsi="Times New Roman" w:cs="Times New Roman"/>
          <w:sz w:val="28"/>
          <w:szCs w:val="28"/>
        </w:rPr>
        <w:t>—</w:t>
      </w:r>
      <w:r w:rsidR="005C7483" w:rsidRPr="005C7483">
        <w:rPr>
          <w:rFonts w:ascii="Times New Roman" w:eastAsia="仿宋" w:hAnsi="Times New Roman" w:cs="Times New Roman"/>
          <w:sz w:val="28"/>
          <w:szCs w:val="28"/>
        </w:rPr>
        <w:t>验证</w:t>
      </w:r>
      <w:r w:rsidR="005C7483"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="005C7483" w:rsidRPr="005C7483">
        <w:rPr>
          <w:rFonts w:ascii="Times New Roman" w:eastAsia="仿宋" w:hAnsi="Times New Roman" w:cs="Times New Roman"/>
          <w:sz w:val="28"/>
          <w:szCs w:val="28"/>
        </w:rPr>
        <w:t>同步推进：通过项目规则库、资料库与报告草稿等业务状态衔接各阶段成果，边实现边验证，确保领域机制、工程实现与应用验证在整体方案上保持一致。</w:t>
      </w:r>
    </w:p>
    <w:p w14:paraId="11E7B3B4" w14:textId="2F04EB86" w:rsidR="00AA0B97" w:rsidRDefault="00000000">
      <w:pPr>
        <w:widowControl/>
        <w:spacing w:line="360" w:lineRule="auto"/>
        <w:rPr>
          <w:rFonts w:ascii="Times New Roman" w:eastAsia="仿宋" w:hAnsi="Times New Roman" w:cs="Times New Roman"/>
          <w:b/>
          <w:sz w:val="28"/>
          <w:szCs w:val="28"/>
        </w:rPr>
      </w:pPr>
      <w:r>
        <w:rPr>
          <w:rFonts w:ascii="Times New Roman" w:eastAsia="仿宋" w:hAnsi="Times New Roman" w:cs="Times New Roman" w:hint="eastAsia"/>
          <w:b/>
          <w:sz w:val="28"/>
          <w:szCs w:val="28"/>
        </w:rPr>
        <w:t>三、项目产品（服务）化</w:t>
      </w:r>
    </w:p>
    <w:p w14:paraId="00E5B2BF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1.</w:t>
      </w:r>
      <w:r>
        <w:rPr>
          <w:rFonts w:ascii="Times New Roman" w:eastAsia="仿宋" w:hAnsi="Times New Roman" w:cs="Times New Roman" w:hint="eastAsia"/>
          <w:sz w:val="28"/>
          <w:szCs w:val="28"/>
        </w:rPr>
        <w:t>项目产品（服务）特性</w:t>
      </w:r>
    </w:p>
    <w:p w14:paraId="3662F012" w14:textId="77777777" w:rsidR="001B5A98" w:rsidRPr="001B5A98" w:rsidRDefault="001B5A98" w:rsidP="001B5A98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/>
          <w:sz w:val="28"/>
          <w:szCs w:val="28"/>
        </w:rPr>
        <w:t>标智通提供面向多附件招投标材料的智能审核工作台，服务机构内部预审与会审准备。用户导入招标要求、投标响应及授权支撑资料，确认审核范围后，由系统组织条件整理、资料查证和意见生成，再由业务人员复核关键结论。产品将文件处理、智能核验和成果交付放入连续工作流程，帮助采购团队把精力集中于疑点判断与业务处置。</w:t>
      </w:r>
    </w:p>
    <w:p w14:paraId="0CA0BA0F" w14:textId="21F9BEDF" w:rsidR="001B5A98" w:rsidRPr="001B5A98" w:rsidRDefault="001B5A98" w:rsidP="001B5A98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/>
          <w:sz w:val="28"/>
          <w:szCs w:val="28"/>
        </w:rPr>
        <w:lastRenderedPageBreak/>
        <w:t>智能协同，承担重复的信息处理。系统读取</w:t>
      </w:r>
      <w:r w:rsidRPr="001B5A98">
        <w:rPr>
          <w:rFonts w:ascii="Times New Roman" w:eastAsia="仿宋" w:hAnsi="Times New Roman" w:cs="Times New Roman"/>
          <w:sz w:val="28"/>
          <w:szCs w:val="28"/>
        </w:rPr>
        <w:t>Word</w:t>
      </w:r>
      <w:r w:rsidRPr="001B5A98">
        <w:rPr>
          <w:rFonts w:ascii="Times New Roman" w:eastAsia="仿宋" w:hAnsi="Times New Roman" w:cs="Times New Roman"/>
          <w:sz w:val="28"/>
          <w:szCs w:val="28"/>
        </w:rPr>
        <w:t>、</w:t>
      </w:r>
      <w:r w:rsidRPr="001B5A98">
        <w:rPr>
          <w:rFonts w:ascii="Times New Roman" w:eastAsia="仿宋" w:hAnsi="Times New Roman" w:cs="Times New Roman"/>
          <w:sz w:val="28"/>
          <w:szCs w:val="28"/>
        </w:rPr>
        <w:t>Excel</w:t>
      </w:r>
      <w:r w:rsidRPr="001B5A98">
        <w:rPr>
          <w:rFonts w:ascii="Times New Roman" w:eastAsia="仿宋" w:hAnsi="Times New Roman" w:cs="Times New Roman"/>
          <w:sz w:val="28"/>
          <w:szCs w:val="28"/>
        </w:rPr>
        <w:t>、</w:t>
      </w:r>
      <w:r w:rsidRPr="001B5A98">
        <w:rPr>
          <w:rFonts w:ascii="Times New Roman" w:eastAsia="仿宋" w:hAnsi="Times New Roman" w:cs="Times New Roman"/>
          <w:sz w:val="28"/>
          <w:szCs w:val="28"/>
        </w:rPr>
        <w:t>PDF</w:t>
      </w:r>
      <w:r w:rsidRPr="001B5A98">
        <w:rPr>
          <w:rFonts w:ascii="Times New Roman" w:eastAsia="仿宋" w:hAnsi="Times New Roman" w:cs="Times New Roman"/>
          <w:sz w:val="28"/>
          <w:szCs w:val="28"/>
        </w:rPr>
        <w:t>及图片，整理项目要求与企业资料，围绕响应内容调用检索、图片查阅和计算工具开展核验，并逐项生成发现、理由和待核事项。领域专用执行框架与四类智能体连接准备和审核环节，减少人工逐份整理、反复检索及汇总意见的操作需求。智能化覆盖工作过程，人员仍承担范围确认、规则校核和结论复核。</w:t>
      </w:r>
    </w:p>
    <w:p w14:paraId="0D0E8AEC" w14:textId="051C3606" w:rsidR="001B5A98" w:rsidRPr="001B5A98" w:rsidRDefault="001B5A98" w:rsidP="001B5A98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/>
          <w:sz w:val="28"/>
          <w:szCs w:val="28"/>
        </w:rPr>
        <w:t>业务界面，便于任务组织与使用。浏览器工作台按规则库、资料库、审核任务和报告组织操作，承接材料导入、双库选择、过程查看和结果复核。业务人员围绕具体采购项目工作，系统在后台组织智能体及工具调用；审核进度和成果集中展示，便于发现待处理事项。产品化将进一步统一操作引导、错误提示和培训材料，使团队成员能够按同一流程开展工作。</w:t>
      </w:r>
    </w:p>
    <w:p w14:paraId="01F43F6D" w14:textId="265142D2" w:rsidR="001B5A98" w:rsidRPr="001B5A98" w:rsidRDefault="001B5A98" w:rsidP="001B5A98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/>
          <w:sz w:val="28"/>
          <w:szCs w:val="28"/>
        </w:rPr>
        <w:t>材料复用，支持连续项目积累。项目规则与企业资料独立维护，审核任务选择适用双库并保存当次快照。企业证明材料形成摘要、事实记录和原文入口，后续任务可在确认授权、时效及适用范围后复用。新项目使用自身招标条件，已有资料则按当前对象、版本和证明范围重新判断，避免将往次结论直接套用；复用价值来自减少重复准备和维护已有业务成果。</w:t>
      </w:r>
    </w:p>
    <w:p w14:paraId="1231FB36" w14:textId="167D4670" w:rsidR="001B5A98" w:rsidRPr="001B5A98" w:rsidRDefault="001B5A98" w:rsidP="001B5A98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/>
          <w:sz w:val="28"/>
          <w:szCs w:val="28"/>
        </w:rPr>
        <w:t>成果可复核，便于会审与交接。报告集中呈现逐项发现、判断理由及待核事项，已登记并填入报告的来源展示引用摘录，支持打开来源材料回看，执行记录用于过程回查。业务人员可以结合原件检查事实与结论，利用网页、</w:t>
      </w:r>
      <w:r w:rsidRPr="001B5A98">
        <w:rPr>
          <w:rFonts w:ascii="Times New Roman" w:eastAsia="仿宋" w:hAnsi="Times New Roman" w:cs="Times New Roman"/>
          <w:sz w:val="28"/>
          <w:szCs w:val="28"/>
        </w:rPr>
        <w:t>Word</w:t>
      </w:r>
      <w:r w:rsidRPr="001B5A98">
        <w:rPr>
          <w:rFonts w:ascii="Times New Roman" w:eastAsia="仿宋" w:hAnsi="Times New Roman" w:cs="Times New Roman"/>
          <w:sz w:val="28"/>
          <w:szCs w:val="28"/>
        </w:rPr>
        <w:t>等成果开展会审、反馈和归档。对证明不足或关系未明的事项保留待核原因，使后续补充资料与人工确认有明确对象。</w:t>
      </w:r>
    </w:p>
    <w:p w14:paraId="227F0C74" w14:textId="77777777" w:rsidR="001B5A98" w:rsidRDefault="001B5A98" w:rsidP="001B5A98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1B5A98">
        <w:rPr>
          <w:rFonts w:ascii="Times New Roman" w:eastAsia="仿宋" w:hAnsi="Times New Roman" w:cs="Times New Roman"/>
          <w:sz w:val="28"/>
          <w:szCs w:val="28"/>
        </w:rPr>
        <w:lastRenderedPageBreak/>
        <w:t>现有原型已完成两类材料验证，形成从材料接入到报告交付的产品基础。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89"/>
        <w:gridCol w:w="5907"/>
      </w:tblGrid>
      <w:tr w:rsidR="001B5A98" w14:paraId="1BBD8617" w14:textId="77777777" w:rsidTr="00BA02C0">
        <w:tc>
          <w:tcPr>
            <w:tcW w:w="0" w:type="auto"/>
            <w:vAlign w:val="center"/>
          </w:tcPr>
          <w:p w14:paraId="7C579D93" w14:textId="6B365899" w:rsidR="001B5A98" w:rsidRDefault="001B5A98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验证场景</w:t>
            </w:r>
          </w:p>
        </w:tc>
        <w:tc>
          <w:tcPr>
            <w:tcW w:w="0" w:type="auto"/>
            <w:vAlign w:val="center"/>
          </w:tcPr>
          <w:p w14:paraId="48450AD6" w14:textId="2E2352D0" w:rsidR="001B5A98" w:rsidRDefault="001B5A98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已有结果与范围</w:t>
            </w:r>
          </w:p>
        </w:tc>
      </w:tr>
      <w:tr w:rsidR="001B5A98" w14:paraId="5B7D133B" w14:textId="77777777" w:rsidTr="00BA02C0">
        <w:tc>
          <w:tcPr>
            <w:tcW w:w="0" w:type="auto"/>
            <w:vAlign w:val="center"/>
          </w:tcPr>
          <w:p w14:paraId="50CDEBBC" w14:textId="2AE58248" w:rsidR="001B5A98" w:rsidRDefault="001B5A98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红外成像仪招投标脱敏测试</w:t>
            </w:r>
          </w:p>
        </w:tc>
        <w:tc>
          <w:tcPr>
            <w:tcW w:w="0" w:type="auto"/>
            <w:vAlign w:val="center"/>
          </w:tcPr>
          <w:p w14:paraId="06D95ACD" w14:textId="078DFFB4" w:rsidR="001B5A98" w:rsidRDefault="001B5A98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40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份输入文件；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120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个要求主题检出率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99.17%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334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个源条件完整保留率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70.96%</w:t>
            </w:r>
          </w:p>
        </w:tc>
      </w:tr>
      <w:tr w:rsidR="001B5A98" w14:paraId="1AACDC5A" w14:textId="77777777" w:rsidTr="00BA02C0">
        <w:tc>
          <w:tcPr>
            <w:tcW w:w="0" w:type="auto"/>
            <w:vAlign w:val="center"/>
          </w:tcPr>
          <w:p w14:paraId="6857B771" w14:textId="4D48095C" w:rsidR="001B5A98" w:rsidRDefault="001B5A98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地方文献数字化加工服务招投标模拟测试</w:t>
            </w:r>
          </w:p>
        </w:tc>
        <w:tc>
          <w:tcPr>
            <w:tcW w:w="0" w:type="auto"/>
            <w:vAlign w:val="center"/>
          </w:tcPr>
          <w:p w14:paraId="0825514E" w14:textId="1A9E06B5" w:rsidR="001B5A98" w:rsidRDefault="001B5A98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25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份混合格式文件；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102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个固定判定项的三态标签正确率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95.10%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22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项预设不符合事项召回率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95.45%</w:t>
            </w:r>
          </w:p>
        </w:tc>
      </w:tr>
      <w:tr w:rsidR="001B5A98" w14:paraId="36080EF7" w14:textId="77777777" w:rsidTr="00BA02C0">
        <w:tc>
          <w:tcPr>
            <w:tcW w:w="0" w:type="auto"/>
            <w:vAlign w:val="center"/>
          </w:tcPr>
          <w:p w14:paraId="748E3951" w14:textId="656F0F46" w:rsidR="001B5A98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流程交付</w:t>
            </w:r>
          </w:p>
        </w:tc>
        <w:tc>
          <w:tcPr>
            <w:tcW w:w="0" w:type="auto"/>
            <w:vAlign w:val="center"/>
          </w:tcPr>
          <w:p w14:paraId="0F39C35A" w14:textId="1A0B5707" w:rsidR="001B5A98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两类测试合计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43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份支撑资料完成入库，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5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份适用待审文件形成内容报告</w:t>
            </w:r>
          </w:p>
        </w:tc>
      </w:tr>
    </w:tbl>
    <w:p w14:paraId="0706FF44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2.</w:t>
      </w:r>
      <w:r>
        <w:rPr>
          <w:rFonts w:ascii="Times New Roman" w:eastAsia="仿宋" w:hAnsi="Times New Roman" w:cs="Times New Roman" w:hint="eastAsia"/>
          <w:sz w:val="28"/>
          <w:szCs w:val="28"/>
        </w:rPr>
        <w:t>产品（服务）化实施计划</w:t>
      </w:r>
    </w:p>
    <w:p w14:paraId="15D4ECBF" w14:textId="73EA36DA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 w:hint="eastAsia"/>
          <w:sz w:val="28"/>
          <w:szCs w:val="28"/>
        </w:rPr>
        <w:t>第一阶段：统一产品核心与交付文档。以现有原型为基础，统一审核核心、软件版本和模型适配清单，形成安装说明、操作手册、版本更新及故障处理文档。完善基础认证、授权与备份恢复能力，为线上服务和客户自行部署提供共同的软件基础。</w:t>
      </w:r>
    </w:p>
    <w:p w14:paraId="06168257" w14:textId="77A446C0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 w:hint="eastAsia"/>
          <w:sz w:val="28"/>
          <w:szCs w:val="28"/>
        </w:rPr>
        <w:t>第二阶段：建设线上订阅与数据保护能力。补齐账号认证、机构数据隔离、订阅计费和用量管理，提供已适配模型选择及任务级配置记录。线上服务由团队统一维护，通过加密传输、访问控制、受限日志和备份恢复保护资料，提供保存期限设置与删除入口；明确模型调用的数据路径，平台不将客户材料用于训练，并选用符合相应数据使用约定的模型服务。完成权限、运行和数据处理验证后开放付费服务。</w:t>
      </w:r>
    </w:p>
    <w:p w14:paraId="2900F399" w14:textId="4868AB35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 w:hint="eastAsia"/>
          <w:sz w:val="28"/>
          <w:szCs w:val="28"/>
        </w:rPr>
        <w:t>第三阶段：形成两种持续使用方案。线上版面向希望直接使用的采购人员和机构团队，提供基础、专业档位及月付、年付选择；自行部署版面向具备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IT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条件的机构，提供年度软件授权、更新支持及硬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lastRenderedPageBreak/>
        <w:t>件选型建议，设备、模型服务和实际部署运维由客户负责。围绕授权材料开展完整流程使用评估，完善操作引导与支持清单。</w:t>
      </w:r>
    </w:p>
    <w:p w14:paraId="5ED7874F" w14:textId="45355A48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 w:hint="eastAsia"/>
          <w:sz w:val="28"/>
          <w:szCs w:val="28"/>
        </w:rPr>
        <w:t>第四阶段：建立订阅运营与版本维护机制。持续发布缺陷修复、模型兼容更新和操作说明，线上版本由团队维护，自行部署版本由客户安排安装更新。跟踪活跃使用、续费、模型消耗及支持需求，将共性问题转化为标准功能和知识文档，随着付费用户增长扩充服务资源。</w:t>
      </w:r>
    </w:p>
    <w:p w14:paraId="327B77D2" w14:textId="2AD54E81" w:rsidR="00AA0B97" w:rsidRDefault="00000000">
      <w:pPr>
        <w:widowControl/>
        <w:spacing w:line="360" w:lineRule="auto"/>
        <w:rPr>
          <w:rFonts w:ascii="Times New Roman" w:eastAsia="仿宋" w:hAnsi="Times New Roman" w:cs="Times New Roman"/>
          <w:b/>
          <w:sz w:val="28"/>
          <w:szCs w:val="28"/>
        </w:rPr>
      </w:pPr>
      <w:r>
        <w:rPr>
          <w:rFonts w:ascii="Times New Roman" w:eastAsia="仿宋" w:hAnsi="Times New Roman" w:cs="Times New Roman" w:hint="eastAsia"/>
          <w:b/>
          <w:sz w:val="28"/>
          <w:szCs w:val="28"/>
        </w:rPr>
        <w:t>四、项目产品（服务）市场与竞争</w:t>
      </w:r>
    </w:p>
    <w:p w14:paraId="45B08765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1.</w:t>
      </w:r>
      <w:r>
        <w:rPr>
          <w:rFonts w:ascii="Times New Roman" w:eastAsia="仿宋" w:hAnsi="Times New Roman" w:cs="Times New Roman" w:hint="eastAsia"/>
          <w:sz w:val="28"/>
          <w:szCs w:val="28"/>
        </w:rPr>
        <w:t>市场概述</w:t>
      </w:r>
    </w:p>
    <w:p w14:paraId="7EF0E958" w14:textId="36C2AC9F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 w:hint="eastAsia"/>
          <w:sz w:val="28"/>
          <w:szCs w:val="28"/>
        </w:rPr>
        <w:t>招投标智能审核面向政府与企业采购中的材料审查需求，应用涉及货物、工程和专业服务等领域。财政部数据显示，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2025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年全国政府采购规模为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33212.96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亿元，其中公开招标占采购金额的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77.49%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。财政部统计广泛开展的采购活动持续产生招标文件、投标响应及资质业绩等材料，为审核软件与服务提供业务基础。</w:t>
      </w:r>
    </w:p>
    <w:p w14:paraId="33367E14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 w:hint="eastAsia"/>
          <w:sz w:val="28"/>
          <w:szCs w:val="28"/>
        </w:rPr>
        <w:t>从业务分工看，采购单位需要核对响应是否满足项目要求、证明材料是否充分；招标代理机构需要组织多个项目的材料审查和成果交接；投标企业需要在提交前发现遗漏、矛盾及响应偏差。这些任务共同涉及信息查找、条件比对和依据整理，且受到项目时间安排约束。减少重复处理、降低疏漏风险、便于结果复核，是不同用户采用智能审核工具的主要价值诉求。</w:t>
      </w:r>
    </w:p>
    <w:p w14:paraId="0891F807" w14:textId="283C00EB" w:rsid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 w:hint="eastAsia"/>
          <w:sz w:val="28"/>
          <w:szCs w:val="28"/>
        </w:rPr>
        <w:t>政策推动与公开采购需求进一步明确了市场发展方向。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2026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t>年国家发展改革委等部门出台实施意见，推动投标合规自查、智能辅助评标等应用，并提出培育人工智能应用服务商。政策依据三峡集团同年采购招投标人工智能应用建设服务，内容包含辅助评标、部署迭代及既有平台集成。采购需求依据这些政策和采购动向表明，行业需求</w:t>
      </w:r>
      <w:r w:rsidRPr="00BA02C0">
        <w:rPr>
          <w:rFonts w:ascii="Times New Roman" w:eastAsia="仿宋" w:hAnsi="Times New Roman" w:cs="Times New Roman" w:hint="eastAsia"/>
          <w:sz w:val="28"/>
          <w:szCs w:val="28"/>
        </w:rPr>
        <w:lastRenderedPageBreak/>
        <w:t>已延伸至材料内容理解与辅助判断，相关软件、系统适配和持续服务具有明确的应用方向。</w:t>
      </w:r>
    </w:p>
    <w:p w14:paraId="2047168E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2.</w:t>
      </w:r>
      <w:r>
        <w:rPr>
          <w:rFonts w:ascii="Times New Roman" w:eastAsia="仿宋" w:hAnsi="Times New Roman" w:cs="Times New Roman" w:hint="eastAsia"/>
          <w:sz w:val="28"/>
          <w:szCs w:val="28"/>
        </w:rPr>
        <w:t>竞争优势分析</w:t>
      </w:r>
    </w:p>
    <w:p w14:paraId="5287E1ED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标智通围绕复杂材料审核、业务操作与成果交付、跨项目适配与复用，形成三方面竞争优势。</w:t>
      </w:r>
    </w:p>
    <w:p w14:paraId="41F32B1F" w14:textId="7FAEF979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领域化审核组织，复杂材料处理有实测优势。系统针对要求分散、限定条件易遗漏和证明关系复杂等问题，组织条件提取、规则归并与关联核验。在红外成像仪招投标脱敏测试中，与接入同型号百炼</w:t>
      </w:r>
      <w:r w:rsidRPr="00BA02C0">
        <w:rPr>
          <w:rFonts w:ascii="Times New Roman" w:eastAsia="仿宋" w:hAnsi="Times New Roman" w:cs="Times New Roman"/>
          <w:sz w:val="28"/>
          <w:szCs w:val="28"/>
        </w:rPr>
        <w:t>DeepSeek V4.1 Flash</w:t>
      </w:r>
      <w:r w:rsidRPr="00BA02C0">
        <w:rPr>
          <w:rFonts w:ascii="Times New Roman" w:eastAsia="仿宋" w:hAnsi="Times New Roman" w:cs="Times New Roman"/>
          <w:sz w:val="28"/>
          <w:szCs w:val="28"/>
        </w:rPr>
        <w:t>的</w:t>
      </w:r>
      <w:r w:rsidRPr="00BA02C0">
        <w:rPr>
          <w:rFonts w:ascii="Times New Roman" w:eastAsia="仿宋" w:hAnsi="Times New Roman" w:cs="Times New Roman"/>
          <w:sz w:val="28"/>
          <w:szCs w:val="28"/>
        </w:rPr>
        <w:t>Claude Code</w:t>
      </w:r>
      <w:r w:rsidRPr="00BA02C0">
        <w:rPr>
          <w:rFonts w:ascii="Times New Roman" w:eastAsia="仿宋" w:hAnsi="Times New Roman" w:cs="Times New Roman"/>
          <w:sz w:val="28"/>
          <w:szCs w:val="28"/>
        </w:rPr>
        <w:t>完整流程相比，本系统要求主题检出率为</w:t>
      </w:r>
      <w:r w:rsidRPr="00BA02C0">
        <w:rPr>
          <w:rFonts w:ascii="Times New Roman" w:eastAsia="仿宋" w:hAnsi="Times New Roman" w:cs="Times New Roman"/>
          <w:sz w:val="28"/>
          <w:szCs w:val="28"/>
        </w:rPr>
        <w:t>99.17%</w:t>
      </w:r>
      <w:r w:rsidRPr="00BA02C0">
        <w:rPr>
          <w:rFonts w:ascii="Times New Roman" w:eastAsia="仿宋" w:hAnsi="Times New Roman" w:cs="Times New Roman"/>
          <w:sz w:val="28"/>
          <w:szCs w:val="28"/>
        </w:rPr>
        <w:t>，参照为</w:t>
      </w:r>
      <w:r w:rsidRPr="00BA02C0">
        <w:rPr>
          <w:rFonts w:ascii="Times New Roman" w:eastAsia="仿宋" w:hAnsi="Times New Roman" w:cs="Times New Roman"/>
          <w:sz w:val="28"/>
          <w:szCs w:val="28"/>
        </w:rPr>
        <w:t>77.50%</w:t>
      </w:r>
      <w:r w:rsidRPr="00BA02C0">
        <w:rPr>
          <w:rFonts w:ascii="Times New Roman" w:eastAsia="仿宋" w:hAnsi="Times New Roman" w:cs="Times New Roman"/>
          <w:sz w:val="28"/>
          <w:szCs w:val="28"/>
        </w:rPr>
        <w:t>；</w:t>
      </w:r>
      <w:r w:rsidRPr="00BA02C0">
        <w:rPr>
          <w:rFonts w:ascii="Times New Roman" w:eastAsia="仿宋" w:hAnsi="Times New Roman" w:cs="Times New Roman"/>
          <w:sz w:val="28"/>
          <w:szCs w:val="28"/>
        </w:rPr>
        <w:t>334</w:t>
      </w:r>
      <w:r w:rsidRPr="00BA02C0">
        <w:rPr>
          <w:rFonts w:ascii="Times New Roman" w:eastAsia="仿宋" w:hAnsi="Times New Roman" w:cs="Times New Roman"/>
          <w:sz w:val="28"/>
          <w:szCs w:val="28"/>
        </w:rPr>
        <w:t>个源条件完整保留率为</w:t>
      </w:r>
      <w:r w:rsidRPr="00BA02C0">
        <w:rPr>
          <w:rFonts w:ascii="Times New Roman" w:eastAsia="仿宋" w:hAnsi="Times New Roman" w:cs="Times New Roman"/>
          <w:sz w:val="28"/>
          <w:szCs w:val="28"/>
        </w:rPr>
        <w:t>70.96%</w:t>
      </w:r>
      <w:r w:rsidRPr="00BA02C0">
        <w:rPr>
          <w:rFonts w:ascii="Times New Roman" w:eastAsia="仿宋" w:hAnsi="Times New Roman" w:cs="Times New Roman"/>
          <w:sz w:val="28"/>
          <w:szCs w:val="28"/>
        </w:rPr>
        <w:t>，参照为</w:t>
      </w:r>
      <w:r w:rsidRPr="00BA02C0">
        <w:rPr>
          <w:rFonts w:ascii="Times New Roman" w:eastAsia="仿宋" w:hAnsi="Times New Roman" w:cs="Times New Roman"/>
          <w:sz w:val="28"/>
          <w:szCs w:val="28"/>
        </w:rPr>
        <w:t>23.65%</w:t>
      </w:r>
      <w:r w:rsidRPr="00BA02C0">
        <w:rPr>
          <w:rFonts w:ascii="Times New Roman" w:eastAsia="仿宋" w:hAnsi="Times New Roman" w:cs="Times New Roman"/>
          <w:sz w:val="28"/>
          <w:szCs w:val="28"/>
        </w:rPr>
        <w:t>；专项审核单元覆盖率为</w:t>
      </w:r>
      <w:r w:rsidRPr="00BA02C0">
        <w:rPr>
          <w:rFonts w:ascii="Times New Roman" w:eastAsia="仿宋" w:hAnsi="Times New Roman" w:cs="Times New Roman"/>
          <w:sz w:val="28"/>
          <w:szCs w:val="28"/>
        </w:rPr>
        <w:t>87.78%</w:t>
      </w:r>
      <w:r w:rsidRPr="00BA02C0">
        <w:rPr>
          <w:rFonts w:ascii="Times New Roman" w:eastAsia="仿宋" w:hAnsi="Times New Roman" w:cs="Times New Roman"/>
          <w:sz w:val="28"/>
          <w:szCs w:val="28"/>
        </w:rPr>
        <w:t>，参照为</w:t>
      </w:r>
      <w:r w:rsidRPr="00BA02C0">
        <w:rPr>
          <w:rFonts w:ascii="Times New Roman" w:eastAsia="仿宋" w:hAnsi="Times New Roman" w:cs="Times New Roman"/>
          <w:sz w:val="28"/>
          <w:szCs w:val="28"/>
        </w:rPr>
        <w:t>31.11%</w:t>
      </w:r>
      <w:r w:rsidRPr="00BA02C0">
        <w:rPr>
          <w:rFonts w:ascii="Times New Roman" w:eastAsia="仿宋" w:hAnsi="Times New Roman" w:cs="Times New Roman"/>
          <w:sz w:val="28"/>
          <w:szCs w:val="28"/>
        </w:rPr>
        <w:t>。这些结果体现了系统在要求整理、细项保留和重点事项审核上的优势，为后续逐项判断与人工复核提供更充分的材料基础。</w:t>
      </w:r>
    </w:p>
    <w:p w14:paraId="28CA1EED" w14:textId="76A58433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专业流程封装，降低操作门槛并贯通成果交付。系统内置领域提示词、材料读取与核验流程，用户通过页面选择文件、绑定规则库与资料库，即可发起审核。相较于自行使用通用智能体搭建审核方案，业务人员无需逐次设计长提示词、编排工具调用或管理长任务上下文。流程自动形成逐项发现、判断理由和待核事项，支持网页浏览、一键下载</w:t>
      </w:r>
      <w:r w:rsidRPr="00BA02C0">
        <w:rPr>
          <w:rFonts w:ascii="Times New Roman" w:eastAsia="仿宋" w:hAnsi="Times New Roman" w:cs="Times New Roman"/>
          <w:sz w:val="28"/>
          <w:szCs w:val="28"/>
        </w:rPr>
        <w:t>Word</w:t>
      </w:r>
      <w:r w:rsidRPr="00BA02C0">
        <w:rPr>
          <w:rFonts w:ascii="Times New Roman" w:eastAsia="仿宋" w:hAnsi="Times New Roman" w:cs="Times New Roman"/>
          <w:sz w:val="28"/>
          <w:szCs w:val="28"/>
        </w:rPr>
        <w:t>及导出</w:t>
      </w:r>
      <w:r w:rsidRPr="00BA02C0">
        <w:rPr>
          <w:rFonts w:ascii="Times New Roman" w:eastAsia="仿宋" w:hAnsi="Times New Roman" w:cs="Times New Roman"/>
          <w:sz w:val="28"/>
          <w:szCs w:val="28"/>
        </w:rPr>
        <w:t>Markdown</w:t>
      </w:r>
      <w:r w:rsidRPr="00BA02C0">
        <w:rPr>
          <w:rFonts w:ascii="Times New Roman" w:eastAsia="仿宋" w:hAnsi="Times New Roman" w:cs="Times New Roman"/>
          <w:sz w:val="28"/>
          <w:szCs w:val="28"/>
        </w:rPr>
        <w:t>、</w:t>
      </w:r>
      <w:r w:rsidRPr="00BA02C0">
        <w:rPr>
          <w:rFonts w:ascii="Times New Roman" w:eastAsia="仿宋" w:hAnsi="Times New Roman" w:cs="Times New Roman"/>
          <w:sz w:val="28"/>
          <w:szCs w:val="28"/>
        </w:rPr>
        <w:t>JSON</w:t>
      </w:r>
      <w:r w:rsidRPr="00BA02C0">
        <w:rPr>
          <w:rFonts w:ascii="Times New Roman" w:eastAsia="仿宋" w:hAnsi="Times New Roman" w:cs="Times New Roman"/>
          <w:sz w:val="28"/>
          <w:szCs w:val="28"/>
        </w:rPr>
        <w:t>；报告展示已登记的来源摘录与章节、页码等信息，可打开来源材料搜索正文、查看图片和下载原件。审核、依据回看与报告交付在同一工作台完成，减少整理对话、复制证据和编排报告格式的操作，便于团队统一使用及成果交接。</w:t>
      </w:r>
    </w:p>
    <w:p w14:paraId="6D113BB1" w14:textId="46CD9270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项目规则自适应与资料复用，拓展应用场景。行业差异由当次招标要求和证明材料承载，规则库与资料库独立维护，使不同采购项目复用同一审核内核。已建库的企业资料可在确认时效与适用范围后用</w:t>
      </w:r>
      <w:r w:rsidRPr="00BA02C0">
        <w:rPr>
          <w:rFonts w:ascii="Times New Roman" w:eastAsia="仿宋" w:hAnsi="Times New Roman" w:cs="Times New Roman"/>
          <w:sz w:val="28"/>
          <w:szCs w:val="28"/>
        </w:rPr>
        <w:lastRenderedPageBreak/>
        <w:t>于后续任务，任务保存当次版本，支持业务资料持续积累。现有验证覆盖红外成像仪设备采购与地方文献数字化加工服务采购；后者模拟测试的三态标签正确率为</w:t>
      </w:r>
      <w:r w:rsidRPr="00BA02C0">
        <w:rPr>
          <w:rFonts w:ascii="Times New Roman" w:eastAsia="仿宋" w:hAnsi="Times New Roman" w:cs="Times New Roman"/>
          <w:sz w:val="28"/>
          <w:szCs w:val="28"/>
        </w:rPr>
        <w:t>95.10%</w:t>
      </w:r>
      <w:r w:rsidRPr="00BA02C0">
        <w:rPr>
          <w:rFonts w:ascii="Times New Roman" w:eastAsia="仿宋" w:hAnsi="Times New Roman" w:cs="Times New Roman"/>
          <w:sz w:val="28"/>
          <w:szCs w:val="28"/>
        </w:rPr>
        <w:t>，不符合事项召回率为</w:t>
      </w:r>
      <w:r w:rsidRPr="00BA02C0">
        <w:rPr>
          <w:rFonts w:ascii="Times New Roman" w:eastAsia="仿宋" w:hAnsi="Times New Roman" w:cs="Times New Roman"/>
          <w:sz w:val="28"/>
          <w:szCs w:val="28"/>
        </w:rPr>
        <w:t>95.45%</w:t>
      </w:r>
      <w:r w:rsidRPr="00BA02C0">
        <w:rPr>
          <w:rFonts w:ascii="Times New Roman" w:eastAsia="仿宋" w:hAnsi="Times New Roman" w:cs="Times New Roman"/>
          <w:sz w:val="28"/>
          <w:szCs w:val="28"/>
        </w:rPr>
        <w:t>。基于两类采购的应用基础，产品可面向采购方响应核对、代理机构材料预审和投标方自查拓展，将共性审核能力用于不同主体与采购任务。</w:t>
      </w:r>
    </w:p>
    <w:p w14:paraId="6239141C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3.</w:t>
      </w:r>
      <w:r>
        <w:rPr>
          <w:rFonts w:ascii="Times New Roman" w:eastAsia="仿宋" w:hAnsi="Times New Roman" w:cs="Times New Roman" w:hint="eastAsia"/>
          <w:sz w:val="28"/>
          <w:szCs w:val="28"/>
        </w:rPr>
        <w:t>项目实施风险及应对措施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793"/>
        <w:gridCol w:w="4503"/>
      </w:tblGrid>
      <w:tr w:rsidR="00BA02C0" w14:paraId="05675945" w14:textId="77777777" w:rsidTr="00BA02C0">
        <w:tc>
          <w:tcPr>
            <w:tcW w:w="0" w:type="auto"/>
            <w:vAlign w:val="center"/>
          </w:tcPr>
          <w:p w14:paraId="0B852A2D" w14:textId="4FB2686E" w:rsid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风险情境与影响</w:t>
            </w:r>
          </w:p>
        </w:tc>
        <w:tc>
          <w:tcPr>
            <w:tcW w:w="0" w:type="auto"/>
            <w:vAlign w:val="center"/>
          </w:tcPr>
          <w:p w14:paraId="0EAFB2B4" w14:textId="1F00FBFD" w:rsid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应对措施</w:t>
            </w:r>
          </w:p>
        </w:tc>
      </w:tr>
      <w:tr w:rsidR="00BA02C0" w14:paraId="1793646D" w14:textId="77777777" w:rsidTr="00BA02C0">
        <w:tc>
          <w:tcPr>
            <w:tcW w:w="0" w:type="auto"/>
            <w:vAlign w:val="center"/>
          </w:tcPr>
          <w:p w14:paraId="68D8502E" w14:textId="30BFC59A" w:rsid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扫描不清、版本冲突或证明范围不明，可能导致误判及额外复核，影响验收与续用</w:t>
            </w:r>
          </w:p>
        </w:tc>
        <w:tc>
          <w:tcPr>
            <w:tcW w:w="0" w:type="auto"/>
            <w:vAlign w:val="center"/>
          </w:tcPr>
          <w:p w14:paraId="41E7D9A9" w14:textId="590AC722" w:rsid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确认材料范围，保留理由、来源线索及待核事项；通过约定样本验收，按错误类型改进</w:t>
            </w:r>
          </w:p>
          <w:p w14:paraId="4D88E3AE" w14:textId="77777777" w:rsidR="00BA02C0" w:rsidRPr="00BA02C0" w:rsidRDefault="00BA02C0" w:rsidP="00BA02C0">
            <w:pPr>
              <w:ind w:firstLineChars="200" w:firstLine="560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BA02C0" w14:paraId="156CE8DF" w14:textId="77777777" w:rsidTr="00BA02C0">
        <w:tc>
          <w:tcPr>
            <w:tcW w:w="0" w:type="auto"/>
            <w:vAlign w:val="center"/>
          </w:tcPr>
          <w:p w14:paraId="0C8077C0" w14:textId="51938386" w:rsid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模型或通用智能体进步，可能缩小现有处理优势</w:t>
            </w:r>
          </w:p>
        </w:tc>
        <w:tc>
          <w:tcPr>
            <w:tcW w:w="0" w:type="auto"/>
            <w:vAlign w:val="center"/>
          </w:tcPr>
          <w:p w14:paraId="377EC589" w14:textId="080068FC" w:rsid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保留模型替换空间，持续比较实际任务效果，围绕业务流程、成果交付和客户支持维护产品价值</w:t>
            </w:r>
          </w:p>
        </w:tc>
      </w:tr>
      <w:tr w:rsidR="00BA02C0" w14:paraId="78AB1E49" w14:textId="77777777" w:rsidTr="00BA02C0">
        <w:tc>
          <w:tcPr>
            <w:tcW w:w="0" w:type="auto"/>
            <w:vAlign w:val="center"/>
          </w:tcPr>
          <w:p w14:paraId="0E2E6D29" w14:textId="109C9E24" w:rsidR="00BA02C0" w:rsidRP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b/>
                <w:bCs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线上数据访问越权、保存不当或外部模型调用范围不清</w:t>
            </w:r>
          </w:p>
        </w:tc>
        <w:tc>
          <w:tcPr>
            <w:tcW w:w="0" w:type="auto"/>
            <w:vAlign w:val="center"/>
          </w:tcPr>
          <w:p w14:paraId="261E6F93" w14:textId="72F34275" w:rsid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建设身份认证、数据隔离、访问记录及删除机制，明确模型数据流向；自行部署提供兼容与配置说明</w:t>
            </w:r>
          </w:p>
        </w:tc>
      </w:tr>
      <w:tr w:rsidR="00BA02C0" w14:paraId="44C6BEA1" w14:textId="77777777" w:rsidTr="00BA02C0">
        <w:tc>
          <w:tcPr>
            <w:tcW w:w="0" w:type="auto"/>
            <w:vAlign w:val="center"/>
          </w:tcPr>
          <w:p w14:paraId="0D38D66D" w14:textId="17AB9CC3" w:rsidR="00BA02C0" w:rsidRP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高价模型或大规模材料推高调用和服务成本</w:t>
            </w:r>
          </w:p>
        </w:tc>
        <w:tc>
          <w:tcPr>
            <w:tcW w:w="0" w:type="auto"/>
            <w:vAlign w:val="center"/>
          </w:tcPr>
          <w:p w14:paraId="5886C1D4" w14:textId="69BD7C48" w:rsidR="00BA02C0" w:rsidRP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按模型计量并展示套餐额度，提供用量提示与补充选项，结合任务排队和存储管理控制成本</w:t>
            </w:r>
          </w:p>
        </w:tc>
      </w:tr>
      <w:tr w:rsidR="00BA02C0" w14:paraId="53CAB455" w14:textId="77777777" w:rsidTr="00BA02C0">
        <w:tc>
          <w:tcPr>
            <w:tcW w:w="0" w:type="auto"/>
            <w:vAlign w:val="center"/>
          </w:tcPr>
          <w:p w14:paraId="7C620815" w14:textId="299FF03D" w:rsidR="00BA02C0" w:rsidRP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需求分散、续费或回款不及计划，挤占研发及周转资金</w:t>
            </w:r>
          </w:p>
        </w:tc>
        <w:tc>
          <w:tcPr>
            <w:tcW w:w="0" w:type="auto"/>
            <w:vAlign w:val="center"/>
          </w:tcPr>
          <w:p w14:paraId="57DCFC5F" w14:textId="4418DE8A" w:rsidR="00BA02C0" w:rsidRPr="00BA02C0" w:rsidRDefault="00BA02C0" w:rsidP="00BA02C0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维护统一版本，按订单开通授权；研发与销售投入匹配已确认业务，保留周转余量</w:t>
            </w:r>
          </w:p>
        </w:tc>
      </w:tr>
    </w:tbl>
    <w:p w14:paraId="29340DF4" w14:textId="799A2DBE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首期重点控制审核质量与客户数据保护。使用评估同时查看任务完成、关键错误和人工复核负担，结合业务人员反馈改进模型输出与</w:t>
      </w:r>
      <w:r w:rsidRPr="00BA02C0">
        <w:rPr>
          <w:rFonts w:ascii="Times New Roman" w:eastAsia="仿宋" w:hAnsi="Times New Roman" w:cs="Times New Roman"/>
          <w:sz w:val="28"/>
          <w:szCs w:val="28"/>
        </w:rPr>
        <w:lastRenderedPageBreak/>
        <w:t>依据交付。线上版在开放付费前完成访问隔离和数据处理验证，明确保存期限及删除流程；自行部署版说明所选模型的数据流向，协助客户判断运行条件与材料使用要求是否匹配。</w:t>
      </w:r>
    </w:p>
    <w:p w14:paraId="4D080189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经营上优先维护统一核心版本，新增需求先评估共性价值与工作量，再安排产品迭代。按客户跟踪实际支持成本、回款和后续服务义务；销售或支持投入偏离计划时，控制扩招和非必要功能开发，保留周转余量。需求与政策提供进入机会，持续经营仍依赖可用成果、客户续用及可控制的服务成本。</w:t>
      </w:r>
    </w:p>
    <w:p w14:paraId="42C55DCC" w14:textId="77777777" w:rsidR="00AA0B97" w:rsidRDefault="00000000">
      <w:pPr>
        <w:widowControl/>
        <w:spacing w:line="360" w:lineRule="auto"/>
        <w:rPr>
          <w:rFonts w:ascii="Times New Roman" w:eastAsia="仿宋" w:hAnsi="Times New Roman" w:cs="Times New Roman"/>
          <w:b/>
          <w:sz w:val="28"/>
          <w:szCs w:val="28"/>
        </w:rPr>
      </w:pPr>
      <w:r>
        <w:rPr>
          <w:rFonts w:ascii="Times New Roman" w:eastAsia="仿宋" w:hAnsi="Times New Roman" w:cs="Times New Roman" w:hint="eastAsia"/>
          <w:b/>
          <w:sz w:val="28"/>
          <w:szCs w:val="28"/>
        </w:rPr>
        <w:t>五、商业模式</w:t>
      </w:r>
      <w:r>
        <w:rPr>
          <w:rFonts w:ascii="Times New Roman" w:eastAsia="仿宋" w:hAnsi="Times New Roman" w:cs="Times New Roman" w:hint="eastAsia"/>
          <w:sz w:val="28"/>
          <w:szCs w:val="28"/>
        </w:rPr>
        <w:t>（不超过</w:t>
      </w:r>
      <w:r>
        <w:rPr>
          <w:rFonts w:ascii="Times New Roman" w:eastAsia="仿宋" w:hAnsi="Times New Roman" w:cs="Times New Roman"/>
          <w:sz w:val="28"/>
          <w:szCs w:val="28"/>
        </w:rPr>
        <w:t>2000</w:t>
      </w:r>
      <w:r>
        <w:rPr>
          <w:rFonts w:ascii="Times New Roman" w:eastAsia="仿宋" w:hAnsi="Times New Roman" w:cs="Times New Roman" w:hint="eastAsia"/>
          <w:sz w:val="28"/>
          <w:szCs w:val="28"/>
        </w:rPr>
        <w:t>字）</w:t>
      </w:r>
    </w:p>
    <w:p w14:paraId="28AC3CF8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1.</w:t>
      </w:r>
      <w:r>
        <w:rPr>
          <w:rFonts w:ascii="Times New Roman" w:eastAsia="仿宋" w:hAnsi="Times New Roman" w:cs="Times New Roman" w:hint="eastAsia"/>
          <w:sz w:val="28"/>
          <w:szCs w:val="28"/>
        </w:rPr>
        <w:t>项目产品（服务）的开发、生产（服务）策略</w:t>
      </w:r>
    </w:p>
    <w:p w14:paraId="7AADAB98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采用</w:t>
      </w:r>
      <w:r w:rsidRPr="00BA02C0">
        <w:rPr>
          <w:rFonts w:ascii="Times New Roman" w:eastAsia="仿宋" w:hAnsi="Times New Roman" w:cs="Times New Roman"/>
          <w:sz w:val="28"/>
          <w:szCs w:val="28"/>
        </w:rPr>
        <w:t>“</w:t>
      </w:r>
      <w:r w:rsidRPr="00BA02C0">
        <w:rPr>
          <w:rFonts w:ascii="Times New Roman" w:eastAsia="仿宋" w:hAnsi="Times New Roman" w:cs="Times New Roman"/>
          <w:sz w:val="28"/>
          <w:szCs w:val="28"/>
        </w:rPr>
        <w:t>共用审核核心、线上订阅与自行部署并行</w:t>
      </w:r>
      <w:r w:rsidRPr="00BA02C0">
        <w:rPr>
          <w:rFonts w:ascii="Times New Roman" w:eastAsia="仿宋" w:hAnsi="Times New Roman" w:cs="Times New Roman"/>
          <w:sz w:val="28"/>
          <w:szCs w:val="28"/>
        </w:rPr>
        <w:t>”</w:t>
      </w:r>
      <w:r w:rsidRPr="00BA02C0">
        <w:rPr>
          <w:rFonts w:ascii="Times New Roman" w:eastAsia="仿宋" w:hAnsi="Times New Roman" w:cs="Times New Roman"/>
          <w:sz w:val="28"/>
          <w:szCs w:val="28"/>
        </w:rPr>
        <w:t>的产品策略。线上版由团队提供应用运行环境、模型调用、平台维护和数据保护服务，用户通过浏览器选择已适配模型开展审核；按月或按年持续使用，满足个人经办及机构团队的日常需求。</w:t>
      </w:r>
    </w:p>
    <w:p w14:paraId="739CD8A2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自行部署版按年度提供软件授权、版本更新、使用技术支持与硬件选型建议。客户自行或委托</w:t>
      </w:r>
      <w:r w:rsidRPr="00BA02C0">
        <w:rPr>
          <w:rFonts w:ascii="Times New Roman" w:eastAsia="仿宋" w:hAnsi="Times New Roman" w:cs="Times New Roman"/>
          <w:sz w:val="28"/>
          <w:szCs w:val="28"/>
        </w:rPr>
        <w:t>IT</w:t>
      </w:r>
      <w:r w:rsidRPr="00BA02C0">
        <w:rPr>
          <w:rFonts w:ascii="Times New Roman" w:eastAsia="仿宋" w:hAnsi="Times New Roman" w:cs="Times New Roman"/>
          <w:sz w:val="28"/>
          <w:szCs w:val="28"/>
        </w:rPr>
        <w:t>服务商安装应用、配置设备与模型并运维，承担相应资源费用；团队维护软件、提供安装文档和使用支持，不承担具体部署工程。年度授权期间不按项目数量或审核轮次收费。</w:t>
      </w:r>
    </w:p>
    <w:p w14:paraId="632FA6C6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两种版本复用同一业务内核和迭代成果。线上侧重点建设便捷使用、模型选择与订阅运营，自行部署侧提供稳定版本及机构适配说明。持续优化材料复用、上下文组织和工具调用，减少重复输入与无效往返；结合厂商</w:t>
      </w:r>
      <w:r w:rsidRPr="00BA02C0">
        <w:rPr>
          <w:rFonts w:ascii="Times New Roman" w:eastAsia="仿宋" w:hAnsi="Times New Roman" w:cs="Times New Roman"/>
          <w:sz w:val="28"/>
          <w:szCs w:val="28"/>
        </w:rPr>
        <w:t>API</w:t>
      </w:r>
      <w:r w:rsidRPr="00BA02C0">
        <w:rPr>
          <w:rFonts w:ascii="Times New Roman" w:eastAsia="仿宋" w:hAnsi="Times New Roman" w:cs="Times New Roman"/>
          <w:sz w:val="28"/>
          <w:szCs w:val="28"/>
        </w:rPr>
        <w:t>适配、缓存利用和模型选型，降低单位审核成本。</w:t>
      </w:r>
    </w:p>
    <w:p w14:paraId="72ABB21C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2.</w:t>
      </w:r>
      <w:r>
        <w:rPr>
          <w:rFonts w:ascii="Times New Roman" w:eastAsia="仿宋" w:hAnsi="Times New Roman" w:cs="Times New Roman" w:hint="eastAsia"/>
          <w:sz w:val="28"/>
          <w:szCs w:val="28"/>
        </w:rPr>
        <w:t>项目产品（服务）的营销策略</w:t>
      </w:r>
    </w:p>
    <w:p w14:paraId="7D4967EE" w14:textId="2C73C6C6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lastRenderedPageBreak/>
        <w:t>定向获客，以业务案例吸引目标用户。首期重点触达经常参与投标的企业经办人员和中小招标代理团队，围绕</w:t>
      </w:r>
      <w:r w:rsidRPr="00BA02C0">
        <w:rPr>
          <w:rFonts w:ascii="Times New Roman" w:eastAsia="仿宋" w:hAnsi="Times New Roman" w:cs="Times New Roman"/>
          <w:sz w:val="28"/>
          <w:szCs w:val="28"/>
        </w:rPr>
        <w:t>“</w:t>
      </w:r>
      <w:r w:rsidRPr="00BA02C0">
        <w:rPr>
          <w:rFonts w:ascii="Times New Roman" w:eastAsia="仿宋" w:hAnsi="Times New Roman" w:cs="Times New Roman"/>
          <w:sz w:val="28"/>
          <w:szCs w:val="28"/>
        </w:rPr>
        <w:t>提交前自查</w:t>
      </w:r>
      <w:r w:rsidRPr="00BA02C0">
        <w:rPr>
          <w:rFonts w:ascii="Times New Roman" w:eastAsia="仿宋" w:hAnsi="Times New Roman" w:cs="Times New Roman"/>
          <w:sz w:val="28"/>
          <w:szCs w:val="28"/>
        </w:rPr>
        <w:t>”“</w:t>
      </w:r>
      <w:r w:rsidRPr="00BA02C0">
        <w:rPr>
          <w:rFonts w:ascii="Times New Roman" w:eastAsia="仿宋" w:hAnsi="Times New Roman" w:cs="Times New Roman"/>
          <w:sz w:val="28"/>
          <w:szCs w:val="28"/>
        </w:rPr>
        <w:t>会审前预审</w:t>
      </w:r>
      <w:r w:rsidRPr="00BA02C0">
        <w:rPr>
          <w:rFonts w:ascii="Times New Roman" w:eastAsia="仿宋" w:hAnsi="Times New Roman" w:cs="Times New Roman"/>
          <w:sz w:val="28"/>
          <w:szCs w:val="28"/>
        </w:rPr>
        <w:t>”</w:t>
      </w:r>
      <w:r w:rsidRPr="00BA02C0">
        <w:rPr>
          <w:rFonts w:ascii="Times New Roman" w:eastAsia="仿宋" w:hAnsi="Times New Roman" w:cs="Times New Roman"/>
          <w:sz w:val="28"/>
          <w:szCs w:val="28"/>
        </w:rPr>
        <w:t>，用现有脱敏与模拟材料制作操作短片、案例和审核清单，通过招采业务社群、专业培训交流及线上专题演示获客，定向邀请有重复审核需求的团队体验。拟与采购培训机构、行业软件服务商开展推荐合作，按实际付费转化结算渠道费用；对具备</w:t>
      </w:r>
      <w:r w:rsidRPr="00BA02C0">
        <w:rPr>
          <w:rFonts w:ascii="Times New Roman" w:eastAsia="仿宋" w:hAnsi="Times New Roman" w:cs="Times New Roman"/>
          <w:sz w:val="28"/>
          <w:szCs w:val="28"/>
        </w:rPr>
        <w:t>IT</w:t>
      </w:r>
      <w:r w:rsidRPr="00BA02C0">
        <w:rPr>
          <w:rFonts w:ascii="Times New Roman" w:eastAsia="仿宋" w:hAnsi="Times New Roman" w:cs="Times New Roman"/>
          <w:sz w:val="28"/>
          <w:szCs w:val="28"/>
        </w:rPr>
        <w:t>条件的机构推介自行部署年度授权。后三季度分别以新增</w:t>
      </w:r>
      <w:r w:rsidRPr="00BA02C0">
        <w:rPr>
          <w:rFonts w:ascii="Times New Roman" w:eastAsia="仿宋" w:hAnsi="Times New Roman" w:cs="Times New Roman"/>
          <w:sz w:val="28"/>
          <w:szCs w:val="28"/>
        </w:rPr>
        <w:t>60</w:t>
      </w:r>
      <w:r w:rsidRPr="00BA02C0">
        <w:rPr>
          <w:rFonts w:ascii="Times New Roman" w:eastAsia="仿宋" w:hAnsi="Times New Roman" w:cs="Times New Roman"/>
          <w:sz w:val="28"/>
          <w:szCs w:val="28"/>
        </w:rPr>
        <w:t>、</w:t>
      </w:r>
      <w:r w:rsidRPr="00BA02C0">
        <w:rPr>
          <w:rFonts w:ascii="Times New Roman" w:eastAsia="仿宋" w:hAnsi="Times New Roman" w:cs="Times New Roman"/>
          <w:sz w:val="28"/>
          <w:szCs w:val="28"/>
        </w:rPr>
        <w:t>60</w:t>
      </w:r>
      <w:r w:rsidRPr="00BA02C0">
        <w:rPr>
          <w:rFonts w:ascii="Times New Roman" w:eastAsia="仿宋" w:hAnsi="Times New Roman" w:cs="Times New Roman"/>
          <w:sz w:val="28"/>
          <w:szCs w:val="28"/>
        </w:rPr>
        <w:t>和</w:t>
      </w:r>
      <w:r w:rsidRPr="00BA02C0">
        <w:rPr>
          <w:rFonts w:ascii="Times New Roman" w:eastAsia="仿宋" w:hAnsi="Times New Roman" w:cs="Times New Roman"/>
          <w:sz w:val="28"/>
          <w:szCs w:val="28"/>
        </w:rPr>
        <w:t>80</w:t>
      </w:r>
      <w:r w:rsidRPr="00BA02C0">
        <w:rPr>
          <w:rFonts w:ascii="Times New Roman" w:eastAsia="仿宋" w:hAnsi="Times New Roman" w:cs="Times New Roman"/>
          <w:sz w:val="28"/>
          <w:szCs w:val="28"/>
        </w:rPr>
        <w:t>个付费账户为目标，记录各渠道咨询、体验及付费结果，集中投入转化较好的渠道。</w:t>
      </w:r>
    </w:p>
    <w:p w14:paraId="04250495" w14:textId="709D53EC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体验转化，以首次成果带动续用。提供限时、限额度体验，配套样例材料、操作引导和集中答疑，帮助用户完成首次材料导入、审核与来源回看，以可复核报告建立使用信任。为阶段性需求提供月付入口，对连续审核需求以年付优惠引导长期订阅，年价相当于</w:t>
      </w:r>
      <w:r w:rsidRPr="00BA02C0">
        <w:rPr>
          <w:rFonts w:ascii="Times New Roman" w:eastAsia="仿宋" w:hAnsi="Times New Roman" w:cs="Times New Roman"/>
          <w:sz w:val="28"/>
          <w:szCs w:val="28"/>
        </w:rPr>
        <w:t>10</w:t>
      </w:r>
      <w:r w:rsidRPr="00BA02C0">
        <w:rPr>
          <w:rFonts w:ascii="Times New Roman" w:eastAsia="仿宋" w:hAnsi="Times New Roman" w:cs="Times New Roman"/>
          <w:sz w:val="28"/>
          <w:szCs w:val="28"/>
        </w:rPr>
        <w:t>个月月费。持续提供资料复用指引和版本更新说明，到期前回访使用问题、跟进处理并提示续费，以老用户推荐拓展同类客户；采用标准教程与共性问题答疑，减少逐户培训负担。</w:t>
      </w:r>
    </w:p>
    <w:p w14:paraId="3FDCC8F8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3.</w:t>
      </w:r>
      <w:r>
        <w:rPr>
          <w:rFonts w:ascii="Times New Roman" w:eastAsia="仿宋" w:hAnsi="Times New Roman" w:cs="Times New Roman" w:hint="eastAsia"/>
          <w:sz w:val="28"/>
          <w:szCs w:val="28"/>
        </w:rPr>
        <w:t>项目产品（服务）获利方式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1134"/>
        <w:gridCol w:w="4473"/>
      </w:tblGrid>
      <w:tr w:rsidR="0007123C" w14:paraId="489121CF" w14:textId="77777777" w:rsidTr="00783CDF">
        <w:tc>
          <w:tcPr>
            <w:tcW w:w="1696" w:type="dxa"/>
            <w:vAlign w:val="center"/>
          </w:tcPr>
          <w:p w14:paraId="5BF89442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服务项目</w:t>
            </w:r>
          </w:p>
        </w:tc>
        <w:tc>
          <w:tcPr>
            <w:tcW w:w="993" w:type="dxa"/>
            <w:vAlign w:val="center"/>
          </w:tcPr>
          <w:p w14:paraId="6A5C7DC4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月付</w:t>
            </w:r>
          </w:p>
        </w:tc>
        <w:tc>
          <w:tcPr>
            <w:tcW w:w="1134" w:type="dxa"/>
            <w:vAlign w:val="center"/>
          </w:tcPr>
          <w:p w14:paraId="7951C794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年付</w:t>
            </w:r>
          </w:p>
        </w:tc>
        <w:tc>
          <w:tcPr>
            <w:tcW w:w="4473" w:type="dxa"/>
            <w:vAlign w:val="center"/>
          </w:tcPr>
          <w:p w14:paraId="516270E0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服务范围</w:t>
            </w:r>
          </w:p>
        </w:tc>
      </w:tr>
      <w:tr w:rsidR="0007123C" w14:paraId="78AA02FC" w14:textId="77777777" w:rsidTr="00783CDF">
        <w:tc>
          <w:tcPr>
            <w:tcW w:w="1696" w:type="dxa"/>
            <w:vAlign w:val="center"/>
          </w:tcPr>
          <w:p w14:paraId="02CAD347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线上基础版</w:t>
            </w:r>
          </w:p>
        </w:tc>
        <w:tc>
          <w:tcPr>
            <w:tcW w:w="993" w:type="dxa"/>
            <w:vAlign w:val="center"/>
          </w:tcPr>
          <w:p w14:paraId="3A17EC70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299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元／月</w:t>
            </w:r>
          </w:p>
        </w:tc>
        <w:tc>
          <w:tcPr>
            <w:tcW w:w="1134" w:type="dxa"/>
            <w:vAlign w:val="center"/>
          </w:tcPr>
          <w:p w14:paraId="42D64D85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2990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元／年</w:t>
            </w:r>
          </w:p>
        </w:tc>
        <w:tc>
          <w:tcPr>
            <w:tcW w:w="4473" w:type="dxa"/>
            <w:vAlign w:val="center"/>
          </w:tcPr>
          <w:p w14:paraId="3268C713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标准模型方案、基础计算额度、资料管理、报告导出和在线支持</w:t>
            </w:r>
          </w:p>
        </w:tc>
      </w:tr>
      <w:tr w:rsidR="0007123C" w14:paraId="6A2DB16D" w14:textId="77777777" w:rsidTr="00783CDF">
        <w:tc>
          <w:tcPr>
            <w:tcW w:w="1696" w:type="dxa"/>
            <w:vAlign w:val="center"/>
          </w:tcPr>
          <w:p w14:paraId="2D416AA5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线上专业版</w:t>
            </w:r>
          </w:p>
        </w:tc>
        <w:tc>
          <w:tcPr>
            <w:tcW w:w="993" w:type="dxa"/>
            <w:vAlign w:val="center"/>
          </w:tcPr>
          <w:p w14:paraId="41A50166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799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元／月</w:t>
            </w:r>
          </w:p>
        </w:tc>
        <w:tc>
          <w:tcPr>
            <w:tcW w:w="1134" w:type="dxa"/>
            <w:vAlign w:val="center"/>
          </w:tcPr>
          <w:p w14:paraId="72338E81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7990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元／年</w:t>
            </w:r>
          </w:p>
        </w:tc>
        <w:tc>
          <w:tcPr>
            <w:tcW w:w="4473" w:type="dxa"/>
            <w:vAlign w:val="center"/>
          </w:tcPr>
          <w:p w14:paraId="3EEECCA5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更多已适配模型、更高计算额度与存储空间、优先任务队列和使用支持</w:t>
            </w:r>
          </w:p>
        </w:tc>
      </w:tr>
      <w:tr w:rsidR="0007123C" w14:paraId="1FC19ADE" w14:textId="77777777" w:rsidTr="00783CDF">
        <w:tc>
          <w:tcPr>
            <w:tcW w:w="1696" w:type="dxa"/>
            <w:vAlign w:val="center"/>
          </w:tcPr>
          <w:p w14:paraId="75FC9A7B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自行部署年度版</w:t>
            </w:r>
          </w:p>
        </w:tc>
        <w:tc>
          <w:tcPr>
            <w:tcW w:w="993" w:type="dxa"/>
            <w:vAlign w:val="center"/>
          </w:tcPr>
          <w:p w14:paraId="76BF527F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—</w:t>
            </w:r>
          </w:p>
        </w:tc>
        <w:tc>
          <w:tcPr>
            <w:tcW w:w="1134" w:type="dxa"/>
            <w:vAlign w:val="center"/>
          </w:tcPr>
          <w:p w14:paraId="24CCCF0B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9800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元／年起</w:t>
            </w:r>
          </w:p>
        </w:tc>
        <w:tc>
          <w:tcPr>
            <w:tcW w:w="4473" w:type="dxa"/>
            <w:vAlign w:val="center"/>
          </w:tcPr>
          <w:p w14:paraId="602FAB0A" w14:textId="77777777" w:rsidR="0007123C" w:rsidRDefault="0007123C" w:rsidP="00783CDF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1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个独立实例的软件授权、版本更新、每年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12</w:t>
            </w:r>
            <w:r w:rsidRPr="00BA02C0">
              <w:rPr>
                <w:rFonts w:ascii="Times New Roman" w:eastAsia="仿宋" w:hAnsi="Times New Roman" w:cs="Times New Roman"/>
                <w:sz w:val="28"/>
                <w:szCs w:val="28"/>
              </w:rPr>
              <w:t>小时远程使用支持及硬件选型建议</w:t>
            </w:r>
          </w:p>
        </w:tc>
      </w:tr>
    </w:tbl>
    <w:p w14:paraId="26021818" w14:textId="4E867752" w:rsidR="00BA02C0" w:rsidRDefault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lastRenderedPageBreak/>
        <w:t>收入由线上会员订阅和自行部署年度授权构成。线上按模型方案、计算额度、存储空间及任务优先级设置基础与专业两档，两档均提供完整的规则整理、资料核验和报告功能。拟定以下不含税价格：</w:t>
      </w:r>
    </w:p>
    <w:p w14:paraId="6667E633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线上用户无需配置模型账号，不按项目数量或审核轮次收费。月付按月购买，年付一次支付</w:t>
      </w:r>
      <w:r w:rsidRPr="00BA02C0">
        <w:rPr>
          <w:rFonts w:ascii="Times New Roman" w:eastAsia="仿宋" w:hAnsi="Times New Roman" w:cs="Times New Roman"/>
          <w:sz w:val="28"/>
          <w:szCs w:val="28"/>
        </w:rPr>
        <w:t>12</w:t>
      </w:r>
      <w:r w:rsidRPr="00BA02C0">
        <w:rPr>
          <w:rFonts w:ascii="Times New Roman" w:eastAsia="仿宋" w:hAnsi="Times New Roman" w:cs="Times New Roman"/>
          <w:sz w:val="28"/>
          <w:szCs w:val="28"/>
        </w:rPr>
        <w:t>个月费用、计算资源按月提供。套餐拟按模型方案计量文本输入输出、图像解析等资源消耗，展示任务用量与余额，支持补充或升级。上线前将结合材料规模、扫描件比例、模型配置及完整审核流程核验资源消耗，确定并公示计算额度、存储和并发边界。核验覆盖规则与资料入库、关联查证和报告生成，区分首次处理与资料复用。自行部署版由客户提供模型和设备，按年获得软件授权及配套服务。</w:t>
      </w:r>
    </w:p>
    <w:p w14:paraId="3AF730EF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持续付费由连续审核需求和可复用的业务成果支撑。对经常开展采购、代理或投标业务的客户，新项目持续带来规则整理与材料核验需求；已有企业证明资料可在确认时效和适用范围后用于后续任务，统一工作台和报告形式减少重复准备、流程组织与成果交接。线上订阅持续提供计算资源、平台维护和模型适配，自行部署年度服务提供软件更新和使用支持，使客户在后续项目中继续获得审核能力与服务保障。</w:t>
      </w:r>
    </w:p>
    <w:p w14:paraId="381D04B6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成本主要包括模型调用、托管、支付渠道及人员等支出。通过套餐用量管理控制线上资源消耗，以统一软件版本、标准教程和共性问题支持减少逐户交付投入；自行部署客户承担设备与模型费用，团队承担软件维护和使用支持。两种路线共用审核内核，使研发成果服务更多客户、摊薄共性投入，订阅及授权收入在覆盖服务和运营成本后形成经营收益。</w:t>
      </w:r>
    </w:p>
    <w:p w14:paraId="1416A20C" w14:textId="77777777" w:rsidR="00AA0B97" w:rsidRDefault="0000000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>4.</w:t>
      </w:r>
      <w:r>
        <w:rPr>
          <w:rFonts w:ascii="Times New Roman" w:eastAsia="仿宋" w:hAnsi="Times New Roman" w:cs="Times New Roman" w:hint="eastAsia"/>
          <w:sz w:val="28"/>
          <w:szCs w:val="28"/>
        </w:rPr>
        <w:t>（若创业）企业发展计划</w:t>
      </w:r>
    </w:p>
    <w:p w14:paraId="41E54F8C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lastRenderedPageBreak/>
        <w:t>第一季度开展产品化，第二季度完成线上服务必需能力、启动付费并完善自行部署交付包。首年目标累计获得</w:t>
      </w:r>
      <w:r w:rsidRPr="00BA02C0">
        <w:rPr>
          <w:rFonts w:ascii="Times New Roman" w:eastAsia="仿宋" w:hAnsi="Times New Roman" w:cs="Times New Roman"/>
          <w:sz w:val="28"/>
          <w:szCs w:val="28"/>
        </w:rPr>
        <w:t>200</w:t>
      </w:r>
      <w:r w:rsidRPr="00BA02C0">
        <w:rPr>
          <w:rFonts w:ascii="Times New Roman" w:eastAsia="仿宋" w:hAnsi="Times New Roman" w:cs="Times New Roman"/>
          <w:sz w:val="28"/>
          <w:szCs w:val="28"/>
        </w:rPr>
        <w:t>个线上付费账户，基础与专业各占一半。前两年拟配置</w:t>
      </w:r>
      <w:r w:rsidRPr="00BA02C0">
        <w:rPr>
          <w:rFonts w:ascii="Times New Roman" w:eastAsia="仿宋" w:hAnsi="Times New Roman" w:cs="Times New Roman"/>
          <w:sz w:val="28"/>
          <w:szCs w:val="28"/>
        </w:rPr>
        <w:t>2</w:t>
      </w:r>
      <w:r w:rsidRPr="00BA02C0">
        <w:rPr>
          <w:rFonts w:ascii="Times New Roman" w:eastAsia="仿宋" w:hAnsi="Times New Roman" w:cs="Times New Roman"/>
          <w:sz w:val="28"/>
          <w:szCs w:val="28"/>
        </w:rPr>
        <w:t>名核心人员，统一承担研发、运维和客户支持，第三年随业务扩大增至</w:t>
      </w:r>
      <w:r w:rsidRPr="00BA02C0">
        <w:rPr>
          <w:rFonts w:ascii="Times New Roman" w:eastAsia="仿宋" w:hAnsi="Times New Roman" w:cs="Times New Roman"/>
          <w:sz w:val="28"/>
          <w:szCs w:val="28"/>
        </w:rPr>
        <w:t>3</w:t>
      </w:r>
      <w:r w:rsidRPr="00BA02C0">
        <w:rPr>
          <w:rFonts w:ascii="Times New Roman" w:eastAsia="仿宋" w:hAnsi="Times New Roman" w:cs="Times New Roman"/>
          <w:sz w:val="28"/>
          <w:szCs w:val="28"/>
        </w:rPr>
        <w:t>名；以共用软件版本支持两种交付方式，依据活跃量和服务负载增加资源。</w:t>
      </w:r>
    </w:p>
    <w:p w14:paraId="15298441" w14:textId="77777777" w:rsidR="00BA02C0" w:rsidRPr="00BA02C0" w:rsidRDefault="00BA02C0" w:rsidP="00BA02C0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BA02C0">
        <w:rPr>
          <w:rFonts w:ascii="Times New Roman" w:eastAsia="仿宋" w:hAnsi="Times New Roman" w:cs="Times New Roman"/>
          <w:sz w:val="28"/>
          <w:szCs w:val="28"/>
        </w:rPr>
        <w:t>拟分阶段筹措</w:t>
      </w:r>
      <w:r w:rsidRPr="00BA02C0">
        <w:rPr>
          <w:rFonts w:ascii="Times New Roman" w:eastAsia="仿宋" w:hAnsi="Times New Roman" w:cs="Times New Roman"/>
          <w:sz w:val="28"/>
          <w:szCs w:val="28"/>
        </w:rPr>
        <w:t>20</w:t>
      </w:r>
      <w:r w:rsidRPr="00BA02C0">
        <w:rPr>
          <w:rFonts w:ascii="Times New Roman" w:eastAsia="仿宋" w:hAnsi="Times New Roman" w:cs="Times New Roman"/>
          <w:sz w:val="28"/>
          <w:szCs w:val="28"/>
        </w:rPr>
        <w:t>万元启动资金，用于上线前的人员、产品化工具和推广投入，并预留模型与运营周转资金。年度预收款按后续服务需要保留资源，依据成交、续费与服务成本安排扩张。</w:t>
      </w:r>
    </w:p>
    <w:p w14:paraId="43535291" w14:textId="77777777" w:rsidR="00AA0B97" w:rsidRDefault="00000000">
      <w:pPr>
        <w:widowControl/>
        <w:spacing w:line="360" w:lineRule="auto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b/>
          <w:sz w:val="28"/>
          <w:szCs w:val="28"/>
        </w:rPr>
        <w:t>六、预期经济效益分析</w:t>
      </w:r>
      <w:r>
        <w:rPr>
          <w:rFonts w:ascii="Times New Roman" w:eastAsia="仿宋" w:hAnsi="Times New Roman" w:cs="Times New Roman" w:hint="eastAsia"/>
          <w:sz w:val="28"/>
          <w:szCs w:val="28"/>
        </w:rPr>
        <w:t>（不超过</w:t>
      </w:r>
      <w:r>
        <w:rPr>
          <w:rFonts w:ascii="Times New Roman" w:eastAsia="仿宋" w:hAnsi="Times New Roman" w:cs="Times New Roman"/>
          <w:sz w:val="28"/>
          <w:szCs w:val="28"/>
        </w:rPr>
        <w:t>500</w:t>
      </w:r>
      <w:r>
        <w:rPr>
          <w:rFonts w:ascii="Times New Roman" w:eastAsia="仿宋" w:hAnsi="Times New Roman" w:cs="Times New Roman" w:hint="eastAsia"/>
          <w:sz w:val="28"/>
          <w:szCs w:val="28"/>
        </w:rPr>
        <w:t>字）</w:t>
      </w:r>
    </w:p>
    <w:p w14:paraId="396E8F60" w14:textId="77777777" w:rsidR="00503CF4" w:rsidRDefault="00503CF4" w:rsidP="00503CF4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503CF4">
        <w:rPr>
          <w:rFonts w:ascii="Times New Roman" w:eastAsia="仿宋" w:hAnsi="Times New Roman" w:cs="Times New Roman" w:hint="eastAsia"/>
          <w:sz w:val="28"/>
          <w:szCs w:val="28"/>
        </w:rPr>
        <w:t>按目标经营情景测算，线上三年新增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200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120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180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户，两档各半，新户年付占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70%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、月付占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30%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；年付到期续约率按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70%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，月付首轮预计使用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3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个月。月付按付费服务月份、年付按合同当年服务月份计收入。自行部署新增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10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15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20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户，续约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0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8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18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户。金额单位为万元。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045"/>
        <w:gridCol w:w="1417"/>
        <w:gridCol w:w="1417"/>
        <w:gridCol w:w="1417"/>
      </w:tblGrid>
      <w:tr w:rsidR="00503CF4" w14:paraId="601C0C7C" w14:textId="77777777" w:rsidTr="00503CF4">
        <w:tc>
          <w:tcPr>
            <w:tcW w:w="0" w:type="auto"/>
            <w:vAlign w:val="center"/>
          </w:tcPr>
          <w:p w14:paraId="5297EB9A" w14:textId="5219A53B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指标</w:t>
            </w:r>
          </w:p>
        </w:tc>
        <w:tc>
          <w:tcPr>
            <w:tcW w:w="0" w:type="auto"/>
            <w:vAlign w:val="center"/>
          </w:tcPr>
          <w:p w14:paraId="29365BEC" w14:textId="4D51E0E5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第一年</w:t>
            </w:r>
          </w:p>
        </w:tc>
        <w:tc>
          <w:tcPr>
            <w:tcW w:w="0" w:type="auto"/>
            <w:vAlign w:val="center"/>
          </w:tcPr>
          <w:p w14:paraId="25713292" w14:textId="2BE149B8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第二年</w:t>
            </w:r>
          </w:p>
        </w:tc>
        <w:tc>
          <w:tcPr>
            <w:tcW w:w="0" w:type="auto"/>
            <w:vAlign w:val="center"/>
          </w:tcPr>
          <w:p w14:paraId="02ADC99C" w14:textId="47E357BF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第三年</w:t>
            </w:r>
          </w:p>
        </w:tc>
      </w:tr>
      <w:tr w:rsidR="00503CF4" w14:paraId="60AD283F" w14:textId="77777777" w:rsidTr="00503CF4">
        <w:tc>
          <w:tcPr>
            <w:tcW w:w="0" w:type="auto"/>
            <w:vAlign w:val="center"/>
          </w:tcPr>
          <w:p w14:paraId="2F17CE56" w14:textId="762BE502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线上年付订阅收入</w:t>
            </w:r>
          </w:p>
        </w:tc>
        <w:tc>
          <w:tcPr>
            <w:tcW w:w="0" w:type="auto"/>
            <w:vAlign w:val="center"/>
          </w:tcPr>
          <w:p w14:paraId="3F538931" w14:textId="10187D4F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26.90</w:t>
            </w:r>
          </w:p>
        </w:tc>
        <w:tc>
          <w:tcPr>
            <w:tcW w:w="0" w:type="auto"/>
            <w:vAlign w:val="center"/>
          </w:tcPr>
          <w:p w14:paraId="02C2EF60" w14:textId="58496417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91.85</w:t>
            </w:r>
          </w:p>
        </w:tc>
        <w:tc>
          <w:tcPr>
            <w:tcW w:w="0" w:type="auto"/>
            <w:vAlign w:val="center"/>
          </w:tcPr>
          <w:p w14:paraId="0B65EFCC" w14:textId="4E83A0AC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121.55</w:t>
            </w:r>
          </w:p>
        </w:tc>
      </w:tr>
      <w:tr w:rsidR="00503CF4" w14:paraId="7232767E" w14:textId="77777777" w:rsidTr="00503CF4">
        <w:tc>
          <w:tcPr>
            <w:tcW w:w="0" w:type="auto"/>
            <w:vAlign w:val="center"/>
          </w:tcPr>
          <w:p w14:paraId="6DEDE020" w14:textId="409978C7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线上月付订阅收入</w:t>
            </w:r>
          </w:p>
        </w:tc>
        <w:tc>
          <w:tcPr>
            <w:tcW w:w="0" w:type="auto"/>
            <w:vAlign w:val="center"/>
          </w:tcPr>
          <w:p w14:paraId="59BC2814" w14:textId="5C9AB3B1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7.91</w:t>
            </w:r>
          </w:p>
        </w:tc>
        <w:tc>
          <w:tcPr>
            <w:tcW w:w="0" w:type="auto"/>
            <w:vAlign w:val="center"/>
          </w:tcPr>
          <w:p w14:paraId="225A7C3B" w14:textId="6A8760F6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7.16</w:t>
            </w:r>
          </w:p>
        </w:tc>
        <w:tc>
          <w:tcPr>
            <w:tcW w:w="0" w:type="auto"/>
            <w:vAlign w:val="center"/>
          </w:tcPr>
          <w:p w14:paraId="045CABAB" w14:textId="568F624B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8.50</w:t>
            </w:r>
          </w:p>
        </w:tc>
      </w:tr>
      <w:tr w:rsidR="00503CF4" w14:paraId="1A94A031" w14:textId="77777777" w:rsidTr="00503CF4">
        <w:tc>
          <w:tcPr>
            <w:tcW w:w="0" w:type="auto"/>
            <w:vAlign w:val="center"/>
          </w:tcPr>
          <w:p w14:paraId="14F8A288" w14:textId="5157E0F0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自行部署年度授权收入</w:t>
            </w:r>
          </w:p>
        </w:tc>
        <w:tc>
          <w:tcPr>
            <w:tcW w:w="0" w:type="auto"/>
            <w:vAlign w:val="center"/>
          </w:tcPr>
          <w:p w14:paraId="217FFE78" w14:textId="564C1067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4.90</w:t>
            </w:r>
          </w:p>
        </w:tc>
        <w:tc>
          <w:tcPr>
            <w:tcW w:w="0" w:type="auto"/>
            <w:vAlign w:val="center"/>
          </w:tcPr>
          <w:p w14:paraId="46520AE0" w14:textId="55E7CA16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16.17</w:t>
            </w:r>
          </w:p>
        </w:tc>
        <w:tc>
          <w:tcPr>
            <w:tcW w:w="0" w:type="auto"/>
            <w:vAlign w:val="center"/>
          </w:tcPr>
          <w:p w14:paraId="5477FF93" w14:textId="445CB539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29.89</w:t>
            </w:r>
          </w:p>
        </w:tc>
      </w:tr>
      <w:tr w:rsidR="00503CF4" w14:paraId="271B6682" w14:textId="77777777" w:rsidTr="00503CF4">
        <w:tc>
          <w:tcPr>
            <w:tcW w:w="0" w:type="auto"/>
            <w:vAlign w:val="center"/>
          </w:tcPr>
          <w:p w14:paraId="52D23FF5" w14:textId="1FE15A73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营业收入合计</w:t>
            </w:r>
          </w:p>
        </w:tc>
        <w:tc>
          <w:tcPr>
            <w:tcW w:w="0" w:type="auto"/>
            <w:vAlign w:val="center"/>
          </w:tcPr>
          <w:p w14:paraId="66EC70C5" w14:textId="680C8A6E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39.71</w:t>
            </w:r>
          </w:p>
        </w:tc>
        <w:tc>
          <w:tcPr>
            <w:tcW w:w="0" w:type="auto"/>
            <w:vAlign w:val="center"/>
          </w:tcPr>
          <w:p w14:paraId="17AF1C72" w14:textId="4E6D73E4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115.18</w:t>
            </w:r>
          </w:p>
        </w:tc>
        <w:tc>
          <w:tcPr>
            <w:tcW w:w="0" w:type="auto"/>
            <w:vAlign w:val="center"/>
          </w:tcPr>
          <w:p w14:paraId="33E303F4" w14:textId="50B8CED1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159.94</w:t>
            </w:r>
          </w:p>
        </w:tc>
      </w:tr>
      <w:tr w:rsidR="00503CF4" w14:paraId="31B511A2" w14:textId="77777777" w:rsidTr="00503CF4">
        <w:tc>
          <w:tcPr>
            <w:tcW w:w="0" w:type="auto"/>
            <w:vAlign w:val="center"/>
          </w:tcPr>
          <w:p w14:paraId="61384BE9" w14:textId="5BC49413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直接成本</w:t>
            </w:r>
          </w:p>
        </w:tc>
        <w:tc>
          <w:tcPr>
            <w:tcW w:w="0" w:type="auto"/>
            <w:vAlign w:val="center"/>
          </w:tcPr>
          <w:p w14:paraId="47C51CCF" w14:textId="4E086906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13.75</w:t>
            </w:r>
          </w:p>
        </w:tc>
        <w:tc>
          <w:tcPr>
            <w:tcW w:w="0" w:type="auto"/>
            <w:vAlign w:val="center"/>
          </w:tcPr>
          <w:p w14:paraId="6FEF1201" w14:textId="78F6023C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39.86</w:t>
            </w:r>
          </w:p>
        </w:tc>
        <w:tc>
          <w:tcPr>
            <w:tcW w:w="0" w:type="auto"/>
            <w:vAlign w:val="center"/>
          </w:tcPr>
          <w:p w14:paraId="4192A447" w14:textId="3596A50F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52.40</w:t>
            </w:r>
          </w:p>
        </w:tc>
      </w:tr>
      <w:tr w:rsidR="00503CF4" w14:paraId="13193B1C" w14:textId="77777777" w:rsidTr="00503CF4">
        <w:tc>
          <w:tcPr>
            <w:tcW w:w="0" w:type="auto"/>
            <w:vAlign w:val="center"/>
          </w:tcPr>
          <w:p w14:paraId="7D69730A" w14:textId="5C86741D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期间费用</w:t>
            </w:r>
          </w:p>
        </w:tc>
        <w:tc>
          <w:tcPr>
            <w:tcW w:w="0" w:type="auto"/>
            <w:vAlign w:val="center"/>
          </w:tcPr>
          <w:p w14:paraId="516F3A06" w14:textId="7F977CE1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24.52</w:t>
            </w:r>
          </w:p>
        </w:tc>
        <w:tc>
          <w:tcPr>
            <w:tcW w:w="0" w:type="auto"/>
            <w:vAlign w:val="center"/>
          </w:tcPr>
          <w:p w14:paraId="3311C788" w14:textId="08302E11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28.84</w:t>
            </w:r>
          </w:p>
        </w:tc>
        <w:tc>
          <w:tcPr>
            <w:tcW w:w="0" w:type="auto"/>
            <w:vAlign w:val="center"/>
          </w:tcPr>
          <w:p w14:paraId="4C206D98" w14:textId="24872B45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47.44</w:t>
            </w:r>
          </w:p>
        </w:tc>
      </w:tr>
      <w:tr w:rsidR="00503CF4" w14:paraId="2A348F32" w14:textId="77777777" w:rsidTr="00503CF4">
        <w:tc>
          <w:tcPr>
            <w:tcW w:w="0" w:type="auto"/>
            <w:vAlign w:val="center"/>
          </w:tcPr>
          <w:p w14:paraId="2098CD8D" w14:textId="249DA102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税前经营结余</w:t>
            </w:r>
          </w:p>
        </w:tc>
        <w:tc>
          <w:tcPr>
            <w:tcW w:w="0" w:type="auto"/>
            <w:vAlign w:val="center"/>
          </w:tcPr>
          <w:p w14:paraId="21125053" w14:textId="11FF84C5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1.44</w:t>
            </w:r>
          </w:p>
        </w:tc>
        <w:tc>
          <w:tcPr>
            <w:tcW w:w="0" w:type="auto"/>
            <w:vAlign w:val="center"/>
          </w:tcPr>
          <w:p w14:paraId="56A0392C" w14:textId="4DBB8B23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46.48</w:t>
            </w:r>
          </w:p>
        </w:tc>
        <w:tc>
          <w:tcPr>
            <w:tcW w:w="0" w:type="auto"/>
            <w:vAlign w:val="center"/>
          </w:tcPr>
          <w:p w14:paraId="5BBE2F97" w14:textId="1E586CB0" w:rsidR="00503CF4" w:rsidRDefault="00503CF4" w:rsidP="00503CF4">
            <w:pPr>
              <w:widowControl/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60.10</w:t>
            </w:r>
          </w:p>
        </w:tc>
      </w:tr>
    </w:tbl>
    <w:p w14:paraId="69A36BB5" w14:textId="734C00DA" w:rsidR="00503CF4" w:rsidRPr="00503CF4" w:rsidRDefault="00503CF4" w:rsidP="00503CF4">
      <w:pPr>
        <w:widowControl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503CF4">
        <w:rPr>
          <w:rFonts w:ascii="Times New Roman" w:eastAsia="仿宋" w:hAnsi="Times New Roman" w:cs="Times New Roman" w:hint="eastAsia"/>
          <w:sz w:val="28"/>
          <w:szCs w:val="28"/>
        </w:rPr>
        <w:t>首年第二季度上线、客户分批加入，形成部分月份收入；后续通过存续合同服务、到期续约与新增客户扩大收入。税前经营结余按营业收入扣除直接成本与期间费用计算。连续审核与资料复用支撑客户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lastRenderedPageBreak/>
        <w:t>持续使用，共用软件和标准化服务摊薄共性研发及交付投入。按上述目标与预算，预计三年累计税前经营结余约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108.02</w:t>
      </w:r>
      <w:r w:rsidRPr="00503CF4">
        <w:rPr>
          <w:rFonts w:ascii="Times New Roman" w:eastAsia="仿宋" w:hAnsi="Times New Roman" w:cs="Times New Roman" w:hint="eastAsia"/>
          <w:sz w:val="28"/>
          <w:szCs w:val="28"/>
        </w:rPr>
        <w:t>万元。客户可减少重复整理、查证准备和报告编排，将人员精力用于疑点复核与业务决策。</w:t>
      </w:r>
    </w:p>
    <w:sectPr w:rsidR="00503CF4" w:rsidRPr="00503CF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EF9A" w14:textId="77777777" w:rsidR="007A5D3A" w:rsidRDefault="007A5D3A">
      <w:r>
        <w:separator/>
      </w:r>
    </w:p>
  </w:endnote>
  <w:endnote w:type="continuationSeparator" w:id="0">
    <w:p w14:paraId="097AB2C4" w14:textId="77777777" w:rsidR="007A5D3A" w:rsidRDefault="007A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A9E3DA1F-8F0E-4724-A811-A249F1CEEE2C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9648CE34-DEA3-4E19-843C-0AD231BA89E7}"/>
    <w:embedBold r:id="rId3" w:subsetted="1" w:fontKey="{3F6F21AA-BE13-4516-A9B7-A5A4A5C77E6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黑体_GBK">
    <w:altName w:val="微软雅黑"/>
    <w:charset w:val="00"/>
    <w:family w:val="auto"/>
    <w:pitch w:val="default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D9B7" w14:textId="77777777" w:rsidR="00AA0B97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ED6C08" wp14:editId="05565AA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E09A26" w14:textId="77777777" w:rsidR="00AA0B97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D6C08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CE09A26" w14:textId="77777777" w:rsidR="00AA0B97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B816" w14:textId="77777777" w:rsidR="007A5D3A" w:rsidRDefault="007A5D3A">
      <w:r>
        <w:separator/>
      </w:r>
    </w:p>
  </w:footnote>
  <w:footnote w:type="continuationSeparator" w:id="0">
    <w:p w14:paraId="790C81C8" w14:textId="77777777" w:rsidR="007A5D3A" w:rsidRDefault="007A5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943FD"/>
    <w:multiLevelType w:val="hybridMultilevel"/>
    <w:tmpl w:val="937A3B8A"/>
    <w:lvl w:ilvl="0" w:tplc="46D26E80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771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65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  <w:rsid w:val="00031165"/>
    <w:rsid w:val="0007123C"/>
    <w:rsid w:val="00091FD2"/>
    <w:rsid w:val="001B5A98"/>
    <w:rsid w:val="001C796F"/>
    <w:rsid w:val="0037319A"/>
    <w:rsid w:val="00503CF4"/>
    <w:rsid w:val="005123E3"/>
    <w:rsid w:val="005C7483"/>
    <w:rsid w:val="005D78D3"/>
    <w:rsid w:val="005F7FC1"/>
    <w:rsid w:val="006022A5"/>
    <w:rsid w:val="00664DDF"/>
    <w:rsid w:val="006B55D6"/>
    <w:rsid w:val="00727B81"/>
    <w:rsid w:val="007A5D3A"/>
    <w:rsid w:val="007E416A"/>
    <w:rsid w:val="0094051F"/>
    <w:rsid w:val="00971413"/>
    <w:rsid w:val="00AA0B97"/>
    <w:rsid w:val="00B40E5B"/>
    <w:rsid w:val="00BA02C0"/>
    <w:rsid w:val="00C23A47"/>
    <w:rsid w:val="00E920CA"/>
    <w:rsid w:val="00EF0A52"/>
    <w:rsid w:val="00F72BCB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A1866DC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986B1"/>
  <w15:docId w15:val="{E4FBAB5F-4EA0-4399-A36E-714A511C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3CF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  <w:ind w:firstLineChars="200" w:firstLine="200"/>
    </w:pPr>
    <w:rPr>
      <w:rFonts w:ascii="仿宋" w:eastAsia="仿宋" w:hAnsi="Calibri" w:cs="Times New Roman"/>
      <w:sz w:val="30"/>
      <w:szCs w:val="3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10">
    <w:name w:val="10"/>
    <w:basedOn w:val="a0"/>
    <w:qFormat/>
    <w:rPr>
      <w:rFonts w:ascii="Times New Roman" w:hAnsi="Times New Roman" w:cs="Times New Roman" w:hint="default"/>
    </w:rPr>
  </w:style>
  <w:style w:type="character" w:customStyle="1" w:styleId="15">
    <w:name w:val="15"/>
    <w:basedOn w:val="a0"/>
    <w:qFormat/>
    <w:rPr>
      <w:rFonts w:ascii="Times New Roman" w:hAnsi="Times New Roman" w:cs="Times New Roman" w:hint="default"/>
      <w:b/>
    </w:rPr>
  </w:style>
  <w:style w:type="paragraph" w:customStyle="1" w:styleId="3">
    <w:name w:val="指南标题3"/>
    <w:qFormat/>
    <w:pPr>
      <w:keepNext/>
      <w:keepLines/>
      <w:widowControl w:val="0"/>
      <w:spacing w:line="360" w:lineRule="auto"/>
      <w:outlineLvl w:val="2"/>
    </w:pPr>
    <w:rPr>
      <w:rFonts w:ascii="仿宋" w:eastAsia="仿宋" w:hAnsi="宋体"/>
      <w:b/>
      <w:color w:val="000000"/>
      <w:kern w:val="2"/>
      <w:sz w:val="32"/>
      <w:szCs w:val="32"/>
    </w:rPr>
  </w:style>
  <w:style w:type="paragraph" w:customStyle="1" w:styleId="TableText">
    <w:name w:val="Table Text"/>
    <w:basedOn w:val="a"/>
    <w:hidden/>
    <w:qFormat/>
    <w:pPr>
      <w:spacing w:before="127" w:line="360" w:lineRule="auto"/>
      <w:jc w:val="center"/>
    </w:pPr>
    <w:rPr>
      <w:rFonts w:ascii="仿宋" w:eastAsia="仿宋" w:hAnsi="仿宋" w:cs="Times New Roman"/>
      <w:sz w:val="28"/>
      <w:szCs w:val="28"/>
    </w:rPr>
  </w:style>
  <w:style w:type="paragraph" w:customStyle="1" w:styleId="2">
    <w:name w:val="指南标题2"/>
    <w:qFormat/>
    <w:pPr>
      <w:keepNext/>
      <w:keepLines/>
      <w:widowControl w:val="0"/>
      <w:spacing w:line="360" w:lineRule="auto"/>
      <w:outlineLvl w:val="1"/>
    </w:pPr>
    <w:rPr>
      <w:rFonts w:ascii="黑体" w:eastAsia="黑体" w:hAnsi="Microsoft YaHei UI"/>
      <w:b/>
      <w:color w:val="000000"/>
      <w:kern w:val="2"/>
      <w:sz w:val="32"/>
      <w:szCs w:val="32"/>
    </w:rPr>
  </w:style>
  <w:style w:type="character" w:customStyle="1" w:styleId="17">
    <w:name w:val="17"/>
    <w:basedOn w:val="a0"/>
    <w:qFormat/>
    <w:rPr>
      <w:rFonts w:ascii="方正黑体_GBK" w:eastAsia="方正黑体_GBK" w:hAnsi="方正黑体_GBK" w:cs="方正黑体_GBK" w:hint="default"/>
      <w:color w:val="FF0000"/>
      <w:sz w:val="24"/>
      <w:szCs w:val="24"/>
    </w:rPr>
  </w:style>
  <w:style w:type="character" w:customStyle="1" w:styleId="18">
    <w:name w:val="18"/>
    <w:basedOn w:val="a0"/>
    <w:qFormat/>
    <w:rPr>
      <w:rFonts w:ascii="宋体" w:eastAsia="宋体" w:hAnsi="宋体" w:cs="宋体" w:hint="eastAsia"/>
      <w:color w:val="0070C0"/>
      <w:sz w:val="22"/>
      <w:szCs w:val="22"/>
    </w:rPr>
  </w:style>
  <w:style w:type="character" w:customStyle="1" w:styleId="16">
    <w:name w:val="16"/>
    <w:basedOn w:val="a0"/>
    <w:qFormat/>
    <w:rPr>
      <w:rFonts w:ascii="Times New Roman" w:hAnsi="Times New Roman" w:cs="Times New Roman" w:hint="default"/>
      <w:color w:val="800080"/>
      <w:u w:val="single"/>
    </w:rPr>
  </w:style>
  <w:style w:type="paragraph" w:customStyle="1" w:styleId="-1">
    <w:name w:val="正文-公1"/>
    <w:basedOn w:val="a"/>
    <w:qFormat/>
    <w:pPr>
      <w:spacing w:line="360" w:lineRule="auto"/>
      <w:ind w:firstLineChars="200" w:firstLine="200"/>
    </w:pPr>
    <w:rPr>
      <w:rFonts w:ascii="仿宋" w:eastAsia="仿宋" w:hAnsi="Calibri" w:cs="Times New Roman"/>
      <w:sz w:val="32"/>
      <w:szCs w:val="32"/>
    </w:rPr>
  </w:style>
  <w:style w:type="paragraph" w:customStyle="1" w:styleId="1">
    <w:name w:val="指南标题1"/>
    <w:qFormat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eastAsia="方正小标宋简体" w:hAnsi="Microsoft YaHei UI"/>
      <w:b/>
      <w:color w:val="000000"/>
      <w:kern w:val="44"/>
      <w:sz w:val="36"/>
      <w:szCs w:val="36"/>
    </w:rPr>
  </w:style>
  <w:style w:type="paragraph" w:customStyle="1" w:styleId="a9">
    <w:name w:val="指南标题"/>
    <w:basedOn w:val="a"/>
    <w:qFormat/>
    <w:pPr>
      <w:spacing w:line="360" w:lineRule="auto"/>
      <w:ind w:left="1433" w:hangingChars="398" w:hanging="1433"/>
      <w:jc w:val="center"/>
    </w:pPr>
    <w:rPr>
      <w:rFonts w:ascii="方正小标宋简体" w:eastAsia="方正小标宋简体" w:hAnsi="微软雅黑" w:cs="Times New Roman"/>
      <w:sz w:val="36"/>
      <w:szCs w:val="36"/>
    </w:rPr>
  </w:style>
  <w:style w:type="table" w:customStyle="1" w:styleId="TableNormal1">
    <w:name w:val="Table Normal1"/>
    <w:basedOn w:val="a1"/>
    <w:qFormat/>
    <w:tblPr>
      <w:tblCellMar>
        <w:left w:w="0" w:type="dxa"/>
        <w:right w:w="0" w:type="dxa"/>
      </w:tblCellMar>
    </w:tblPr>
  </w:style>
  <w:style w:type="character" w:customStyle="1" w:styleId="font61">
    <w:name w:val="font61"/>
    <w:basedOn w:val="a0"/>
    <w:autoRedefine/>
    <w:qFormat/>
    <w:rPr>
      <w:rFonts w:ascii="方正黑体_GBK" w:eastAsia="方正黑体_GBK" w:hAnsi="方正黑体_GBK" w:cs="方正黑体_GBK" w:hint="default"/>
      <w:color w:val="FF0000"/>
      <w:sz w:val="24"/>
      <w:szCs w:val="24"/>
      <w:u w:val="none"/>
    </w:rPr>
  </w:style>
  <w:style w:type="character" w:customStyle="1" w:styleId="font31">
    <w:name w:val="font31"/>
    <w:basedOn w:val="a0"/>
    <w:autoRedefine/>
    <w:qFormat/>
    <w:rPr>
      <w:rFonts w:ascii="宋体" w:eastAsia="宋体" w:hAnsi="宋体" w:cs="宋体" w:hint="eastAsia"/>
      <w:color w:val="0070C0"/>
      <w:sz w:val="22"/>
      <w:szCs w:val="22"/>
      <w:u w:val="none"/>
    </w:rPr>
  </w:style>
  <w:style w:type="paragraph" w:customStyle="1" w:styleId="1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a">
    <w:name w:val="List Paragraph"/>
    <w:basedOn w:val="a"/>
    <w:uiPriority w:val="99"/>
    <w:unhideWhenUsed/>
    <w:rsid w:val="001B5A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3099</Words>
  <Characters>3378</Characters>
  <Application>Microsoft Office Word</Application>
  <DocSecurity>0</DocSecurity>
  <Lines>259</Lines>
  <Paragraphs>431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</dc:creator>
  <cp:lastModifiedBy>na qu</cp:lastModifiedBy>
  <cp:revision>5</cp:revision>
  <dcterms:created xsi:type="dcterms:W3CDTF">2025-06-04T12:42:00Z</dcterms:created>
  <dcterms:modified xsi:type="dcterms:W3CDTF">2026-10-19T08:08:00Z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C02EA66F6F0A4479B5F2E58D00BF7643_13</vt:lpwstr>
  </property>
</Properties>
</file>