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September 22, 2026</w:t>
      </w:r>
    </w:p>
    <w:p>
      <w:r>
        <w:t>Dear Editors,</w:t>
      </w:r>
    </w:p>
    <w:p>
      <w:r>
        <w:t>Please consider our Research Article, “Construction and interpretation of an oxeiptosis-associated transcript score in colorectal cancer: a reproducible public-data analysis,” for publication in PLOS ONE.</w:t>
      </w:r>
    </w:p>
    <w:p>
      <w:r>
        <w:t>Pathway-associated gene lists are increasingly reused in cancer transcriptomics, often through different scoring procedures. We examine the clinical associations and transcriptional context of an investigator-defined four-gene oxeiptosis-associated score in three colorectal cancer cohorts comprising 1,160 patients.</w:t>
      </w:r>
    </w:p>
    <w:p>
      <w:r>
        <w:t>The study combines age-, sex- and stage-adjusted survival analyses with two matched random-set designs and transcript-reference comparisons. Adjusted hazard ratios were 0.939, 0.939 and 1.175, with all confidence intervals crossing one. Observed effect sizes were near the middle of the specified background distributions. The score also shared variation with mitochondrial, proliferation and NRF2-related transcript references, and some reference pairs remained strongly correlated despite sharing no genes.</w:t>
      </w:r>
    </w:p>
    <w:p>
      <w:r>
        <w:t>Building on the random-signature comparisons of Venet and colleagues, we apply explicit matching to a defined candidate score and examine its construction alongside its survival association. A targeted source audit distinguishes published seed lists from the downstream models and scores they support. This combination provides practical evidence for reporting member selection, standardisation and comparator structure in pathway-score studies.</w:t>
      </w:r>
    </w:p>
    <w:p>
      <w:r>
        <w:t>Computational reproducibility is supported by separate R refits of all 6,000 background models, with a maximum absolute log-hazard-ratio discrepancy of approximately 1.97 × 10⁻⁹. Derived inputs, results and code are publicly available at https://doi.org/10.5281/zenodo.22865462 and https://github.com/wangjinglin0905-gif/oxeiptosis-crc-reproducibility. The manuscript reports an observational assessment of score behaviour and offers a reusable model-reproduction resource for computational oncology.</w:t>
      </w:r>
    </w:p>
    <w:p>
      <w:r>
        <w:t>The study uses de-identified public data and involved no new participant recruitment or specimen collection. The authors received no specific funding and declare no competing interests. WorkBuddy and OpenAI Codex assisted with coding, source retrieval, computational checks and drafting and editing, as disclosed in the Methods. The authors take responsibility for the submitted work.</w:t>
      </w:r>
    </w:p>
    <w:p>
      <w:r>
        <w:t>We would welcome handling by an Academic Editor with expertise in cancer transcriptomics, gene-set methods or colorectal cancer genomics. Thank you for considering this submission.</w:t>
      </w:r>
    </w:p>
    <w:p>
      <w:r>
        <w:t>Sincerely,</w:t>
      </w:r>
    </w:p>
    <w:p>
      <w:r>
        <w:t>Jinglin Wang, on behalf of both authors</w:t>
        <w:br/>
        <w:t>Department of Digestive Disease, Guizhou Provincial People’s Hospital</w:t>
        <w:br/>
        <w:t>Guiyang, China</w:t>
        <w:br/>
        <w:t>wangjinglin@gz5055.com | ORCID 0000-0002-7389-1022</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PLOS ONE</dc:title>
  <dc:subject/>
  <dc:creator>Xia Zhang; Jinglin Wang</dc:creator>
  <cp:keywords/>
  <dc:description/>
  <cp:lastModifiedBy/>
  <cp:revision>1</cp:revision>
  <dcterms:created xsi:type="dcterms:W3CDTF">2013-12-23T23:15:00Z</dcterms:created>
  <dcterms:modified xsi:type="dcterms:W3CDTF">2013-12-23T23:15:00Z</dcterms:modified>
  <cp:category/>
</cp:coreProperties>
</file>