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esponse-to-reviewers-for-manuscript-xxx"/>
      <w:r>
        <w:t xml:space="preserve">Response to Reviewers for Manuscript #XXX</w:t>
      </w:r>
      <w:bookmarkEnd w:id="20"/>
    </w:p>
    <w:p>
      <w:pPr>
        <w:pStyle w:val="FirstParagraph"/>
      </w:pPr>
      <w:r>
        <w:rPr>
          <w:b/>
        </w:rPr>
        <w:t xml:space="preserve">Title:</w:t>
      </w:r>
      <w:r>
        <w:t xml:space="preserve"> </w:t>
      </w:r>
      <w:r>
        <w:t xml:space="preserve">HAD-MC 2.0: Hardware-Aware Deep Model Compression via Synergistic Reinforcement Learning Co-Design</w:t>
      </w:r>
    </w:p>
    <w:p>
      <w:pPr>
        <w:pStyle w:val="BodyText"/>
      </w:pPr>
      <w:r>
        <w:t xml:space="preserve">Dear Editor and Reviewers,</w:t>
      </w:r>
    </w:p>
    <w:p>
      <w:pPr>
        <w:pStyle w:val="BodyText"/>
      </w:pPr>
      <w:r>
        <w:t xml:space="preserve">Thank you for your insightful feedback and the opportunity to revise our manuscript. We have found the comments to be extremely valuable and have undertaken a major revision of our paper to address them comprehensively. We believe the manuscript has been substantially improved in terms of methodological novelty, experimental rigor, and overall clarity.</w:t>
      </w:r>
    </w:p>
    <w:p>
      <w:pPr>
        <w:pStyle w:val="BodyText"/>
      </w:pPr>
      <w:r>
        <w:t xml:space="preserve">In response to the critical feedback, we have fundamentally reframed our approach, evolving</w:t>
      </w:r>
      <w:r>
        <w:t xml:space="preserve"> </w:t>
      </w:r>
      <w:r>
        <w:rPr>
          <w:b/>
        </w:rPr>
        <w:t xml:space="preserve">HAD-MC</w:t>
      </w:r>
      <w:r>
        <w:t xml:space="preserve"> </w:t>
      </w:r>
      <w:r>
        <w:t xml:space="preserve">from a heuristic pipeline into</w:t>
      </w:r>
      <w:r>
        <w:t xml:space="preserve"> </w:t>
      </w:r>
      <w:r>
        <w:rPr>
          <w:b/>
        </w:rPr>
        <w:t xml:space="preserve">HAD-MC 2.0</w:t>
      </w:r>
      <w:r>
        <w:t xml:space="preserve">, a principled framework based on</w:t>
      </w:r>
      <w:r>
        <w:t xml:space="preserve"> </w:t>
      </w:r>
      <w:r>
        <w:rPr>
          <w:b/>
        </w:rPr>
        <w:t xml:space="preserve">Reinforcement Learning with a Joint Action Space</w:t>
      </w:r>
      <w:r>
        <w:t xml:space="preserve">, driven by</w:t>
      </w:r>
      <w:r>
        <w:t xml:space="preserve"> </w:t>
      </w:r>
      <w:r>
        <w:rPr>
          <w:b/>
        </w:rPr>
        <w:t xml:space="preserve">Proximal Policy Optimization (PPO)</w:t>
      </w:r>
      <w:r>
        <w:t xml:space="preserve">. This new framework automates the synergistic co-design of the entire compression pipeline (pruning, quantization, and distillation), directly addressing the core concerns about technical novelty and theoretical foundation.</w:t>
      </w:r>
    </w:p>
    <w:p>
      <w:pPr>
        <w:pStyle w:val="BodyText"/>
      </w:pPr>
      <w:r>
        <w:t xml:space="preserve">Furthermore, we have conducted a completely new set of extensive experiments on a high-performance</w:t>
      </w:r>
      <w:r>
        <w:t xml:space="preserve"> </w:t>
      </w:r>
      <w:r>
        <w:rPr>
          <w:b/>
        </w:rPr>
        <w:t xml:space="preserve">NVIDIA A100 GPU</w:t>
      </w:r>
      <w:r>
        <w:t xml:space="preserve">. This includes a thorough comparison with state-of-the-art automated compression methods (including AMC, HAQ, and DECORE), comprehensive ablation studies, and cross-dataset validation, all based on real-world hardware performance.</w:t>
      </w:r>
    </w:p>
    <w:p>
      <w:pPr>
        <w:pStyle w:val="BodyText"/>
      </w:pPr>
      <w:r>
        <w:t xml:space="preserve">Below, we provide a point-by-point response to each of the reviewers’ comments, detailing the changes we have made. We have highlighted the corresponding changes in the revised manuscript.</w:t>
      </w:r>
    </w:p>
    <w:p>
      <w:pPr>
        <w:pStyle w:val="BodyText"/>
      </w:pPr>
      <w:r>
        <w:t xml:space="preserve">We are confident that these revisions fully address the concerns raised and significantly strengthen the contributions of our paper. We look forward to your positive evaluation.</w:t>
      </w:r>
    </w:p>
    <w:p>
      <w:pPr>
        <w:pStyle w:val="BodyText"/>
      </w:pPr>
      <w:r>
        <w:t xml:space="preserve">Sincerely,</w:t>
      </w:r>
    </w:p>
    <w:p>
      <w:pPr>
        <w:pStyle w:val="BodyText"/>
      </w:pPr>
      <w:r>
        <w:t xml:space="preserve">The Authors</w:t>
      </w:r>
    </w:p>
    <w:p>
      <w:r>
        <w:pict>
          <v:rect style="width:0;height:1.5pt" o:hralign="center" o:hrstd="t" o:hr="t"/>
        </w:pict>
      </w:r>
    </w:p>
    <w:p>
      <w:pPr>
        <w:pStyle w:val="Heading2"/>
      </w:pPr>
      <w:bookmarkStart w:id="21" w:name="responses-to-reviewer-1"/>
      <w:r>
        <w:t xml:space="preserve">Responses to Reviewer #1</w:t>
      </w:r>
      <w:bookmarkEnd w:id="21"/>
    </w:p>
    <w:p>
      <w:pPr>
        <w:pStyle w:val="FirstParagraph"/>
      </w:pPr>
      <w:r>
        <w:t xml:space="preserve">We thank Reviewer #1 for the constructive feedback on the presentation of our manuscript.</w:t>
      </w:r>
    </w:p>
    <w:p>
      <w:pPr>
        <w:pStyle w:val="BodyText"/>
      </w:pPr>
      <w:r>
        <w:rPr>
          <w:b/>
        </w:rPr>
        <w:t xml:space="preserve">Comment 1: The abstract is too long. Please shorten it.</w:t>
      </w:r>
    </w:p>
    <w:p>
      <w:pPr>
        <w:numPr>
          <w:ilvl w:val="0"/>
          <w:numId w:val="1001"/>
        </w:numPr>
        <w:pStyle w:val="Compact"/>
      </w:pPr>
      <w:r>
        <w:rPr>
          <w:b/>
        </w:rPr>
        <w:t xml:space="preserve">Response:</w:t>
      </w:r>
      <w:r>
        <w:t xml:space="preserve"> </w:t>
      </w:r>
      <w:r>
        <w:t xml:space="preserve">Thank you for this suggestion. We agree that the previous abstract was too lengthy. We have completely rewritten and condensed the abstract to be more concise and focused on the core contributions of our new HAD-MC 2.0 framework. The revised abstract is now approximately 200 words and clearly outlines the problem, our RL-based synergistic compression method, and the key results, including the 1.37x speedup on the A100 GPU with no accuracy loss. This change can be seen in the</w:t>
      </w:r>
      <w:r>
        <w:t xml:space="preserve"> </w:t>
      </w:r>
      <w:r>
        <w:rPr>
          <w:b/>
        </w:rPr>
        <w:t xml:space="preserve">Abstract</w:t>
      </w:r>
      <w:r>
        <w:t xml:space="preserve"> </w:t>
      </w:r>
      <w:r>
        <w:t xml:space="preserve">section of the revised manuscript.</w:t>
      </w:r>
    </w:p>
    <w:p>
      <w:pPr>
        <w:pStyle w:val="FirstParagraph"/>
      </w:pPr>
      <w:r>
        <w:rPr>
          <w:b/>
        </w:rPr>
        <w:t xml:space="preserve">Comment 2: Please check the order of references.</w:t>
      </w:r>
    </w:p>
    <w:p>
      <w:pPr>
        <w:numPr>
          <w:ilvl w:val="0"/>
          <w:numId w:val="1002"/>
        </w:numPr>
        <w:pStyle w:val="Compact"/>
      </w:pPr>
      <w:r>
        <w:rPr>
          <w:b/>
        </w:rPr>
        <w:t xml:space="preserve">Response:</w:t>
      </w:r>
      <w:r>
        <w:t xml:space="preserve"> </w:t>
      </w:r>
      <w:r>
        <w:t xml:space="preserve">We appreciate the reviewer pointing out this issue. We have carefully re-checked and corrected the order of all citations throughout the manuscript to ensure they appear in sequential order. We have also used a reference management tool to prevent such errors. This has been corrected in the entire manuscript.</w:t>
      </w:r>
    </w:p>
    <w:p>
      <w:pPr>
        <w:pStyle w:val="FirstParagraph"/>
      </w:pPr>
      <w:r>
        <w:rPr>
          <w:b/>
        </w:rPr>
        <w:t xml:space="preserve">Comment 3: The paper needs language polishing.</w:t>
      </w:r>
    </w:p>
    <w:p>
      <w:pPr>
        <w:numPr>
          <w:ilvl w:val="0"/>
          <w:numId w:val="1003"/>
        </w:numPr>
        <w:pStyle w:val="Compact"/>
      </w:pPr>
      <w:r>
        <w:rPr>
          <w:b/>
        </w:rPr>
        <w:t xml:space="preserve">Response:</w:t>
      </w:r>
      <w:r>
        <w:t xml:space="preserve"> </w:t>
      </w:r>
      <w:r>
        <w:t xml:space="preserve">Thank you for this important feedback. The entire manuscript has undergone a thorough language polishing process to improve clarity, readability, and grammatical correctness. We have strived to ensure the language is precise and professional, befitting a top-tier publication.</w:t>
      </w:r>
    </w:p>
    <w:p>
      <w:r>
        <w:pict>
          <v:rect style="width:0;height:1.5pt" o:hralign="center" o:hrstd="t" o:hr="t"/>
        </w:pict>
      </w:r>
    </w:p>
    <w:p>
      <w:pPr>
        <w:pStyle w:val="Heading2"/>
      </w:pPr>
      <w:bookmarkStart w:id="22" w:name="responses-to-reviewer-2"/>
      <w:r>
        <w:t xml:space="preserve">Responses to Reviewer #2</w:t>
      </w:r>
      <w:bookmarkEnd w:id="22"/>
    </w:p>
    <w:p>
      <w:pPr>
        <w:pStyle w:val="FirstParagraph"/>
      </w:pPr>
      <w:r>
        <w:t xml:space="preserve">We sincerely thank Reviewer #2 for the critical and highly insightful comments. The feedback has prompted us to fundamentally rethink and significantly strengthen our work. We have undertaken a major revision to address every point raised.</w:t>
      </w:r>
    </w:p>
    <w:p>
      <w:pPr>
        <w:pStyle w:val="Heading3"/>
      </w:pPr>
      <w:bookmarkStart w:id="23" w:name="Xaf262b84c3fd9c16d425f933d2bda48f1659dd0"/>
      <w:r>
        <w:t xml:space="preserve">Regarding Comment Q1: Methodological Depth and Novelty</w:t>
      </w:r>
      <w:bookmarkEnd w:id="23"/>
    </w:p>
    <w:p>
      <w:pPr>
        <w:pStyle w:val="FirstParagraph"/>
      </w:pPr>
      <w:r>
        <w:rPr>
          <w:b/>
        </w:rPr>
        <w:t xml:space="preserve">Comment:</w:t>
      </w:r>
      <w:r>
        <w:t xml:space="preserve"> </w:t>
      </w:r>
      <w:r>
        <w:t xml:space="preserve">“</w:t>
      </w:r>
      <w:r>
        <w:t xml:space="preserve">The technical novelty remains limited. The proposed framework appears to be an engineering integration of existing techniques rather than a principled approach with theoretical foundations.</w:t>
      </w:r>
      <w:r>
        <w:t xml:space="preserve">”</w:t>
      </w:r>
    </w:p>
    <w:p>
      <w:pPr>
        <w:numPr>
          <w:ilvl w:val="0"/>
          <w:numId w:val="1004"/>
        </w:numPr>
      </w:pPr>
      <w:r>
        <w:rPr>
          <w:b/>
        </w:rPr>
        <w:t xml:space="preserve">Response:</w:t>
      </w:r>
      <w:r>
        <w:t xml:space="preserve"> </w:t>
      </w:r>
      <w:r>
        <w:t xml:space="preserve">This is an excellent and critical point. We acknowledge that the previous version of our work could be perceived as a heuristic pipeline. To address this fundamental concern, we have</w:t>
      </w:r>
      <w:r>
        <w:t xml:space="preserve"> </w:t>
      </w:r>
      <w:r>
        <w:rPr>
          <w:b/>
        </w:rPr>
        <w:t xml:space="preserve">completely redesigned our methodology</w:t>
      </w:r>
      <w:r>
        <w:t xml:space="preserve">, elevating it from a simple engineering integration to a principled, automated framework based on</w:t>
      </w:r>
      <w:r>
        <w:t xml:space="preserve"> </w:t>
      </w:r>
      <w:r>
        <w:rPr>
          <w:b/>
        </w:rPr>
        <w:t xml:space="preserve">Reinforcement Learning (RL) with a Joint Action Space</w:t>
      </w:r>
      <w:r>
        <w:t xml:space="preserve">. We have renamed the framework</w:t>
      </w:r>
      <w:r>
        <w:t xml:space="preserve"> </w:t>
      </w:r>
      <w:r>
        <w:rPr>
          <w:b/>
        </w:rPr>
        <w:t xml:space="preserve">HAD-MC 2.0</w:t>
      </w:r>
      <w:r>
        <w:t xml:space="preserve"> </w:t>
      </w:r>
      <w:r>
        <w:t xml:space="preserve">to reflect this substantial change.</w:t>
      </w:r>
    </w:p>
    <w:p>
      <w:pPr>
        <w:numPr>
          <w:ilvl w:val="0"/>
          <w:numId w:val="1000"/>
        </w:numPr>
      </w:pPr>
      <w:r>
        <w:rPr>
          <w:b/>
        </w:rPr>
        <w:t xml:space="preserve">Summary of Major Revisions in Response to Q1:</w:t>
      </w:r>
    </w:p>
    <w:p>
      <w:pPr>
        <w:numPr>
          <w:ilvl w:val="1"/>
          <w:numId w:val="1005"/>
        </w:numPr>
      </w:pPr>
      <w:r>
        <w:rPr>
          <w:b/>
        </w:rPr>
        <w:t xml:space="preserve">Principled RL-Based Synergistic Framework:</w:t>
      </w:r>
      <w:r>
        <w:t xml:space="preserve"> </w:t>
      </w:r>
      <w:r>
        <w:t xml:space="preserve">We have abandoned the sequential, heuristic pipeline. The new HAD-MC 2.0 formulates the hardware-aware compression problem as a joint optimization task solved by a single RL controller with a multi-dimensional action space. The controller learns to make</w:t>
      </w:r>
      <w:r>
        <w:t xml:space="preserve"> </w:t>
      </w:r>
      <w:r>
        <w:rPr>
          <w:b/>
        </w:rPr>
        <w:t xml:space="preserve">synergistic</w:t>
      </w:r>
      <w:r>
        <w:t xml:space="preserve"> </w:t>
      </w:r>
      <w:r>
        <w:t xml:space="preserve">decisions for channel pruning and mixed-precision quantization simultaneously. This is a principled approach that directly addresses the challenge of finding a globally optimal policy in a complex, multi-objective design space. The entire methodology is now detailed in the revised</w:t>
      </w:r>
      <w:r>
        <w:t xml:space="preserve"> </w:t>
      </w:r>
      <w:r>
        <w:rPr>
          <w:b/>
        </w:rPr>
        <w:t xml:space="preserve">Section 3</w:t>
      </w:r>
      <w:r>
        <w:t xml:space="preserve">, particularly</w:t>
      </w:r>
      <w:r>
        <w:t xml:space="preserve"> </w:t>
      </w:r>
      <w:r>
        <w:rPr>
          <w:b/>
        </w:rPr>
        <w:t xml:space="preserve">Section 3.2</w:t>
      </w:r>
      <w:r>
        <w:t xml:space="preserve">.</w:t>
      </w:r>
    </w:p>
    <w:p>
      <w:pPr>
        <w:numPr>
          <w:ilvl w:val="1"/>
          <w:numId w:val="1005"/>
        </w:numPr>
      </w:pPr>
      <w:r>
        <w:rPr>
          <w:b/>
        </w:rPr>
        <w:t xml:space="preserve">Theoretical Foundation (PPO Controller):</w:t>
      </w:r>
      <w:r>
        <w:t xml:space="preserve"> </w:t>
      </w:r>
      <w:r>
        <w:t xml:space="preserve">We have introduced a</w:t>
      </w:r>
      <w:r>
        <w:t xml:space="preserve"> </w:t>
      </w:r>
      <w:r>
        <w:rPr>
          <w:b/>
        </w:rPr>
        <w:t xml:space="preserve">Proximal Policy Optimization (PPO)</w:t>
      </w:r>
      <w:r>
        <w:t xml:space="preserve"> </w:t>
      </w:r>
      <w:r>
        <w:t xml:space="preserve">based controller to drive the optimization process. PPO is a state-of-the-art reinforcement learning algorithm known for its stability and sample efficiency. This provides a strong theoretical foundation for the learning process, ensuring that the controller can effectively and reliably converge to a high-quality policy. The rationale and implementation of the PPO controller are described in</w:t>
      </w:r>
      <w:r>
        <w:t xml:space="preserve"> </w:t>
      </w:r>
      <w:r>
        <w:rPr>
          <w:b/>
        </w:rPr>
        <w:t xml:space="preserve">Section 3.2</w:t>
      </w:r>
      <w:r>
        <w:t xml:space="preserve">.</w:t>
      </w:r>
    </w:p>
    <w:p>
      <w:pPr>
        <w:numPr>
          <w:ilvl w:val="1"/>
          <w:numId w:val="1005"/>
        </w:numPr>
      </w:pPr>
      <w:r>
        <w:rPr>
          <w:b/>
        </w:rPr>
        <w:t xml:space="preserve">Synergistic Co-Design:</w:t>
      </w:r>
      <w:r>
        <w:t xml:space="preserve"> </w:t>
      </w:r>
      <w:r>
        <w:t xml:space="preserve">The core novelty of HAD-MC 2.0 is the</w:t>
      </w:r>
      <w:r>
        <w:t xml:space="preserve"> </w:t>
      </w:r>
      <w:r>
        <w:rPr>
          <w:b/>
        </w:rPr>
        <w:t xml:space="preserve">synergistic co-design</w:t>
      </w:r>
      <w:r>
        <w:t xml:space="preserve"> </w:t>
      </w:r>
      <w:r>
        <w:t xml:space="preserve">of the entire compression pipeline. Unlike previous works that optimize pruning and quantization in isolation, our RL controller learns to make these decisions jointly through a unified action space. The reward function (detailed in</w:t>
      </w:r>
      <w:r>
        <w:t xml:space="preserve"> </w:t>
      </w:r>
      <w:r>
        <w:rPr>
          <w:b/>
        </w:rPr>
        <w:t xml:space="preserve">Section 3.2</w:t>
      </w:r>
      <w:r>
        <w:t xml:space="preserve">) explicitly guides the agents to find the optimal combination of pruning ratios and bit-widths that maximizes accuracy and minimizes latency on the target hardware. Our new ablation studies (</w:t>
      </w:r>
      <w:r>
        <w:rPr>
          <w:b/>
        </w:rPr>
        <w:t xml:space="preserve">Section 5.3, Table 3, Figure 4</w:t>
      </w:r>
      <w:r>
        <w:t xml:space="preserve">) empirically prove that this synergistic approach is critical for achieving significant speedups, a result unattainable by sequential optimization.</w:t>
      </w:r>
    </w:p>
    <w:p>
      <w:pPr>
        <w:numPr>
          <w:ilvl w:val="0"/>
          <w:numId w:val="1000"/>
        </w:numPr>
      </w:pPr>
      <w:r>
        <w:t xml:space="preserve">We are confident that these fundamental changes have transformed our work from an</w:t>
      </w:r>
      <w:r>
        <w:t xml:space="preserve"> </w:t>
      </w:r>
      <w:r>
        <w:t xml:space="preserve">“</w:t>
      </w:r>
      <w:r>
        <w:t xml:space="preserve">engineering integration</w:t>
      </w:r>
      <w:r>
        <w:t xml:space="preserve">”</w:t>
      </w:r>
      <w:r>
        <w:t xml:space="preserve"> </w:t>
      </w:r>
      <w:r>
        <w:t xml:space="preserve">into a novel and principled framework with a solid theoretical underpinning. We believe this synergistic RL co-design formulation represents a significant contribution to the field of automated model compression.</w:t>
      </w:r>
    </w:p>
    <w:p>
      <w:r>
        <w:pict>
          <v:rect style="width:0;height:1.5pt" o:hralign="center" o:hrstd="t" o:hr="t"/>
        </w:pict>
      </w:r>
    </w:p>
    <w:p>
      <w:pPr>
        <w:pStyle w:val="Heading3"/>
      </w:pPr>
      <w:bookmarkStart w:id="24" w:name="X82a056e11e24c565e9650dee91fa34a3335bd24"/>
      <w:r>
        <w:t xml:space="preserve">Regarding Comment Q2: Experimental Evaluation</w:t>
      </w:r>
      <w:bookmarkEnd w:id="24"/>
    </w:p>
    <w:p>
      <w:pPr>
        <w:pStyle w:val="FirstParagraph"/>
      </w:pPr>
      <w:r>
        <w:rPr>
          <w:b/>
        </w:rPr>
        <w:t xml:space="preserve">Comment:</w:t>
      </w:r>
      <w:r>
        <w:t xml:space="preserve"> </w:t>
      </w:r>
      <w:r>
        <w:t xml:space="preserve">“</w:t>
      </w:r>
      <w:r>
        <w:t xml:space="preserve">The experimental evaluation needs strengthening. The comparison with state-of-the-art automated compression methods (e.g., AMC, HAQ) is missing. The ablation study should be more comprehensive.</w:t>
      </w:r>
      <w:r>
        <w:t xml:space="preserve">”</w:t>
      </w:r>
    </w:p>
    <w:p>
      <w:pPr>
        <w:numPr>
          <w:ilvl w:val="0"/>
          <w:numId w:val="1006"/>
        </w:numPr>
      </w:pPr>
      <w:r>
        <w:rPr>
          <w:b/>
        </w:rPr>
        <w:t xml:space="preserve">Response:</w:t>
      </w:r>
      <w:r>
        <w:t xml:space="preserve"> </w:t>
      </w:r>
      <w:r>
        <w:t xml:space="preserve">We wholeheartedly agree with the reviewer that our previous experimental evaluation was insufficient. To address this, we have conducted a</w:t>
      </w:r>
      <w:r>
        <w:t xml:space="preserve"> </w:t>
      </w:r>
      <w:r>
        <w:rPr>
          <w:b/>
        </w:rPr>
        <w:t xml:space="preserve">completely new set of experiments from scratch on a powerful NVIDIA A100 GPU</w:t>
      </w:r>
      <w:r>
        <w:t xml:space="preserve">. The new experimental section is far more rigorous and comprehensive.</w:t>
      </w:r>
    </w:p>
    <w:p>
      <w:pPr>
        <w:numPr>
          <w:ilvl w:val="0"/>
          <w:numId w:val="1000"/>
        </w:numPr>
      </w:pPr>
      <w:r>
        <w:rPr>
          <w:b/>
        </w:rPr>
        <w:t xml:space="preserve">Summary of Major Revisions in Response to Q2:</w:t>
      </w:r>
    </w:p>
    <w:p>
      <w:pPr>
        <w:numPr>
          <w:ilvl w:val="1"/>
          <w:numId w:val="1007"/>
        </w:numPr>
      </w:pPr>
      <w:r>
        <w:rPr>
          <w:b/>
        </w:rPr>
        <w:t xml:space="preserve">New SOTA Comparison:</w:t>
      </w:r>
      <w:r>
        <w:t xml:space="preserve"> </w:t>
      </w:r>
      <w:r>
        <w:t xml:space="preserve">We have added a direct and fair comparison with three leading automated compression methods as requested:</w:t>
      </w:r>
      <w:r>
        <w:t xml:space="preserve"> </w:t>
      </w:r>
      <w:r>
        <w:rPr>
          <w:b/>
        </w:rPr>
        <w:t xml:space="preserve">AMC</w:t>
      </w:r>
      <w:r>
        <w:t xml:space="preserve">,</w:t>
      </w:r>
      <w:r>
        <w:t xml:space="preserve"> </w:t>
      </w:r>
      <w:r>
        <w:rPr>
          <w:b/>
        </w:rPr>
        <w:t xml:space="preserve">HAQ</w:t>
      </w:r>
      <w:r>
        <w:t xml:space="preserve">, and</w:t>
      </w:r>
      <w:r>
        <w:t xml:space="preserve"> </w:t>
      </w:r>
      <w:r>
        <w:rPr>
          <w:b/>
        </w:rPr>
        <w:t xml:space="preserve">DECORE</w:t>
      </w:r>
      <w:r>
        <w:t xml:space="preserve">. We re-implemented their core algorithms and applied them to the same ResNet18 baseline with the same 75% compression target. The results, presented in the new</w:t>
      </w:r>
      <w:r>
        <w:t xml:space="preserve"> </w:t>
      </w:r>
      <w:r>
        <w:rPr>
          <w:b/>
        </w:rPr>
        <w:t xml:space="preserve">Table 2</w:t>
      </w:r>
      <w:r>
        <w:t xml:space="preserve"> </w:t>
      </w:r>
      <w:r>
        <w:t xml:space="preserve">and</w:t>
      </w:r>
      <w:r>
        <w:t xml:space="preserve"> </w:t>
      </w:r>
      <w:r>
        <w:rPr>
          <w:b/>
        </w:rPr>
        <w:t xml:space="preserve">Figure 2</w:t>
      </w:r>
      <w:r>
        <w:t xml:space="preserve"> </w:t>
      </w:r>
      <w:r>
        <w:t xml:space="preserve">(</w:t>
      </w:r>
      <w:r>
        <w:rPr>
          <w:b/>
        </w:rPr>
        <w:t xml:space="preserve">Section 5.1 &amp; 5.2</w:t>
      </w:r>
      <w:r>
        <w:t xml:space="preserve">), clearly show that HAD-MC 2.0 significantly outperforms these methods, particularly in achieving a real-world inference speedup (1.37x vs. ~1.0x for others) without any accuracy loss.</w:t>
      </w:r>
    </w:p>
    <w:p>
      <w:pPr>
        <w:numPr>
          <w:ilvl w:val="1"/>
          <w:numId w:val="1007"/>
        </w:numPr>
      </w:pPr>
      <w:r>
        <w:rPr>
          <w:b/>
        </w:rPr>
        <w:t xml:space="preserve">Comprehensive Ablation Study:</w:t>
      </w:r>
      <w:r>
        <w:t xml:space="preserve"> </w:t>
      </w:r>
      <w:r>
        <w:t xml:space="preserve">We have designed a much more thorough ablation study to dissect the contribution of each component of our new synergistic pipeline. The new study, detailed in</w:t>
      </w:r>
      <w:r>
        <w:t xml:space="preserve"> </w:t>
      </w:r>
      <w:r>
        <w:rPr>
          <w:b/>
        </w:rPr>
        <w:t xml:space="preserve">Section 5.3 (Table 3, Figure 4)</w:t>
      </w:r>
      <w:r>
        <w:t xml:space="preserve">, now includes seven different configurations (e.g.,</w:t>
      </w:r>
      <w:r>
        <w:t xml:space="preserve"> </w:t>
      </w:r>
      <w:r>
        <w:t xml:space="preserve">“</w:t>
      </w:r>
      <w:r>
        <w:t xml:space="preserve">Pruning Only,</w:t>
      </w:r>
      <w:r>
        <w:t xml:space="preserve">”</w:t>
      </w:r>
      <w:r>
        <w:t xml:space="preserve"> </w:t>
      </w:r>
      <w:r>
        <w:t xml:space="preserve">“</w:t>
      </w:r>
      <w:r>
        <w:t xml:space="preserve">Pruning + Quantization,</w:t>
      </w:r>
      <w:r>
        <w:t xml:space="preserve">”</w:t>
      </w:r>
      <w:r>
        <w:t xml:space="preserve"> </w:t>
      </w:r>
      <w:r>
        <w:t xml:space="preserve">“</w:t>
      </w:r>
      <w:r>
        <w:t xml:space="preserve">Full HAD-MC 2.0</w:t>
      </w:r>
      <w:r>
        <w:t xml:space="preserve">”</w:t>
      </w:r>
      <w:r>
        <w:t xml:space="preserve">). The results powerfully demonstrate that the full, synergistically optimized pipeline is essential for unlocking the significant latency reduction, a key finding of our work.</w:t>
      </w:r>
    </w:p>
    <w:p>
      <w:pPr>
        <w:numPr>
          <w:ilvl w:val="1"/>
          <w:numId w:val="1007"/>
        </w:numPr>
      </w:pPr>
      <w:r>
        <w:rPr>
          <w:b/>
        </w:rPr>
        <w:t xml:space="preserve">Controller and Generalization Analysis:</w:t>
      </w:r>
      <w:r>
        <w:t xml:space="preserve"> </w:t>
      </w:r>
      <w:r>
        <w:t xml:space="preserve">We have added new sections to further strengthen the evaluation. In</w:t>
      </w:r>
      <w:r>
        <w:t xml:space="preserve"> </w:t>
      </w:r>
      <w:r>
        <w:rPr>
          <w:b/>
        </w:rPr>
        <w:t xml:space="preserve">Section 5.4</w:t>
      </w:r>
      <w:r>
        <w:t xml:space="preserve">, we provide a comparison between our PPO controller and a DQN-based controller, justifying our choice. In</w:t>
      </w:r>
      <w:r>
        <w:t xml:space="preserve"> </w:t>
      </w:r>
      <w:r>
        <w:rPr>
          <w:b/>
        </w:rPr>
        <w:t xml:space="preserve">Section 5.5</w:t>
      </w:r>
      <w:r>
        <w:t xml:space="preserve">, we present cross-dataset validation results on two additional, diverse datasets (Fire/Smoke Detection and Financial Fraud) to demonstrate the generalizability of our framework.</w:t>
      </w:r>
    </w:p>
    <w:p>
      <w:pPr>
        <w:numPr>
          <w:ilvl w:val="1"/>
          <w:numId w:val="1007"/>
        </w:numPr>
      </w:pPr>
      <w:r>
        <w:rPr>
          <w:b/>
        </w:rPr>
        <w:t xml:space="preserve">Real Hardware Measurements:</w:t>
      </w:r>
      <w:r>
        <w:t xml:space="preserve"> </w:t>
      </w:r>
      <w:r>
        <w:t xml:space="preserve">All latency and throughput results are now based on direct, empirical measurements on a real</w:t>
      </w:r>
      <w:r>
        <w:t xml:space="preserve"> </w:t>
      </w:r>
      <w:r>
        <w:rPr>
          <w:b/>
        </w:rPr>
        <w:t xml:space="preserve">NVIDIA A100 GPU</w:t>
      </w:r>
      <w:r>
        <w:t xml:space="preserve">, which is a standard platform for high-performance deep learning research. This ensures our results are credible and reflect real-world performance. The details of our hardware setup and measurement methodology are provided in</w:t>
      </w:r>
      <w:r>
        <w:t xml:space="preserve"> </w:t>
      </w:r>
      <w:r>
        <w:rPr>
          <w:b/>
        </w:rPr>
        <w:t xml:space="preserve">Section 4</w:t>
      </w:r>
      <w:r>
        <w:t xml:space="preserve">.</w:t>
      </w:r>
    </w:p>
    <w:p>
      <w:pPr>
        <w:numPr>
          <w:ilvl w:val="0"/>
          <w:numId w:val="1000"/>
        </w:numPr>
      </w:pPr>
      <w:r>
        <w:t xml:space="preserve">We believe these new, rigorous experiments provide strong and convincing evidence for the superiority of the HAD-MC 2.0 framework.</w:t>
      </w:r>
    </w:p>
    <w:p>
      <w:r>
        <w:pict>
          <v:rect style="width:0;height:1.5pt" o:hralign="center" o:hrstd="t" o:hr="t"/>
        </w:pict>
      </w:r>
    </w:p>
    <w:p>
      <w:pPr>
        <w:pStyle w:val="Heading3"/>
      </w:pPr>
      <w:bookmarkStart w:id="25" w:name="regarding-comment-q3-fpr-definition"/>
      <w:r>
        <w:t xml:space="preserve">Regarding Comment Q3: FPR Definition</w:t>
      </w:r>
      <w:bookmarkEnd w:id="25"/>
    </w:p>
    <w:p>
      <w:pPr>
        <w:pStyle w:val="FirstParagraph"/>
      </w:pPr>
      <w:r>
        <w:rPr>
          <w:b/>
        </w:rPr>
        <w:t xml:space="preserve">Comment:</w:t>
      </w:r>
      <w:r>
        <w:t xml:space="preserve"> </w:t>
      </w:r>
      <w:r>
        <w:t xml:space="preserve">“</w:t>
      </w:r>
      <w:r>
        <w:t xml:space="preserve">The definition of FPR (False Positive Rate) needs clarification. The current definition appears to be frame-level, but the practical relevance of event-level metrics should be discussed.</w:t>
      </w:r>
      <w:r>
        <w:t xml:space="preserve">”</w:t>
      </w:r>
    </w:p>
    <w:p>
      <w:pPr>
        <w:numPr>
          <w:ilvl w:val="0"/>
          <w:numId w:val="1008"/>
        </w:numPr>
      </w:pPr>
      <w:r>
        <w:rPr>
          <w:b/>
        </w:rPr>
        <w:t xml:space="preserve">Response:</w:t>
      </w:r>
      <w:r>
        <w:t xml:space="preserve"> </w:t>
      </w:r>
      <w:r>
        <w:t xml:space="preserve">Thank you for pointing out this ambiguity. While the core of our revised paper now focuses on classification and compression on standard benchmarks like NEU-DET to directly compare with SOTA methods, we acknowledge the importance of clear metric definitions. In our original context of financial security, this was indeed a relevant point.</w:t>
      </w:r>
    </w:p>
    <w:p>
      <w:pPr>
        <w:numPr>
          <w:ilvl w:val="0"/>
          <w:numId w:val="1000"/>
        </w:numPr>
      </w:pPr>
      <w:r>
        <w:rPr>
          <w:b/>
        </w:rPr>
        <w:t xml:space="preserve">Clarification Provided in the Original Context (and applicable to future work):</w:t>
      </w:r>
    </w:p>
    <w:p>
      <w:pPr>
        <w:numPr>
          <w:ilvl w:val="0"/>
          <w:numId w:val="1000"/>
        </w:numPr>
      </w:pPr>
      <w:r>
        <w:t xml:space="preserve">We agree that the distinction between frame-level and event-level metrics is crucial. A frame-level FPR would be defined as:</w:t>
      </w:r>
    </w:p>
    <w:p>
      <w:pPr>
        <w:numPr>
          <w:ilvl w:val="0"/>
          <w:numId w:val="1000"/>
        </w:numPr>
      </w:pPr>
      <w:r>
        <w:rPr>
          <w:rStyle w:val="VerbatimChar"/>
        </w:rPr>
        <w:t xml:space="preserve">FPR_frame = (Number of non-event frames incorrectly classified as event) / (Total number of non-event frames)</w:t>
      </w:r>
    </w:p>
    <w:p>
      <w:pPr>
        <w:numPr>
          <w:ilvl w:val="0"/>
          <w:numId w:val="1000"/>
        </w:numPr>
      </w:pPr>
      <w:r>
        <w:t xml:space="preserve">An event-level metric would be more complex, requiring the temporal grouping of detections into distinct events. While event-level metrics are arguably more relevant for evaluating the end-user experience (e.g., reducing false alarms), a frame-level metric provides a more direct and standardized measure of the model’s raw classification performance, which is standard for the compression-focused benchmarks we now use.</w:t>
      </w:r>
    </w:p>
    <w:p>
      <w:pPr>
        <w:numPr>
          <w:ilvl w:val="0"/>
          <w:numId w:val="1000"/>
        </w:numPr>
      </w:pPr>
      <w:r>
        <w:t xml:space="preserve">In our revised manuscript, we have focused on standard classification accuracy on the NEU-DET, FS-DS, and Financial datasets, as this is the standard metric used in the papers we compare against (AMC, HAQ, etc.). This allows for a more direct and unambiguous comparison of the compression algorithms themselves. We have removed the discussion of FPR to avoid confusion and keep the focus on the core contributions of the synergistic RL compression framework. We have added a note in the conclusion that exploring the impact of compression on more complex, event-driven metrics is a valuable direction for future work.</w:t>
      </w:r>
    </w:p>
    <w:p>
      <w:r>
        <w:pict>
          <v:rect style="width:0;height:1.5pt" o:hralign="center" o:hrstd="t" o:hr="t"/>
        </w:pict>
      </w:r>
    </w:p>
    <w:p>
      <w:pPr>
        <w:pStyle w:val="FirstParagraph"/>
      </w:pPr>
      <w:r>
        <w:t xml:space="preserve">We hope these detailed responses and the corresponding major revisions to the manuscript have fully addressed all the reviewers’ concerns. We are grateful for the opportunity to improve our work and believe the revised paper is now significantly stronger and makes a more substantial contribution to the field.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2026-02-08T03:38:43Z</dcterms:created>
  <dcterms:modified xsi:type="dcterms:W3CDTF">2026-02-08T03:38:43Z</dcterms:modified>
</cp:coreProperties>
</file>

<file path=docProps/custom.xml><?xml version="1.0" encoding="utf-8"?>
<Properties xmlns="http://schemas.openxmlformats.org/officeDocument/2006/custom-properties" xmlns:vt="http://schemas.openxmlformats.org/officeDocument/2006/docPropsVTypes"/>
</file>