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分库分表：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3千万以上数据：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分库分表的缺点：事物一致性（最终一致性），跨节点查询分页，排序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聚集索引  非聚集索引</w:t>
      </w:r>
    </w:p>
    <w:p>
      <w:r>
        <w:rPr>
          <w:rFonts w:hint="eastAsia" w:eastAsiaTheme="minorEastAsia"/>
          <w:lang w:eastAsia="zh-CN"/>
        </w:rPr>
        <w:drawing>
          <wp:inline distT="0" distB="0" distL="114300" distR="114300">
            <wp:extent cx="8367395" cy="8770620"/>
            <wp:effectExtent l="0" t="0" r="14605" b="11430"/>
            <wp:docPr id="1" name="图片 1" descr="fenkufenbi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enkufenbia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67395" cy="877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组合索引：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3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聚集索引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非聚集索引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B169C3"/>
    <w:rsid w:val="1C480330"/>
    <w:rsid w:val="2543161A"/>
    <w:rsid w:val="4CCE7292"/>
    <w:rsid w:val="5A8837E1"/>
    <w:rsid w:val="67F2405D"/>
    <w:rsid w:val="6861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Office_11.1.0.8765_F1E327BC-269C-435d-A152-05C5408002CA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2019-11-15T02:20:00Z</dcterms:created>
  <dc:creator>kona001</dc:creator>
  <cp:lastModifiedBy>kona001</cp:lastModifiedBy>
  <dcterms:modified xsi:type="dcterms:W3CDTF">2019-11-15T03:17:59Z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2052-11.1.0.8765</vt:lpwstr>
  </property>
</Properties>
</file>