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</w:pPr>
      <w:r>
        <w:rPr>
          <w:rFonts w:ascii="Noto Sans CJK SC" w:hAnsi="Noto Sans CJK SC" w:eastAsia="Noto Sans CJK SC"/>
          <w:b/>
          <w:color w:val="267C87"/>
          <w:sz w:val="32"/>
        </w:rPr>
        <w:t>P A P E R S E E K</w:t>
      </w:r>
    </w:p>
    <w:p>
      <w:pPr>
        <w:spacing w:before="360"/>
      </w:pPr>
      <w:r>
        <w:rPr>
          <w:rFonts w:ascii="Noto Sans CJK SC" w:hAnsi="Noto Sans CJK SC" w:eastAsia="Noto Sans CJK SC"/>
          <w:b/>
          <w:color w:val="1C3553"/>
          <w:sz w:val="52"/>
        </w:rPr>
        <w:t>软件需求规格说明书</w:t>
      </w:r>
    </w:p>
    <w:p>
      <w:r>
        <w:rPr>
          <w:rFonts w:ascii="Noto Sans CJK SC" w:hAnsi="Noto Sans CJK SC" w:eastAsia="Noto Sans CJK SC"/>
          <w:b/>
          <w:color w:val="1C3553"/>
          <w:sz w:val="36"/>
        </w:rPr>
        <w:t>与系统概要设计（V1.0）</w:t>
      </w:r>
    </w:p>
    <w:p>
      <w:pPr>
        <w:spacing w:before="400"/>
      </w:pPr>
      <w:r>
        <w:rPr>
          <w:rFonts w:ascii="Noto Sans CJK SC" w:hAnsi="Noto Sans CJK SC" w:eastAsia="Noto Sans CJK SC"/>
          <w:color w:val="52657A"/>
          <w:sz w:val="24"/>
        </w:rPr>
        <w:t>基于多特征表示与混合检索的科研文献智能语义检索系统</w:t>
      </w:r>
    </w:p>
    <w:p>
      <w:pPr>
        <w:spacing w:before="1700"/>
      </w:pPr>
      <w:r>
        <w:rPr>
          <w:rFonts w:ascii="Noto Sans CJK SC" w:hAnsi="Noto Sans CJK SC" w:eastAsia="Noto Sans CJK SC"/>
          <w:b/>
          <w:color w:val="1C3553"/>
          <w:sz w:val="20"/>
        </w:rPr>
        <w:t>文档类型：</w:t>
      </w:r>
      <w:r>
        <w:rPr>
          <w:rFonts w:ascii="Noto Sans CJK SC" w:hAnsi="Noto Sans CJK SC" w:eastAsia="Noto Sans CJK SC"/>
          <w:color w:val="52657A"/>
          <w:sz w:val="20"/>
        </w:rPr>
        <w:t>课程设计前期研发文档</w:t>
        <w:br/>
      </w:r>
      <w:r>
        <w:rPr>
          <w:rFonts w:ascii="Noto Sans CJK SC" w:hAnsi="Noto Sans CJK SC" w:eastAsia="Noto Sans CJK SC"/>
          <w:b/>
          <w:color w:val="1C3553"/>
          <w:sz w:val="20"/>
        </w:rPr>
        <w:t>版本状态：</w:t>
      </w:r>
      <w:r>
        <w:rPr>
          <w:rFonts w:ascii="Noto Sans CJK SC" w:hAnsi="Noto Sans CJK SC" w:eastAsia="Noto Sans CJK SC"/>
          <w:color w:val="52657A"/>
          <w:sz w:val="20"/>
        </w:rPr>
        <w:t>V1.0 · 草案 / 待需求评审</w:t>
        <w:br/>
      </w:r>
      <w:r>
        <w:rPr>
          <w:rFonts w:ascii="Noto Sans CJK SC" w:hAnsi="Noto Sans CJK SC" w:eastAsia="Noto Sans CJK SC"/>
          <w:b/>
          <w:color w:val="1C3553"/>
          <w:sz w:val="20"/>
        </w:rPr>
        <w:t>项目形态：</w:t>
      </w:r>
      <w:r>
        <w:rPr>
          <w:rFonts w:ascii="Noto Sans CJK SC" w:hAnsi="Noto Sans CJK SC" w:eastAsia="Noto Sans CJK SC"/>
          <w:color w:val="52657A"/>
          <w:sz w:val="20"/>
        </w:rPr>
        <w:t>Python 本地应用 + Streamlit 可视化界面</w:t>
        <w:br/>
      </w:r>
      <w:r>
        <w:rPr>
          <w:rFonts w:ascii="Noto Sans CJK SC" w:hAnsi="Noto Sans CJK SC" w:eastAsia="Noto Sans CJK SC"/>
          <w:b/>
          <w:color w:val="1C3553"/>
          <w:sz w:val="20"/>
        </w:rPr>
        <w:t>计划周期：</w:t>
      </w:r>
      <w:r>
        <w:rPr>
          <w:rFonts w:ascii="Noto Sans CJK SC" w:hAnsi="Noto Sans CJK SC" w:eastAsia="Noto Sans CJK SC"/>
          <w:color w:val="52657A"/>
          <w:sz w:val="20"/>
        </w:rPr>
        <w:t>2026-10-19 至 2026-11-29（建议排期）</w:t>
        <w:br/>
      </w:r>
      <w:r>
        <w:rPr>
          <w:rFonts w:ascii="Noto Sans CJK SC" w:hAnsi="Noto Sans CJK SC" w:eastAsia="Noto Sans CJK SC"/>
          <w:b/>
          <w:color w:val="1C3553"/>
          <w:sz w:val="20"/>
        </w:rPr>
        <w:t>编制日期：</w:t>
      </w:r>
      <w:r>
        <w:rPr>
          <w:rFonts w:ascii="Noto Sans CJK SC" w:hAnsi="Noto Sans CJK SC" w:eastAsia="Noto Sans CJK SC"/>
          <w:color w:val="52657A"/>
          <w:sz w:val="20"/>
        </w:rPr>
        <w:t>2026年10月19日</w:t>
        <w:br/>
      </w:r>
    </w:p>
    <w:p>
      <w:r>
        <w:rPr>
          <w:rFonts w:ascii="Noto Sans CJK SC" w:hAnsi="Noto Sans CJK SC" w:eastAsia="Noto Sans CJK SC"/>
        </w:rPr>
        <w:t>说明：本文中的用户需求为开发阶段的需求假设，尚未经过真实客户访谈确认；性能阈值属于设计目标，必须通过实际测试验证。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154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200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文档代号</w:t>
            </w:r>
          </w:p>
        </w:tc>
        <w:tc>
          <w:tcPr>
            <w:tcW w:type="dxa" w:w="720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PS-SRS-001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当前版本</w:t>
            </w:r>
          </w:p>
        </w:tc>
        <w:tc>
          <w:tcPr>
            <w:tcW w:type="dxa" w:w="720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变更状态</w:t>
            </w:r>
          </w:p>
        </w:tc>
        <w:tc>
          <w:tcPr>
            <w:tcW w:type="dxa" w:w="720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首次建立，尚未通过正式评审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编制依据</w:t>
            </w:r>
          </w:p>
        </w:tc>
        <w:tc>
          <w:tcPr>
            <w:tcW w:type="dxa" w:w="720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自然语言处理课程设计任务要求与项目规划V1.0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后续评审重点</w:t>
            </w:r>
          </w:p>
        </w:tc>
        <w:tc>
          <w:tcPr>
            <w:tcW w:type="dxa" w:w="720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PDF导入范围、领域语料规模、验收机器性能、用户调研结果</w:t>
            </w:r>
          </w:p>
        </w:tc>
      </w:tr>
    </w:tbl>
    <w:p>
      <w:pPr>
        <w:spacing w:after="0"/>
      </w:pPr>
    </w:p>
    <w:p>
      <w:pPr>
        <w:pStyle w:val="Heading2"/>
      </w:pPr>
      <w:r>
        <w:t>术语与缩写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154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7200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Corpus</w:t>
            </w:r>
          </w:p>
        </w:tc>
        <w:tc>
          <w:tcPr>
            <w:tcW w:type="dxa" w:w="720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可供检索的文献集合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Query</w:t>
            </w:r>
          </w:p>
        </w:tc>
        <w:tc>
          <w:tcPr>
            <w:tcW w:type="dxa" w:w="720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用户输入的检索问题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Qrels</w:t>
            </w:r>
          </w:p>
        </w:tc>
        <w:tc>
          <w:tcPr>
            <w:tcW w:type="dxa" w:w="720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查询与文献的人工相关性标注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Top-K</w:t>
            </w:r>
          </w:p>
        </w:tc>
        <w:tc>
          <w:tcPr>
            <w:tcW w:type="dxa" w:w="720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按得分排序返回前K个文献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RRF</w:t>
            </w:r>
          </w:p>
        </w:tc>
        <w:tc>
          <w:tcPr>
            <w:tcW w:type="dxa" w:w="720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倒数排名融合，Reciprocal Rank Fusion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SBERT</w:t>
            </w:r>
          </w:p>
        </w:tc>
        <w:tc>
          <w:tcPr>
            <w:tcW w:type="dxa" w:w="720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Sentence-BERT / Sentence-Transformers 语义向量模型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 / P1 / P2</w:t>
            </w:r>
          </w:p>
        </w:tc>
        <w:tc>
          <w:tcPr>
            <w:tcW w:type="dxa" w:w="720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必须完成 / 重要增强 / 后续拓展</w:t>
            </w:r>
          </w:p>
        </w:tc>
      </w:tr>
    </w:tbl>
    <w:p>
      <w:pPr>
        <w:spacing w:after="0"/>
      </w:pPr>
    </w:p>
    <w:p>
      <w:pPr>
        <w:pStyle w:val="Heading1"/>
      </w:pPr>
      <w:r>
        <w:t>1. 项目范围与目标</w:t>
      </w:r>
    </w:p>
    <w:p>
      <w:pPr>
        <w:pStyle w:val="Heading2"/>
      </w:pPr>
      <w:r>
        <w:t>1.1 业务背景</w:t>
      </w:r>
    </w:p>
    <w:p>
      <w:r>
        <w:rPr>
          <w:rFonts w:ascii="Noto Sans CJK SC" w:hAnsi="Noto Sans CJK SC" w:eastAsia="Noto Sans CJK SC"/>
        </w:rPr>
        <w:t>高校师生在文献调研中会积累大量论文文件，常需要根据研究问题查找相关技术、原文段落及论文出处。仅依赖关键词匹配时，难以充分处理同义表达、不同术语或自然语言问题。本项目通过稀疏检索、概率排序和语义检索的对比与融合，建设可离线使用的科研文献检索原型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交付可运行的本地Web检索界面，支持查询、算法切换与结果查看。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实现TF-IDF、BM25、Sentence-BERT，并以RRF作为拓展实验。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使用SciFact/BEIR公开标注对检索准确性和效率进行可复现实验。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支持在本地文献库中导入文本可提取的PDF并定位相关片段及页码。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保留程序、配置、实验表格和测试记录，用于课程验收及答辩。</w:t>
      </w:r>
    </w:p>
    <w:p>
      <w:pPr>
        <w:pStyle w:val="Heading2"/>
      </w:pPr>
      <w:r>
        <w:t>1.3 项目边界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649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范围内</w:t>
            </w:r>
          </w:p>
        </w:tc>
        <w:tc>
          <w:tcPr>
            <w:tcW w:type="dxa" w:w="4706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不在V1.0范围内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公开基准语料检索与自动评价</w:t>
            </w:r>
          </w:p>
        </w:tc>
        <w:tc>
          <w:tcPr>
            <w:tcW w:type="dxa" w:w="4706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联网爬取全部学术文献、期刊付费绕过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本地可复制文本的PDF解析与查找</w:t>
            </w:r>
          </w:p>
        </w:tc>
        <w:tc>
          <w:tcPr>
            <w:tcW w:type="dxa" w:w="4706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OCR批量识别复杂扫描件、公式语义还原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语义相似度与检索结果融合</w:t>
            </w:r>
          </w:p>
        </w:tc>
        <w:tc>
          <w:tcPr>
            <w:tcW w:type="dxa" w:w="4706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在线LLM自动撰写论文或无依据回答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单用户桌面本地部署</w:t>
            </w:r>
          </w:p>
        </w:tc>
        <w:tc>
          <w:tcPr>
            <w:tcW w:type="dxa" w:w="4706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多租户平台、账号权限体系、云同步服务</w:t>
            </w:r>
          </w:p>
        </w:tc>
      </w:tr>
    </w:tbl>
    <w:p>
      <w:pPr>
        <w:spacing w:after="0"/>
      </w:pPr>
    </w:p>
    <w:p>
      <w:pPr>
        <w:pStyle w:val="Heading2"/>
      </w:pPr>
      <w:r>
        <w:t>1.4 约束与假设</w:t>
      </w:r>
    </w:p>
    <w:p>
      <w:r>
        <w:rPr>
          <w:rFonts w:ascii="Noto Sans CJK SC" w:hAnsi="Noto Sans CJK SC" w:eastAsia="Noto Sans CJK SC"/>
        </w:rPr>
        <w:t>系统以Windows + Python 3.11为主要验证环境；个人电脑具备16GB内存时优先使用轻量语义模型。联网仅用于第一次下载公开数据和预训练权重；完成缓存后基础查询应尽量支持离线运行。SciFact指标针对文献级检索，PDF片段检索只在用户论文库内使用，二者不混成同一个评价口径。</w:t>
      </w:r>
    </w:p>
    <w:p>
      <w:pPr>
        <w:pStyle w:val="Heading1"/>
      </w:pPr>
      <w:r>
        <w:t>2. 用户与客户需求分析</w:t>
      </w:r>
    </w:p>
    <w:p>
      <w:pPr>
        <w:pStyle w:val="Heading2"/>
      </w:pPr>
      <w:r>
        <w:t>2.1 利益相关方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57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969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关注点</w:t>
            </w:r>
          </w:p>
        </w:tc>
        <w:tc>
          <w:tcPr>
            <w:tcW w:type="dxa" w:w="3628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高校学生</w:t>
            </w:r>
          </w:p>
        </w:tc>
        <w:tc>
          <w:tcPr>
            <w:tcW w:type="dxa" w:w="3969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使用简单、能快速查论文</w:t>
            </w:r>
          </w:p>
        </w:tc>
        <w:tc>
          <w:tcPr>
            <w:tcW w:type="dxa" w:w="36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任务演示 + 可用性走查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科研人员</w:t>
            </w:r>
          </w:p>
        </w:tc>
        <w:tc>
          <w:tcPr>
            <w:tcW w:type="dxa" w:w="3969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术语搜索、语义相关、片段可追溯</w:t>
            </w:r>
          </w:p>
        </w:tc>
        <w:tc>
          <w:tcPr>
            <w:tcW w:type="dxa" w:w="36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相关性案例和访谈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任课教师</w:t>
            </w:r>
          </w:p>
        </w:tc>
        <w:tc>
          <w:tcPr>
            <w:tcW w:type="dxa" w:w="3969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算法实现与公平实验</w:t>
            </w:r>
          </w:p>
        </w:tc>
        <w:tc>
          <w:tcPr>
            <w:tcW w:type="dxa" w:w="36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源码检查、评价指标复现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开发维护者</w:t>
            </w:r>
          </w:p>
        </w:tc>
        <w:tc>
          <w:tcPr>
            <w:tcW w:type="dxa" w:w="3969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索引易更新、模块可测试</w:t>
            </w:r>
          </w:p>
        </w:tc>
        <w:tc>
          <w:tcPr>
            <w:tcW w:type="dxa" w:w="36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单元测试和日志</w:t>
            </w:r>
          </w:p>
        </w:tc>
      </w:tr>
    </w:tbl>
    <w:p>
      <w:pPr>
        <w:spacing w:after="0"/>
      </w:pPr>
    </w:p>
    <w:p>
      <w:pPr>
        <w:pStyle w:val="Heading2"/>
      </w:pPr>
      <w:r>
        <w:t>2.2 需求假设：待访谈确认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R-USER-01：用户希望输入自然语言问题，而不仅是严格匹配标题关键词。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R-USER-02：用户希望结果包含论文名称、命中片段、页码与原始文件。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R-USER-03：用户希望无需修改代码便能导入PDF并搜索。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R-TEACH-01：教师需要真实、可复现的多模型实验对照，而非演示截图。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R-DEV-01：开发者需要能够重建索引、查看状态并导出实验数据。</w:t>
      </w:r>
    </w:p>
    <w:p>
      <w:pPr>
        <w:pStyle w:val="Heading2"/>
      </w:pPr>
      <w:r>
        <w:t>2.3 典型用户故事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247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969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用户故事</w:t>
            </w:r>
          </w:p>
        </w:tc>
        <w:tc>
          <w:tcPr>
            <w:tcW w:type="dxa" w:w="4139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完成定义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US-01</w:t>
            </w:r>
          </w:p>
        </w:tc>
        <w:tc>
          <w:tcPr>
            <w:tcW w:type="dxa" w:w="3969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作为学生，我希望输入“如何提高时频分辨率”，以便找到相关研究。</w:t>
            </w:r>
          </w:p>
        </w:tc>
        <w:tc>
          <w:tcPr>
            <w:tcW w:type="dxa" w:w="4139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输入问题后可返回文献级Top-K结果。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US-02</w:t>
            </w:r>
          </w:p>
        </w:tc>
        <w:tc>
          <w:tcPr>
            <w:tcW w:type="dxa" w:w="3969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作为研究人员，我希望查看命中段落与PDF页码，以便核实来源。</w:t>
            </w:r>
          </w:p>
        </w:tc>
        <w:tc>
          <w:tcPr>
            <w:tcW w:type="dxa" w:w="4139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本地PDF索引包含文件与页码定位。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US-03</w:t>
            </w:r>
          </w:p>
        </w:tc>
        <w:tc>
          <w:tcPr>
            <w:tcW w:type="dxa" w:w="3969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作为教师，我希望切换检索器，以便比较不同算法。</w:t>
            </w:r>
          </w:p>
        </w:tc>
        <w:tc>
          <w:tcPr>
            <w:tcW w:type="dxa" w:w="4139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同一查询可比较至少三种独立结果。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US-04</w:t>
            </w:r>
          </w:p>
        </w:tc>
        <w:tc>
          <w:tcPr>
            <w:tcW w:type="dxa" w:w="3969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作为教师，我希望导出测试结果，以便核对实验报告。</w:t>
            </w:r>
          </w:p>
        </w:tc>
        <w:tc>
          <w:tcPr>
            <w:tcW w:type="dxa" w:w="4139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可导出真实评价CSV及生成图表。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US-05</w:t>
            </w:r>
          </w:p>
        </w:tc>
        <w:tc>
          <w:tcPr>
            <w:tcW w:type="dxa" w:w="3969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作为维护者，我希望索引持久化，以便重启无需重复编码。</w:t>
            </w:r>
          </w:p>
        </w:tc>
        <w:tc>
          <w:tcPr>
            <w:tcW w:type="dxa" w:w="4139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重启后可加载与语料版本匹配的索引。</w:t>
            </w:r>
          </w:p>
        </w:tc>
      </w:tr>
    </w:tbl>
    <w:p>
      <w:pPr>
        <w:spacing w:after="0"/>
      </w:pPr>
    </w:p>
    <w:p>
      <w:pPr>
        <w:pStyle w:val="Heading1"/>
      </w:pPr>
      <w:r>
        <w:t>3. 功能需求规格</w:t>
      </w:r>
    </w:p>
    <w:p>
      <w:r>
        <w:rPr>
          <w:rFonts w:ascii="Noto Sans CJK SC" w:hAnsi="Noto Sans CJK SC" w:eastAsia="Noto Sans CJK SC"/>
        </w:rPr>
        <w:t>编号FR用于追踪开发和验收。优先级P0对应课程设计必须完成的最小可用版本，P1为增强功能，P2为可延期拓展。验收语句按可操作、可观测原则编写。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134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50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928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功能名称</w:t>
            </w:r>
          </w:p>
        </w:tc>
        <w:tc>
          <w:tcPr>
            <w:tcW w:type="dxa" w:w="5443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FR-01</w:t>
            </w:r>
          </w:p>
        </w:tc>
        <w:tc>
          <w:tcPr>
            <w:tcW w:type="dxa" w:w="85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SciFact数据读取</w:t>
            </w:r>
          </w:p>
        </w:tc>
        <w:tc>
          <w:tcPr>
            <w:tcW w:type="dxa" w:w="544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成功读取corpus、queries和test qrels；文档与查询ID无空值、无重复。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FR-02</w:t>
            </w:r>
          </w:p>
        </w:tc>
        <w:tc>
          <w:tcPr>
            <w:tcW w:type="dxa" w:w="85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文本规范化</w:t>
            </w:r>
          </w:p>
        </w:tc>
        <w:tc>
          <w:tcPr>
            <w:tcW w:type="dxa" w:w="544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空内容有错误提示；TF-IDF与BM25采用一致的语言预处理策略。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FR-03</w:t>
            </w:r>
          </w:p>
        </w:tc>
        <w:tc>
          <w:tcPr>
            <w:tcW w:type="dxa" w:w="85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TF-IDF检索</w:t>
            </w:r>
          </w:p>
        </w:tc>
        <w:tc>
          <w:tcPr>
            <w:tcW w:type="dxa" w:w="544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对指定查询返回得分排序的文档ID与Top-K结果。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FR-04</w:t>
            </w:r>
          </w:p>
        </w:tc>
        <w:tc>
          <w:tcPr>
            <w:tcW w:type="dxa" w:w="85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BM25检索</w:t>
            </w:r>
          </w:p>
        </w:tc>
        <w:tc>
          <w:tcPr>
            <w:tcW w:type="dxa" w:w="544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对相同语料与查询返回排序结果，并允许记录k1、b参数。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FR-05</w:t>
            </w:r>
          </w:p>
        </w:tc>
        <w:tc>
          <w:tcPr>
            <w:tcW w:type="dxa" w:w="85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SBERT语义检索</w:t>
            </w:r>
          </w:p>
        </w:tc>
        <w:tc>
          <w:tcPr>
            <w:tcW w:type="dxa" w:w="544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模型能对查询与文献编码并按余弦相似度排序。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FR-06</w:t>
            </w:r>
          </w:p>
        </w:tc>
        <w:tc>
          <w:tcPr>
            <w:tcW w:type="dxa" w:w="85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统一检索接口</w:t>
            </w:r>
          </w:p>
        </w:tc>
        <w:tc>
          <w:tcPr>
            <w:tcW w:type="dxa" w:w="544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三种检索算法输入、输出字段统一；结果文档ID可回溯。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FR-07</w:t>
            </w:r>
          </w:p>
        </w:tc>
        <w:tc>
          <w:tcPr>
            <w:tcW w:type="dxa" w:w="85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自然语言查询</w:t>
            </w:r>
          </w:p>
        </w:tc>
        <w:tc>
          <w:tcPr>
            <w:tcW w:type="dxa" w:w="544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非空查询能返回不超过Top-K的可查看结果。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FR-08</w:t>
            </w:r>
          </w:p>
        </w:tc>
        <w:tc>
          <w:tcPr>
            <w:tcW w:type="dxa" w:w="85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算法切换</w:t>
            </w:r>
          </w:p>
        </w:tc>
        <w:tc>
          <w:tcPr>
            <w:tcW w:type="dxa" w:w="544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界面能选择TF-IDF、BM25、SBERT并真正调用对应实现。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FR-09</w:t>
            </w:r>
          </w:p>
        </w:tc>
        <w:tc>
          <w:tcPr>
            <w:tcW w:type="dxa" w:w="85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公开基准评价</w:t>
            </w:r>
          </w:p>
        </w:tc>
        <w:tc>
          <w:tcPr>
            <w:tcW w:type="dxa" w:w="544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计算Recall@10、MRR@10、NDCG@10；指标与标准实现一致。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FR-10</w:t>
            </w:r>
          </w:p>
        </w:tc>
        <w:tc>
          <w:tcPr>
            <w:tcW w:type="dxa" w:w="85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结果导出与展示</w:t>
            </w:r>
          </w:p>
        </w:tc>
        <w:tc>
          <w:tcPr>
            <w:tcW w:type="dxa" w:w="544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结果保存到CSV/JSON，生成至少三类真实评价图。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FR-11</w:t>
            </w:r>
          </w:p>
        </w:tc>
        <w:tc>
          <w:tcPr>
            <w:tcW w:type="dxa" w:w="85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P0</w:t>
            </w:r>
          </w:p>
        </w:tc>
        <w:tc>
          <w:tcPr>
            <w:tcW w:type="dxa" w:w="19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本地Web界面</w:t>
            </w:r>
          </w:p>
        </w:tc>
        <w:tc>
          <w:tcPr>
            <w:tcW w:type="dxa" w:w="544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支持输入、搜索、排序结果展示、错误提示和算法选择。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FR-12</w:t>
            </w:r>
          </w:p>
        </w:tc>
        <w:tc>
          <w:tcPr>
            <w:tcW w:type="dxa" w:w="85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P1</w:t>
            </w:r>
          </w:p>
        </w:tc>
        <w:tc>
          <w:tcPr>
            <w:tcW w:type="dxa" w:w="19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PDF导入与解析</w:t>
            </w:r>
          </w:p>
        </w:tc>
        <w:tc>
          <w:tcPr>
            <w:tcW w:type="dxa" w:w="544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可解析文本型PDF并保留原始文件、文献ID、页码。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FR-13</w:t>
            </w:r>
          </w:p>
        </w:tc>
        <w:tc>
          <w:tcPr>
            <w:tcW w:type="dxa" w:w="85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P1</w:t>
            </w:r>
          </w:p>
        </w:tc>
        <w:tc>
          <w:tcPr>
            <w:tcW w:type="dxa" w:w="19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分块检索</w:t>
            </w:r>
          </w:p>
        </w:tc>
        <w:tc>
          <w:tcPr>
            <w:tcW w:type="dxa" w:w="544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PDF片段可定位到文献ID、块ID、页码并聚合至文献。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FR-14</w:t>
            </w:r>
          </w:p>
        </w:tc>
        <w:tc>
          <w:tcPr>
            <w:tcW w:type="dxa" w:w="85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P1</w:t>
            </w:r>
          </w:p>
        </w:tc>
        <w:tc>
          <w:tcPr>
            <w:tcW w:type="dxa" w:w="19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RRF混合排序</w:t>
            </w:r>
          </w:p>
        </w:tc>
        <w:tc>
          <w:tcPr>
            <w:tcW w:type="dxa" w:w="544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融合BM25与SBERT排名；与基础检索器采用同一评价协议。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FR-15</w:t>
            </w:r>
          </w:p>
        </w:tc>
        <w:tc>
          <w:tcPr>
            <w:tcW w:type="dxa" w:w="85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P1</w:t>
            </w:r>
          </w:p>
        </w:tc>
        <w:tc>
          <w:tcPr>
            <w:tcW w:type="dxa" w:w="19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索引缓存与重建</w:t>
            </w:r>
          </w:p>
        </w:tc>
        <w:tc>
          <w:tcPr>
            <w:tcW w:type="dxa" w:w="544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支持索引持久化、版本校验与语料更新后的重建。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FR-16</w:t>
            </w:r>
          </w:p>
        </w:tc>
        <w:tc>
          <w:tcPr>
            <w:tcW w:type="dxa" w:w="85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P1</w:t>
            </w:r>
          </w:p>
        </w:tc>
        <w:tc>
          <w:tcPr>
            <w:tcW w:type="dxa" w:w="19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检索解释信息</w:t>
            </w:r>
          </w:p>
        </w:tc>
        <w:tc>
          <w:tcPr>
            <w:tcW w:type="dxa" w:w="544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展示检索方式、命中文本与排序得分；分数不冒充概率。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FR-17</w:t>
            </w:r>
          </w:p>
        </w:tc>
        <w:tc>
          <w:tcPr>
            <w:tcW w:type="dxa" w:w="85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P2</w:t>
            </w:r>
          </w:p>
        </w:tc>
        <w:tc>
          <w:tcPr>
            <w:tcW w:type="dxa" w:w="192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跨语言检索</w:t>
            </w:r>
          </w:p>
        </w:tc>
        <w:tc>
          <w:tcPr>
            <w:tcW w:type="dxa" w:w="544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中文查询检索英文论文，采用独立数据集或人工标注评价。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FR-18</w:t>
            </w:r>
          </w:p>
        </w:tc>
        <w:tc>
          <w:tcPr>
            <w:tcW w:type="dxa" w:w="85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P2</w:t>
            </w:r>
          </w:p>
        </w:tc>
        <w:tc>
          <w:tcPr>
            <w:tcW w:type="dxa" w:w="192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大规模向量索引</w:t>
            </w:r>
          </w:p>
        </w:tc>
        <w:tc>
          <w:tcPr>
            <w:tcW w:type="dxa" w:w="544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语料扩大时接入近似最近邻组件，并比较速度与效果。</w:t>
            </w:r>
          </w:p>
        </w:tc>
      </w:tr>
    </w:tbl>
    <w:p>
      <w:pPr>
        <w:spacing w:after="0"/>
      </w:pPr>
    </w:p>
    <w:p>
      <w:pPr>
        <w:pStyle w:val="Heading2"/>
      </w:pPr>
      <w:r>
        <w:t>3.1 核心用例 UC-01：执行文献检索</w:t>
      </w:r>
    </w:p>
    <w:p>
      <w:r>
        <w:rPr>
          <w:rFonts w:ascii="Noto Sans CJK SC" w:hAnsi="Noto Sans CJK SC" w:eastAsia="Noto Sans CJK SC"/>
        </w:rPr>
        <w:t>参与者：学生 / 科研人员。前置条件：检索语料已加载、索引就绪。触发：用户提交检索请求。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主流程：输入查询 → 选择算法与Top-K → 校验输入 → 调用检索引擎 → 返回排序结果 → 显示标题、得分与片段。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异常流程：空查询给出提示；模型不可用时展示错误及解决建议；缺失索引时提示先建立索引。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后置条件：输出包含query、algorithm、document_id、rank、score；不修改原始语料。</w:t>
      </w:r>
    </w:p>
    <w:p>
      <w:pPr>
        <w:pStyle w:val="Heading2"/>
      </w:pPr>
      <w:r>
        <w:t>3.2 核心用例 UC-02：导入本地PDF</w:t>
      </w:r>
    </w:p>
    <w:p>
      <w:r>
        <w:rPr>
          <w:rFonts w:ascii="Noto Sans CJK SC" w:hAnsi="Noto Sans CJK SC" w:eastAsia="Noto Sans CJK SC"/>
        </w:rPr>
        <w:t>参与者：开发维护者。前置条件：本地论文库目录可写。主流程：选择PDF → 读取文件 → 文本抽取 → 建立块级元数据 → 去重与建索引 → 在文献列表中显示。异常时保留错误日志，不导入空文档。</w:t>
      </w:r>
    </w:p>
    <w:p>
      <w:pPr>
        <w:pStyle w:val="Heading2"/>
      </w:pPr>
      <w:r>
        <w:t>3.3 核心用例 UC-03：运行基准评价</w:t>
      </w:r>
    </w:p>
    <w:p>
      <w:r>
        <w:rPr>
          <w:rFonts w:ascii="Noto Sans CJK SC" w:hAnsi="Noto Sans CJK SC" w:eastAsia="Noto Sans CJK SC"/>
        </w:rPr>
        <w:t>参与者：教师 / 开发维护者。前置条件：标准数据和qrels准备完成。主流程：指定检索器和参数 → 对测试查询执行搜索 → 与相关性标注比较 → 计算指标 → 记录配置、运行耗时及结果。测试集不得用于反复调优参数。</w:t>
      </w:r>
    </w:p>
    <w:p>
      <w:pPr>
        <w:pStyle w:val="Heading1"/>
      </w:pPr>
      <w:r>
        <w:t>4. 非功能需求规格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191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04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质量属性</w:t>
            </w:r>
          </w:p>
        </w:tc>
        <w:tc>
          <w:tcPr>
            <w:tcW w:type="dxa" w:w="6860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 / 测试方法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NFR-01</w:t>
            </w:r>
          </w:p>
        </w:tc>
        <w:tc>
          <w:tcPr>
            <w:tcW w:type="dxa" w:w="130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响应时间</w:t>
            </w:r>
          </w:p>
        </w:tc>
        <w:tc>
          <w:tcPr>
            <w:tcW w:type="dxa" w:w="686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目标：缓存后的SciFact单查询P95≤3秒；需在报告中注明CPU/GPU、测试次数与冷热启动条件。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NFR-02</w:t>
            </w:r>
          </w:p>
        </w:tc>
        <w:tc>
          <w:tcPr>
            <w:tcW w:type="dxa" w:w="130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结果正确性</w:t>
            </w:r>
          </w:p>
        </w:tc>
        <w:tc>
          <w:tcPr>
            <w:tcW w:type="dxa" w:w="686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所有返回文档ID均存在于当前语料库；排序按对应方法得分降序。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NFR-03</w:t>
            </w:r>
          </w:p>
        </w:tc>
        <w:tc>
          <w:tcPr>
            <w:tcW w:type="dxa" w:w="130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可复现性</w:t>
            </w:r>
          </w:p>
        </w:tc>
        <w:tc>
          <w:tcPr>
            <w:tcW w:type="dxa" w:w="686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固定数据版本、检索模型、预处理、参数与随机种子；保留环境依赖文件。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NFR-04</w:t>
            </w:r>
          </w:p>
        </w:tc>
        <w:tc>
          <w:tcPr>
            <w:tcW w:type="dxa" w:w="130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健壮性</w:t>
            </w:r>
          </w:p>
        </w:tc>
        <w:tc>
          <w:tcPr>
            <w:tcW w:type="dxa" w:w="686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对空输入、损坏PDF、无权限目录、模型加载失败提供可理解的提示。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NFR-05</w:t>
            </w:r>
          </w:p>
        </w:tc>
        <w:tc>
          <w:tcPr>
            <w:tcW w:type="dxa" w:w="130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数据隐私</w:t>
            </w:r>
          </w:p>
        </w:tc>
        <w:tc>
          <w:tcPr>
            <w:tcW w:type="dxa" w:w="686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本地上传的论文仅存本地；不自动发送论文全文到外部大模型接口。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NFR-06</w:t>
            </w:r>
          </w:p>
        </w:tc>
        <w:tc>
          <w:tcPr>
            <w:tcW w:type="dxa" w:w="130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可维护性</w:t>
            </w:r>
          </w:p>
        </w:tc>
        <w:tc>
          <w:tcPr>
            <w:tcW w:type="dxa" w:w="686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数据处理、检索器、评价器与页面逻辑模块分离，关键功能有单元测试。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NFR-07</w:t>
            </w:r>
          </w:p>
        </w:tc>
        <w:tc>
          <w:tcPr>
            <w:tcW w:type="dxa" w:w="130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可用性</w:t>
            </w:r>
          </w:p>
        </w:tc>
        <w:tc>
          <w:tcPr>
            <w:tcW w:type="dxa" w:w="686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用户通过网页可完成查询与算法切换，不依赖编辑Python脚本。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NFR-08</w:t>
            </w:r>
          </w:p>
        </w:tc>
        <w:tc>
          <w:tcPr>
            <w:tcW w:type="dxa" w:w="130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存储一致性</w:t>
            </w:r>
          </w:p>
        </w:tc>
        <w:tc>
          <w:tcPr>
            <w:tcW w:type="dxa" w:w="686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索引关联语料版本与模型标识；数据变化时阻止误用旧索引。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NFR-09</w:t>
            </w:r>
          </w:p>
        </w:tc>
        <w:tc>
          <w:tcPr>
            <w:tcW w:type="dxa" w:w="130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资源约束</w:t>
            </w:r>
          </w:p>
        </w:tc>
        <w:tc>
          <w:tcPr>
            <w:tcW w:type="dxa" w:w="686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优先支持16GB内存的单机环境，语义模型首次运行允许预加载与缓存。</w:t>
            </w:r>
          </w:p>
        </w:tc>
      </w:tr>
    </w:tbl>
    <w:p>
      <w:pPr>
        <w:spacing w:after="0"/>
      </w:pPr>
    </w:p>
    <w:p>
      <w:pPr>
        <w:pStyle w:val="Heading1"/>
      </w:pPr>
      <w:r>
        <w:t>5. 系统概要架构设计</w:t>
      </w:r>
    </w:p>
    <w:p>
      <w:pPr>
        <w:pStyle w:val="Heading2"/>
      </w:pPr>
      <w:r>
        <w:t>5.1 模块化分层结构</w:t>
      </w:r>
    </w:p>
    <w:p>
      <w:r>
        <w:drawing>
          <wp:inline xmlns:a="http://schemas.openxmlformats.org/drawingml/2006/main" xmlns:pic="http://schemas.openxmlformats.org/drawingml/2006/picture">
            <wp:extent cx="5832000" cy="2389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9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2657A"/>
          <w:sz w:val="16"/>
        </w:rPr>
        <w:t>图1  PaperSeek 系统逻辑架构（设计草案）</w:t>
      </w:r>
    </w:p>
    <w:p>
      <w:r>
        <w:rPr>
          <w:rFonts w:ascii="Noto Sans CJK SC" w:hAnsi="Noto Sans CJK SC" w:eastAsia="Noto Sans CJK SC"/>
        </w:rPr>
        <w:t>系统采用界面层、服务层、检索算法层与数据索引层分离的结构。检索服务负责统一调度；标准评价引擎独立运行，不从界面人工整理结果。SciFact实验使用文献级索引；PDF应用使用片段索引和文献聚合。</w:t>
      </w:r>
    </w:p>
    <w:p>
      <w:pPr>
        <w:pStyle w:val="Heading2"/>
      </w:pPr>
      <w:r>
        <w:t>5.2 数据流与索引生命周期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17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984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891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  <w:tc>
          <w:tcPr>
            <w:tcW w:type="dxa" w:w="3061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初始导入</w:t>
            </w:r>
          </w:p>
        </w:tc>
        <w:tc>
          <w:tcPr>
            <w:tcW w:type="dxa" w:w="198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SciFact JSONL / PDF</w:t>
            </w:r>
          </w:p>
        </w:tc>
        <w:tc>
          <w:tcPr>
            <w:tcW w:type="dxa" w:w="28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解析、清洗、校验ID、元数据保存</w:t>
            </w:r>
          </w:p>
        </w:tc>
        <w:tc>
          <w:tcPr>
            <w:tcW w:type="dxa" w:w="306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结构化语料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索引构建</w:t>
            </w:r>
          </w:p>
        </w:tc>
        <w:tc>
          <w:tcPr>
            <w:tcW w:type="dxa" w:w="198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结构化语料</w:t>
            </w:r>
          </w:p>
        </w:tc>
        <w:tc>
          <w:tcPr>
            <w:tcW w:type="dxa" w:w="28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TF-IDF拟合、BM25统计、SBERT离线编码</w:t>
            </w:r>
          </w:p>
        </w:tc>
        <w:tc>
          <w:tcPr>
            <w:tcW w:type="dxa" w:w="306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稀疏/稠密索引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检索请求</w:t>
            </w:r>
          </w:p>
        </w:tc>
        <w:tc>
          <w:tcPr>
            <w:tcW w:type="dxa" w:w="198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查询文本、算法、Top-K</w:t>
            </w:r>
          </w:p>
        </w:tc>
        <w:tc>
          <w:tcPr>
            <w:tcW w:type="dxa" w:w="28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查询编码、相似度/相关性打分、排序</w:t>
            </w:r>
          </w:p>
        </w:tc>
        <w:tc>
          <w:tcPr>
            <w:tcW w:type="dxa" w:w="306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统一SearchResult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基准评价</w:t>
            </w:r>
          </w:p>
        </w:tc>
        <w:tc>
          <w:tcPr>
            <w:tcW w:type="dxa" w:w="198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标准查询与qrels</w:t>
            </w:r>
          </w:p>
        </w:tc>
        <w:tc>
          <w:tcPr>
            <w:tcW w:type="dxa" w:w="28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检索排序、指标计算、耗时统计</w:t>
            </w:r>
          </w:p>
        </w:tc>
        <w:tc>
          <w:tcPr>
            <w:tcW w:type="dxa" w:w="306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CSV、图表、日志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文献更新</w:t>
            </w:r>
          </w:p>
        </w:tc>
        <w:tc>
          <w:tcPr>
            <w:tcW w:type="dxa" w:w="198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新增或移除的PDF</w:t>
            </w:r>
          </w:p>
        </w:tc>
        <w:tc>
          <w:tcPr>
            <w:tcW w:type="dxa" w:w="28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校验文件变化、重建或增量更新</w:t>
            </w:r>
          </w:p>
        </w:tc>
        <w:tc>
          <w:tcPr>
            <w:tcW w:type="dxa" w:w="306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新版本索引</w:t>
            </w:r>
          </w:p>
        </w:tc>
      </w:tr>
    </w:tbl>
    <w:p>
      <w:pPr>
        <w:spacing w:after="0"/>
      </w:pPr>
    </w:p>
    <w:p>
      <w:pPr>
        <w:pStyle w:val="Heading2"/>
      </w:pPr>
      <w:r>
        <w:t>5.3 数据结构草案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268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3742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345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Document</w:t>
            </w:r>
          </w:p>
        </w:tc>
        <w:tc>
          <w:tcPr>
            <w:tcW w:type="dxa" w:w="3742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doc_id, title, text, source, path</w:t>
            </w:r>
          </w:p>
        </w:tc>
        <w:tc>
          <w:tcPr>
            <w:tcW w:type="dxa" w:w="334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文献级索引单位；SciFact按原始ID对齐。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Chunk</w:t>
            </w:r>
          </w:p>
        </w:tc>
        <w:tc>
          <w:tcPr>
            <w:tcW w:type="dxa" w:w="3742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chunk_id, doc_id, page, text</w:t>
            </w:r>
          </w:p>
        </w:tc>
        <w:tc>
          <w:tcPr>
            <w:tcW w:type="dxa" w:w="334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PDF片段级单位；保留原文定位。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Query</w:t>
            </w:r>
          </w:p>
        </w:tc>
        <w:tc>
          <w:tcPr>
            <w:tcW w:type="dxa" w:w="3742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query_id, text, language</w:t>
            </w:r>
          </w:p>
        </w:tc>
        <w:tc>
          <w:tcPr>
            <w:tcW w:type="dxa" w:w="334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标准实验查询或用户临时查询。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RelevanceJudgment</w:t>
            </w:r>
          </w:p>
        </w:tc>
        <w:tc>
          <w:tcPr>
            <w:tcW w:type="dxa" w:w="3742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query_id, doc_id, relevance</w:t>
            </w:r>
          </w:p>
        </w:tc>
        <w:tc>
          <w:tcPr>
            <w:tcW w:type="dxa" w:w="334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仅标注数据有此项；不得从检索分数推断。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SearchResult</w:t>
            </w:r>
          </w:p>
        </w:tc>
        <w:tc>
          <w:tcPr>
            <w:tcW w:type="dxa" w:w="3742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doc_id, rank, score, snippet, source</w:t>
            </w:r>
          </w:p>
        </w:tc>
        <w:tc>
          <w:tcPr>
            <w:tcW w:type="dxa" w:w="334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统一搜索输出；可补充块ID与页码。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IndexManifest</w:t>
            </w:r>
          </w:p>
        </w:tc>
        <w:tc>
          <w:tcPr>
            <w:tcW w:type="dxa" w:w="3742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corpus_hash, model_id, parameters, created_at</w:t>
            </w:r>
          </w:p>
        </w:tc>
        <w:tc>
          <w:tcPr>
            <w:tcW w:type="dxa" w:w="334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用于版本检查与实验复现。</w:t>
            </w:r>
          </w:p>
        </w:tc>
      </w:tr>
    </w:tbl>
    <w:p>
      <w:pPr>
        <w:spacing w:after="0"/>
      </w:pPr>
    </w:p>
    <w:p>
      <w:pPr>
        <w:pStyle w:val="Heading2"/>
      </w:pPr>
      <w:r>
        <w:t>5.4 检索器接口草案</w:t>
      </w:r>
    </w:p>
    <w:p>
      <w:r>
        <w:rPr>
          <w:rFonts w:ascii="Noto Sans CJK SC" w:hAnsi="Noto Sans CJK SC" w:eastAsia="Noto Sans CJK SC"/>
        </w:rPr>
        <w:t>统一接口：build_index(documents, config) → index_meta；search(query, top_k) → list[SearchResult]。评价接口：evaluate(runs, qrels, cutoffs) → metrics。UI不直接处理向量或相关性标注；业务服务保证不同检索器的接口一致。</w:t>
      </w:r>
    </w:p>
    <w:p>
      <w:pPr>
        <w:pStyle w:val="Heading1"/>
      </w:pPr>
      <w:r>
        <w:t>6. 算法设计与评价协议</w:t>
      </w:r>
    </w:p>
    <w:p>
      <w:pPr>
        <w:pStyle w:val="Heading2"/>
      </w:pPr>
      <w:r>
        <w:t>6.1 算法对照方案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794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组别</w:t>
            </w:r>
          </w:p>
        </w:tc>
        <w:tc>
          <w:tcPr>
            <w:tcW w:type="dxa" w:w="2268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6293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输入与排序约定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A</w:t>
            </w:r>
          </w:p>
        </w:tc>
        <w:tc>
          <w:tcPr>
            <w:tcW w:type="dxa" w:w="226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TF-IDF</w:t>
            </w:r>
          </w:p>
        </w:tc>
        <w:tc>
          <w:tcPr>
            <w:tcW w:type="dxa" w:w="629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文献title+text，统一词项清洗与向量化，余弦相似度排序。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B</w:t>
            </w:r>
          </w:p>
        </w:tc>
        <w:tc>
          <w:tcPr>
            <w:tcW w:type="dxa" w:w="226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BM25</w:t>
            </w:r>
          </w:p>
        </w:tc>
        <w:tc>
          <w:tcPr>
            <w:tcW w:type="dxa" w:w="629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使用与A兼容的分词规则，记录k1与b，按BM25评分排序。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C</w:t>
            </w:r>
          </w:p>
        </w:tc>
        <w:tc>
          <w:tcPr>
            <w:tcW w:type="dxa" w:w="226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Sentence-BERT</w:t>
            </w:r>
          </w:p>
        </w:tc>
        <w:tc>
          <w:tcPr>
            <w:tcW w:type="dxa" w:w="6293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采用确定的预训练模型，查询与文献编码为向量，按相似度排序。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D</w:t>
            </w:r>
          </w:p>
        </w:tc>
        <w:tc>
          <w:tcPr>
            <w:tcW w:type="dxa" w:w="226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BM25+SBERT+RRF</w:t>
            </w:r>
          </w:p>
        </w:tc>
        <w:tc>
          <w:tcPr>
            <w:tcW w:type="dxa" w:w="6293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融合B与C文献ID的排名，记录RRF常数k与候选截断深度。</w:t>
            </w:r>
          </w:p>
        </w:tc>
      </w:tr>
    </w:tbl>
    <w:p>
      <w:pPr>
        <w:spacing w:after="0"/>
      </w:pPr>
    </w:p>
    <w:p>
      <w:pPr>
        <w:pStyle w:val="Heading2"/>
      </w:pPr>
      <w:r>
        <w:t>6.2 公开基准评价口径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固定 SciFact 语料库与test qrels，在文献级别运行A/B/C/D四组方法。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使用 train 标注进行有限的配置选择（如确有需要），test仅用于最终结果；每次实验保存全部参数。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指标报告 NDCG@10、Recall@10、MRR@10，辅以 Precision@5、Recall@5、检索延迟与索引时间。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为保证可比性，所有算法使用相同查询集合和候选文献范围，不将chunk_id当作doc_id计算。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从结果表中选择成功案例和失败案例，并分析术语一致性、同义改写和模型局限。</w:t>
      </w:r>
    </w:p>
    <w:p>
      <w:pPr>
        <w:pStyle w:val="Heading2"/>
      </w:pPr>
      <w:r>
        <w:t>6.3 本地领域文献评价口径</w:t>
      </w:r>
    </w:p>
    <w:p>
      <w:r>
        <w:rPr>
          <w:rFonts w:ascii="Noto Sans CJK SC" w:hAnsi="Noto Sans CJK SC" w:eastAsia="Noto Sans CJK SC"/>
        </w:rPr>
        <w:t>以时频分析论文库为演示语料，前期拟收集30—50份合法可使用的论文，并准备不少于30条查询作为阶段性目标。人工标注0/1/2三级相关性；如只有一名标注者，应披露主观性局限。领域评价与SciFact评价分开报表；跨语言效果仅在确实收集到标注数据后报告。</w:t>
      </w:r>
    </w:p>
    <w:p>
      <w:pPr>
        <w:pStyle w:val="Heading2"/>
      </w:pPr>
      <w:r>
        <w:t>6.4 计时标准</w:t>
      </w:r>
    </w:p>
    <w:p>
      <w:r>
        <w:rPr>
          <w:rFonts w:ascii="Noto Sans CJK SC" w:hAnsi="Noto Sans CJK SC" w:eastAsia="Noto Sans CJK SC"/>
        </w:rPr>
        <w:t>区分索引构建时间、模型首次加载时间和缓存后的查询时间。优先报告热启动下每个查询从服务层接收到返回排序结果的耗时，统计均值、P95及样本数量；各算法的文本缓存策略应保持一致或明确披露。</w:t>
      </w:r>
    </w:p>
    <w:p>
      <w:pPr>
        <w:pStyle w:val="Heading1"/>
      </w:pPr>
      <w:r>
        <w:t>7. 用户界面设计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814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458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界面组件</w:t>
            </w:r>
          </w:p>
        </w:tc>
        <w:tc>
          <w:tcPr>
            <w:tcW w:type="dxa" w:w="4082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主要交互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P-01 智能检索</w:t>
            </w:r>
          </w:p>
        </w:tc>
        <w:tc>
          <w:tcPr>
            <w:tcW w:type="dxa" w:w="345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查询文本框、检索器选择、Top-K、结果列表</w:t>
            </w:r>
          </w:p>
        </w:tc>
        <w:tc>
          <w:tcPr>
            <w:tcW w:type="dxa" w:w="4082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查询→排序→展开片段/来源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P-02 论文库管理</w:t>
            </w:r>
          </w:p>
        </w:tc>
        <w:tc>
          <w:tcPr>
            <w:tcW w:type="dxa" w:w="345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PDF上传、文献目录、索引状态、重建按钮</w:t>
            </w:r>
          </w:p>
        </w:tc>
        <w:tc>
          <w:tcPr>
            <w:tcW w:type="dxa" w:w="4082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上传→解析→校验→建立索引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P-03 算法对比</w:t>
            </w:r>
          </w:p>
        </w:tc>
        <w:tc>
          <w:tcPr>
            <w:tcW w:type="dxa" w:w="345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同题多算法结果、排名差异表</w:t>
            </w:r>
          </w:p>
        </w:tc>
        <w:tc>
          <w:tcPr>
            <w:tcW w:type="dxa" w:w="4082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运行→并排对照→查看排名变化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P-04 实验分析</w:t>
            </w:r>
          </w:p>
        </w:tc>
        <w:tc>
          <w:tcPr>
            <w:tcW w:type="dxa" w:w="345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指标表格、曲线图、导出入口</w:t>
            </w:r>
          </w:p>
        </w:tc>
        <w:tc>
          <w:tcPr>
            <w:tcW w:type="dxa" w:w="4082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选择实验→查看图表→下载CSV</w:t>
            </w:r>
          </w:p>
        </w:tc>
      </w:tr>
    </w:tbl>
    <w:p>
      <w:pPr>
        <w:spacing w:after="0"/>
      </w:pPr>
    </w:p>
    <w:p>
      <w:pPr>
        <w:pStyle w:val="Heading2"/>
      </w:pPr>
      <w:r>
        <w:t>7.1 查询页面最小可用原型</w:t>
      </w:r>
    </w:p>
    <w:p>
      <w:r>
        <w:rPr>
          <w:rFonts w:ascii="Noto Sans CJK SC" w:hAnsi="Noto Sans CJK SC" w:eastAsia="Noto Sans CJK SC"/>
        </w:rPr>
        <w:t>页面顶部展示“PaperSeek 科研文献智能检索”；正文从上到下依次排列检索范围切换（SciFact/本地论文库）、问题输入、算法选择、Top-K设置、检索按钮、状态提示和结果列表。每个结果至少显示论文标题、排序名次、算法分数、摘要片段；PDF结果额外显示页码与文件路径。</w:t>
      </w:r>
    </w:p>
    <w:p>
      <w:pPr>
        <w:pStyle w:val="Heading2"/>
      </w:pPr>
      <w:r>
        <w:t>7.2 交互限制</w:t>
      </w:r>
    </w:p>
    <w:p>
      <w:r>
        <w:rPr>
          <w:rFonts w:ascii="Noto Sans CJK SC" w:hAnsi="Noto Sans CJK SC" w:eastAsia="Noto Sans CJK SC"/>
        </w:rPr>
        <w:t>检索前应校验索引是否就绪；不允许把不可解释的相似度称为“正确概率”；RRF分数只表示相对排序值。查询出错时页面显示可理解的原因，不静默返回空列表。</w:t>
      </w:r>
    </w:p>
    <w:p>
      <w:pPr>
        <w:pStyle w:val="Heading1"/>
      </w:pPr>
      <w:r>
        <w:t>8. 测试用例与验收规则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907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1361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关联需求</w:t>
            </w:r>
          </w:p>
        </w:tc>
        <w:tc>
          <w:tcPr>
            <w:tcW w:type="dxa" w:w="2891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4195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TC-01</w:t>
            </w:r>
          </w:p>
        </w:tc>
        <w:tc>
          <w:tcPr>
            <w:tcW w:type="dxa" w:w="136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FR-01</w:t>
            </w:r>
          </w:p>
        </w:tc>
        <w:tc>
          <w:tcPr>
            <w:tcW w:type="dxa" w:w="28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读入SciFact语料</w:t>
            </w:r>
          </w:p>
        </w:tc>
        <w:tc>
          <w:tcPr>
            <w:tcW w:type="dxa" w:w="419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文献/查询/qrels分别可读取；ID检查通过。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TC-02</w:t>
            </w:r>
          </w:p>
        </w:tc>
        <w:tc>
          <w:tcPr>
            <w:tcW w:type="dxa" w:w="136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FR-02</w:t>
            </w:r>
          </w:p>
        </w:tc>
        <w:tc>
          <w:tcPr>
            <w:tcW w:type="dxa" w:w="28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处理空文档</w:t>
            </w:r>
          </w:p>
        </w:tc>
        <w:tc>
          <w:tcPr>
            <w:tcW w:type="dxa" w:w="419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无有效文本时返回可识别错误。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TC-03</w:t>
            </w:r>
          </w:p>
        </w:tc>
        <w:tc>
          <w:tcPr>
            <w:tcW w:type="dxa" w:w="136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FR-03/04/05</w:t>
            </w:r>
          </w:p>
        </w:tc>
        <w:tc>
          <w:tcPr>
            <w:tcW w:type="dxa" w:w="28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三种检索器搜索同题</w:t>
            </w:r>
          </w:p>
        </w:tc>
        <w:tc>
          <w:tcPr>
            <w:tcW w:type="dxa" w:w="419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均返回合法文档ID及正确的Top-K数量。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TC-04</w:t>
            </w:r>
          </w:p>
        </w:tc>
        <w:tc>
          <w:tcPr>
            <w:tcW w:type="dxa" w:w="136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FR-06/08</w:t>
            </w:r>
          </w:p>
        </w:tc>
        <w:tc>
          <w:tcPr>
            <w:tcW w:type="dxa" w:w="28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切换算法</w:t>
            </w:r>
          </w:p>
        </w:tc>
        <w:tc>
          <w:tcPr>
            <w:tcW w:type="dxa" w:w="419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实际检索实现与页面选项一致。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TC-05</w:t>
            </w:r>
          </w:p>
        </w:tc>
        <w:tc>
          <w:tcPr>
            <w:tcW w:type="dxa" w:w="136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FR-07</w:t>
            </w:r>
          </w:p>
        </w:tc>
        <w:tc>
          <w:tcPr>
            <w:tcW w:type="dxa" w:w="28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空查询与异常参数</w:t>
            </w:r>
          </w:p>
        </w:tc>
        <w:tc>
          <w:tcPr>
            <w:tcW w:type="dxa" w:w="419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页面拒绝请求并展示明确提示。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TC-06</w:t>
            </w:r>
          </w:p>
        </w:tc>
        <w:tc>
          <w:tcPr>
            <w:tcW w:type="dxa" w:w="136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FR-09</w:t>
            </w:r>
          </w:p>
        </w:tc>
        <w:tc>
          <w:tcPr>
            <w:tcW w:type="dxa" w:w="28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人工小样本验证指标</w:t>
            </w:r>
          </w:p>
        </w:tc>
        <w:tc>
          <w:tcPr>
            <w:tcW w:type="dxa" w:w="419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Recall/MRR/NDCG与手算或标准实现吻合。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TC-07</w:t>
            </w:r>
          </w:p>
        </w:tc>
        <w:tc>
          <w:tcPr>
            <w:tcW w:type="dxa" w:w="136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FR-09/10</w:t>
            </w:r>
          </w:p>
        </w:tc>
        <w:tc>
          <w:tcPr>
            <w:tcW w:type="dxa" w:w="28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标准数据批量评价</w:t>
            </w:r>
          </w:p>
        </w:tc>
        <w:tc>
          <w:tcPr>
            <w:tcW w:type="dxa" w:w="419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CSV记录算法、参数、指标与运行环境。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TC-08</w:t>
            </w:r>
          </w:p>
        </w:tc>
        <w:tc>
          <w:tcPr>
            <w:tcW w:type="dxa" w:w="136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FR-11</w:t>
            </w:r>
          </w:p>
        </w:tc>
        <w:tc>
          <w:tcPr>
            <w:tcW w:type="dxa" w:w="28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浏览器端执行检索</w:t>
            </w:r>
          </w:p>
        </w:tc>
        <w:tc>
          <w:tcPr>
            <w:tcW w:type="dxa" w:w="419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返回真实算法数据，不采用硬编码模拟结果。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TC-09</w:t>
            </w:r>
          </w:p>
        </w:tc>
        <w:tc>
          <w:tcPr>
            <w:tcW w:type="dxa" w:w="136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FR-12/13</w:t>
            </w:r>
          </w:p>
        </w:tc>
        <w:tc>
          <w:tcPr>
            <w:tcW w:type="dxa" w:w="28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导入双页文本型PDF</w:t>
            </w:r>
          </w:p>
        </w:tc>
        <w:tc>
          <w:tcPr>
            <w:tcW w:type="dxa" w:w="419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结果能回溯文件、对应块和页码。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TC-10</w:t>
            </w:r>
          </w:p>
        </w:tc>
        <w:tc>
          <w:tcPr>
            <w:tcW w:type="dxa" w:w="136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FR-12</w:t>
            </w:r>
          </w:p>
        </w:tc>
        <w:tc>
          <w:tcPr>
            <w:tcW w:type="dxa" w:w="28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导入扫描/损坏PDF</w:t>
            </w:r>
          </w:p>
        </w:tc>
        <w:tc>
          <w:tcPr>
            <w:tcW w:type="dxa" w:w="419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失败提示且不会生成空索引。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TC-11</w:t>
            </w:r>
          </w:p>
        </w:tc>
        <w:tc>
          <w:tcPr>
            <w:tcW w:type="dxa" w:w="136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FR-14</w:t>
            </w:r>
          </w:p>
        </w:tc>
        <w:tc>
          <w:tcPr>
            <w:tcW w:type="dxa" w:w="289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融合排序检验</w:t>
            </w:r>
          </w:p>
        </w:tc>
        <w:tc>
          <w:tcPr>
            <w:tcW w:type="dxa" w:w="419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RRF排名计算符合公式，重复文献正确合并。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TC-12</w:t>
            </w:r>
          </w:p>
        </w:tc>
        <w:tc>
          <w:tcPr>
            <w:tcW w:type="dxa" w:w="136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FR-15</w:t>
            </w:r>
          </w:p>
        </w:tc>
        <w:tc>
          <w:tcPr>
            <w:tcW w:type="dxa" w:w="289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修改PDF后重建索引</w:t>
            </w:r>
          </w:p>
        </w:tc>
        <w:tc>
          <w:tcPr>
            <w:tcW w:type="dxa" w:w="419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旧索引不被当作新语料的有效索引。</w:t>
            </w:r>
          </w:p>
        </w:tc>
      </w:tr>
    </w:tbl>
    <w:p>
      <w:pPr>
        <w:spacing w:after="0"/>
      </w:pPr>
    </w:p>
    <w:p>
      <w:pPr>
        <w:pStyle w:val="Heading2"/>
      </w:pPr>
      <w:r>
        <w:t>8.1 版本验收门槛</w:t>
      </w:r>
    </w:p>
    <w:p>
      <w:r>
        <w:rPr>
          <w:rFonts w:ascii="Noto Sans CJK SC" w:hAnsi="Noto Sans CJK SC" w:eastAsia="Noto Sans CJK SC"/>
        </w:rPr>
        <w:t>V1.0最小验收：所有P0需求通过对应测试，三类检索算法均能在SciFact上运行，评价指标可信，Streamlit页面可以完成真实查询。P1增强验收：PDF导入、片段定位、RRF和索引缓存均通过相关测试。课程最终可根据排期保留尚未完成的P2功能，但必须在报告中明确说明。</w:t>
      </w:r>
    </w:p>
    <w:p>
      <w:pPr>
        <w:pStyle w:val="Heading1"/>
      </w:pPr>
      <w:r>
        <w:t>9. 开发任务与进度安排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701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701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685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2268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W1 需求与设计</w:t>
            </w:r>
          </w:p>
        </w:tc>
        <w:tc>
          <w:tcPr>
            <w:tcW w:type="dxa" w:w="170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10/19—10/25</w:t>
            </w:r>
          </w:p>
        </w:tc>
        <w:tc>
          <w:tcPr>
            <w:tcW w:type="dxa" w:w="368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SRS评审、数据结构、接口设计、页面草图</w:t>
            </w:r>
          </w:p>
        </w:tc>
        <w:tc>
          <w:tcPr>
            <w:tcW w:type="dxa" w:w="226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需求编号冻结，形成设计基线。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W2 传统检索</w:t>
            </w:r>
          </w:p>
        </w:tc>
        <w:tc>
          <w:tcPr>
            <w:tcW w:type="dxa" w:w="170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10/26—11/01</w:t>
            </w:r>
          </w:p>
        </w:tc>
        <w:tc>
          <w:tcPr>
            <w:tcW w:type="dxa" w:w="368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数据加载、预处理、TF-IDF、BM25</w:t>
            </w:r>
          </w:p>
        </w:tc>
        <w:tc>
          <w:tcPr>
            <w:tcW w:type="dxa" w:w="226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至少两类检索器可查询。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W3 语义与评价</w:t>
            </w:r>
          </w:p>
        </w:tc>
        <w:tc>
          <w:tcPr>
            <w:tcW w:type="dxa" w:w="170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11/02—11/08</w:t>
            </w:r>
          </w:p>
        </w:tc>
        <w:tc>
          <w:tcPr>
            <w:tcW w:type="dxa" w:w="368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SBERT、统一接口、公开基准测评</w:t>
            </w:r>
          </w:p>
        </w:tc>
        <w:tc>
          <w:tcPr>
            <w:tcW w:type="dxa" w:w="226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三算法生成可信指标表。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W4 PDF与混合</w:t>
            </w:r>
          </w:p>
        </w:tc>
        <w:tc>
          <w:tcPr>
            <w:tcW w:type="dxa" w:w="170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11/09—11/15</w:t>
            </w:r>
          </w:p>
        </w:tc>
        <w:tc>
          <w:tcPr>
            <w:tcW w:type="dxa" w:w="368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解析、分块、索引缓存、RRF</w:t>
            </w:r>
          </w:p>
        </w:tc>
        <w:tc>
          <w:tcPr>
            <w:tcW w:type="dxa" w:w="226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本地论文检索链路贯通。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W5 界面集成</w:t>
            </w:r>
          </w:p>
        </w:tc>
        <w:tc>
          <w:tcPr>
            <w:tcW w:type="dxa" w:w="170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11/16—11/22</w:t>
            </w:r>
          </w:p>
        </w:tc>
        <w:tc>
          <w:tcPr>
            <w:tcW w:type="dxa" w:w="368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Streamlit页面、算法比较、图表展示</w:t>
            </w:r>
          </w:p>
        </w:tc>
        <w:tc>
          <w:tcPr>
            <w:tcW w:type="dxa" w:w="226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按用例完成基本交互。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W6 验收交付</w:t>
            </w:r>
          </w:p>
        </w:tc>
        <w:tc>
          <w:tcPr>
            <w:tcW w:type="dxa" w:w="170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11/23—11/29</w:t>
            </w:r>
          </w:p>
        </w:tc>
        <w:tc>
          <w:tcPr>
            <w:tcW w:type="dxa" w:w="368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测试、修复、截图、报告、README</w:t>
            </w:r>
          </w:p>
        </w:tc>
        <w:tc>
          <w:tcPr>
            <w:tcW w:type="dxa" w:w="226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所有P0验收，整理提交物。</w:t>
            </w:r>
          </w:p>
        </w:tc>
      </w:tr>
    </w:tbl>
    <w:p>
      <w:pPr>
        <w:spacing w:after="0"/>
      </w:pPr>
    </w:p>
    <w:p>
      <w:pPr>
        <w:pStyle w:val="Heading2"/>
      </w:pPr>
      <w:r>
        <w:t>9.1 本周可执行任务（W1）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10/19：评审本说明书，确认P0/P1边界和系统名称。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10/20：确定 Document、Chunk、SearchResult 数据字段和ID策略。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10/21：确认TF-IDF/BM25/SBERT统一接口与索引保存位置。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10/22：画定查询、PDF导入、算法评价三条数据流程；制作页面低保真原型。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10/23—10/25：下载SciFact、检查文件格式，准备首批测试用例与环境说明。</w:t>
      </w:r>
    </w:p>
    <w:p>
      <w:pPr>
        <w:pStyle w:val="Heading2"/>
      </w:pPr>
      <w:r>
        <w:t>9.2 研发阶段质量门</w:t>
      </w:r>
    </w:p>
    <w:p>
      <w:r>
        <w:rPr>
          <w:rFonts w:ascii="Noto Sans CJK SC" w:hAnsi="Noto Sans CJK SC" w:eastAsia="Noto Sans CJK SC"/>
        </w:rPr>
        <w:t>每个阶段均需要交付“代码/设计资料 + 可执行验证 + 运行记录”。若第3周末三算法未形成统一评价结果，优先削减P1范围，避免把工期耗在UI美化上。</w:t>
      </w:r>
    </w:p>
    <w:p>
      <w:pPr>
        <w:pStyle w:val="Heading1"/>
      </w:pPr>
      <w:r>
        <w:t>10. 风险、决策与待确认事项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835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6520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控制办法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预训练模型下载或显存问题</w:t>
            </w:r>
          </w:p>
        </w:tc>
        <w:tc>
          <w:tcPr>
            <w:tcW w:type="dxa" w:w="652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优先采用轻量模型，首次安装后缓存模型，必要时CPU模式运行。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PDF双栏、公式及扫描件解析失真</w:t>
            </w:r>
          </w:p>
        </w:tc>
        <w:tc>
          <w:tcPr>
            <w:tcW w:type="dxa" w:w="652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保留原页码、记录提取失败；扫描PDF暂不承诺OCR。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语义向量无法有效处理长PDF</w:t>
            </w:r>
          </w:p>
        </w:tc>
        <w:tc>
          <w:tcPr>
            <w:tcW w:type="dxa" w:w="652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采用分块编码，保存块→文献映射；控制模型输入长度。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公开基准与领域检索结果不一致</w:t>
            </w:r>
          </w:p>
        </w:tc>
        <w:tc>
          <w:tcPr>
            <w:tcW w:type="dxa" w:w="652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分别报告两个数据集的结果，不制造总体“准确率”。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领域相关性标注偏差</w:t>
            </w:r>
          </w:p>
        </w:tc>
        <w:tc>
          <w:tcPr>
            <w:tcW w:type="dxa" w:w="652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保留标注规则与示例，后续邀请第二标注者复核。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数据/索引版本漂移</w:t>
            </w:r>
          </w:p>
        </w:tc>
        <w:tc>
          <w:tcPr>
            <w:tcW w:type="dxa" w:w="6520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索引保存哈希、模型信息和参数，新增PDF后校验。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项目时间不足</w:t>
            </w:r>
          </w:p>
        </w:tc>
        <w:tc>
          <w:tcPr>
            <w:tcW w:type="dxa" w:w="6520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优先完成P0，再实施PDF、RRF和跨语言增强。</w:t>
            </w:r>
          </w:p>
        </w:tc>
      </w:tr>
    </w:tbl>
    <w:p>
      <w:pPr>
        <w:spacing w:after="0"/>
      </w:pPr>
    </w:p>
    <w:p>
      <w:pPr>
        <w:pStyle w:val="Heading2"/>
      </w:pPr>
      <w:r>
        <w:t>10.1 待评审的产品决策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Q1：课程实际截止日期是否早于本6周建议排期？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Q2：PDF文献库的初期交付是否按30—50份组织？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Q3：是否将PDF导入升级为P0（老师是否要求现场上传自己的论文）？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Q4：跨语言检索是否作为答辩演示而非量化必做项？</w:t>
      </w:r>
    </w:p>
    <w:p>
      <w:pPr>
        <w:pStyle w:val="Heading2"/>
      </w:pPr>
      <w:r>
        <w:t>10.2 需求变更规则</w:t>
      </w:r>
    </w:p>
    <w:p>
      <w:r>
        <w:rPr>
          <w:rFonts w:ascii="Noto Sans CJK SC" w:hAnsi="Noto Sans CJK SC" w:eastAsia="Noto Sans CJK SC"/>
        </w:rPr>
        <w:t>任何新增功能应填写变更编号、需求原因、优先级变化、预计工时与受影响模块。新增P2功能不得阻塞核心评价实验。修改后的SRS版本号随评审结果递增，例如V1.1。</w:t>
      </w:r>
    </w:p>
    <w:p>
      <w:pPr>
        <w:pStyle w:val="Heading1"/>
      </w:pPr>
      <w:r>
        <w:t>11. 需求追踪矩阵（摘要）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871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需求组</w:t>
            </w:r>
          </w:p>
        </w:tc>
        <w:tc>
          <w:tcPr>
            <w:tcW w:type="dxa" w:w="2835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相关模块</w:t>
            </w:r>
          </w:p>
        </w:tc>
        <w:tc>
          <w:tcPr>
            <w:tcW w:type="dxa" w:w="2551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测试/证据</w:t>
            </w:r>
          </w:p>
        </w:tc>
        <w:tc>
          <w:tcPr>
            <w:tcW w:type="dxa" w:w="2098"/>
            <w:shd w:fill="1C3553"/>
            <w:vAlign w:val="center"/>
            <w:tcBorders>
              <w:top w:val="single" w:color="1C3553" w:sz="3"/>
              <w:left w:val="single" w:color="1C3553" w:sz="3"/>
              <w:bottom w:val="single" w:color="1C3553" w:sz="3"/>
              <w:right w:val="single" w:color="1C3553" w:sz="3"/>
            </w:tcBorders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FR-01~02</w:t>
            </w:r>
          </w:p>
        </w:tc>
        <w:tc>
          <w:tcPr>
            <w:tcW w:type="dxa" w:w="283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数据读取、预处理</w:t>
            </w:r>
          </w:p>
        </w:tc>
        <w:tc>
          <w:tcPr>
            <w:tcW w:type="dxa" w:w="255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TC-01、TC-02</w:t>
            </w:r>
          </w:p>
        </w:tc>
        <w:tc>
          <w:tcPr>
            <w:tcW w:type="dxa" w:w="209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FR-03~06</w:t>
            </w:r>
          </w:p>
        </w:tc>
        <w:tc>
          <w:tcPr>
            <w:tcW w:type="dxa" w:w="283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三类检索器、检索服务</w:t>
            </w:r>
          </w:p>
        </w:tc>
        <w:tc>
          <w:tcPr>
            <w:tcW w:type="dxa" w:w="255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TC-03、TC-04</w:t>
            </w:r>
          </w:p>
        </w:tc>
        <w:tc>
          <w:tcPr>
            <w:tcW w:type="dxa" w:w="209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FR-07~11</w:t>
            </w:r>
          </w:p>
        </w:tc>
        <w:tc>
          <w:tcPr>
            <w:tcW w:type="dxa" w:w="283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Web界面、评价器</w:t>
            </w:r>
          </w:p>
        </w:tc>
        <w:tc>
          <w:tcPr>
            <w:tcW w:type="dxa" w:w="255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TC-05~08</w:t>
            </w:r>
          </w:p>
        </w:tc>
        <w:tc>
          <w:tcPr>
            <w:tcW w:type="dxa" w:w="209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FR-12~13</w:t>
            </w:r>
          </w:p>
        </w:tc>
        <w:tc>
          <w:tcPr>
            <w:tcW w:type="dxa" w:w="283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PDF解析、Chunk索引</w:t>
            </w:r>
          </w:p>
        </w:tc>
        <w:tc>
          <w:tcPr>
            <w:tcW w:type="dxa" w:w="255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TC-09、TC-10</w:t>
            </w:r>
          </w:p>
        </w:tc>
        <w:tc>
          <w:tcPr>
            <w:tcW w:type="dxa" w:w="209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增强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FR-14~16</w:t>
            </w:r>
          </w:p>
        </w:tc>
        <w:tc>
          <w:tcPr>
            <w:tcW w:type="dxa" w:w="2835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RRF、索引管理、解释信息</w:t>
            </w:r>
          </w:p>
        </w:tc>
        <w:tc>
          <w:tcPr>
            <w:tcW w:type="dxa" w:w="2551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TC-11、TC-12</w:t>
            </w:r>
          </w:p>
        </w:tc>
        <w:tc>
          <w:tcPr>
            <w:tcW w:type="dxa" w:w="2098"/>
            <w:vAlign w:val="center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增强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FR-17~18</w:t>
            </w:r>
          </w:p>
        </w:tc>
        <w:tc>
          <w:tcPr>
            <w:tcW w:type="dxa" w:w="2835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多语言模型、向量索引</w:t>
            </w:r>
          </w:p>
        </w:tc>
        <w:tc>
          <w:tcPr>
            <w:tcW w:type="dxa" w:w="2551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拓展阶段新增测试</w:t>
            </w:r>
          </w:p>
        </w:tc>
        <w:tc>
          <w:tcPr>
            <w:tcW w:type="dxa" w:w="2098"/>
            <w:vAlign w:val="center"/>
            <w:shd w:fill="F4F7FA"/>
            <w:tcBorders>
              <w:top w:val="single" w:color="E2EAF0" w:sz="3"/>
              <w:left w:val="single" w:color="E2EAF0" w:sz="3"/>
              <w:bottom w:val="single" w:color="E2EAF0" w:sz="3"/>
              <w:right w:val="single" w:color="E2EAF0" w:sz="3"/>
            </w:tcBorders>
          </w:tcPr>
          <w:p>
            <w:pPr>
              <w:spacing w:after="40" w:before="40" w:line="274" w:lineRule="auto"/>
            </w:pPr>
            <w:r>
              <w:rPr>
                <w:rFonts w:ascii="Noto Sans CJK SC" w:hAnsi="Noto Sans CJK SC" w:eastAsia="Noto Sans CJK SC"/>
                <w:color w:val="263547"/>
                <w:sz w:val="16"/>
              </w:rPr>
              <w:t>拓展</w:t>
            </w:r>
          </w:p>
        </w:tc>
      </w:tr>
    </w:tbl>
    <w:p>
      <w:pPr>
        <w:spacing w:after="0"/>
      </w:pPr>
    </w:p>
    <w:p>
      <w:pPr>
        <w:pStyle w:val="Heading2"/>
      </w:pPr>
      <w:r>
        <w:t>参考资料</w:t>
      </w:r>
    </w:p>
    <w:p>
      <w:r>
        <w:rPr>
          <w:rFonts w:ascii="Noto Sans CJK SC" w:hAnsi="Noto Sans CJK SC" w:eastAsia="Noto Sans CJK SC"/>
        </w:rPr>
        <w:t>BEIR 官方项目及使用说明：https://github.com/beir-cellar/beir</w:t>
      </w:r>
    </w:p>
    <w:p>
      <w:r>
        <w:rPr>
          <w:rFonts w:ascii="Noto Sans CJK SC" w:hAnsi="Noto Sans CJK SC" w:eastAsia="Noto Sans CJK SC"/>
        </w:rPr>
        <w:t>BEIR 数据集列表（SciFact）：https://github.com/beir-cellar/beir/wiki/Datasets-available</w:t>
      </w:r>
    </w:p>
    <w:p>
      <w:r>
        <w:rPr>
          <w:rFonts w:ascii="Noto Sans CJK SC" w:hAnsi="Noto Sans CJK SC" w:eastAsia="Noto Sans CJK SC"/>
        </w:rPr>
        <w:t>Sentence Transformers 语义检索文档：https://sbert.net/examples/sentence_transformer/applications/semantic-search/README.html</w:t>
      </w:r>
    </w:p>
    <w:p>
      <w:r>
        <w:rPr>
          <w:rFonts w:ascii="Noto Sans CJK SC" w:hAnsi="Noto Sans CJK SC" w:eastAsia="Noto Sans CJK SC"/>
        </w:rPr>
        <w:t>PyMuPDF 文档：https://pymupdf.readthedocs.io/</w:t>
      </w:r>
    </w:p>
    <w:p>
      <w:r>
        <w:rPr>
          <w:rFonts w:ascii="Noto Sans CJK SC" w:hAnsi="Noto Sans CJK SC" w:eastAsia="Noto Sans CJK SC"/>
        </w:rPr>
        <w:t>Streamlit 文档：https://docs.streamlit.io/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32" w:right="1361" w:bottom="1219" w:left="1474" w:header="624" w:footer="63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2657A"/>
        <w:sz w:val="16"/>
      </w:rPr>
      <w:t xml:space="preserve">PaperSeek · SRS V1.0  |  2026-10-19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2657A"/>
        <w:sz w:val="15"/>
      </w:rPr>
      <w:t>PaperSeek  /  软件需求规格说明书与概要设计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5" w:lineRule="auto"/>
    </w:pPr>
    <w:rPr>
      <w:rFonts w:ascii="Noto Sans CJK SC" w:hAnsi="Noto Sans CJK SC" w:eastAsia="Noto Sans CJK SC"/>
      <w:color w:val="2531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5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7C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55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C35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1C355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PaperSeek 软件需求规格说明书与系统概要设计 V1.0</dc:title>
  <dc:subject>自然语言处理课程设计；需求分析与系统概要设计</dc:subject>
  <dc:creator>PaperSeek Project</dc:creator>
  <cp:keywords>NLP; SciFact; TF-IDF; BM25; SBERT; SRS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