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00" w:after="200"/>
        <w:jc w:val="center"/>
      </w:pPr>
      <w:r>
        <w:rPr>
          <w:rFonts w:hint="eastAsia" w:ascii="Arial" w:hAnsi="Arial" w:eastAsia="Arial" w:cs="Arial"/>
          <w:b w:val="1"/>
          <w:bCs w:val="1"/>
          <w:color w:val="1F4E79"/>
          <w:sz w:val="40"/>
          <w:szCs w:val="40"/>
        </w:rPr>
        <w:t>IT 资产管理系统 vs Snipe-IT 演示系统</w:t>
      </w:r>
    </w:p>
    <w:p>
      <w:pPr>
        <w:spacing w:after="400"/>
        <w:jc w:val="center"/>
      </w:pPr>
      <w:r>
        <w:rPr>
          <w:rFonts w:hint="eastAsia" w:ascii="Arial" w:hAnsi="Arial" w:eastAsia="Arial" w:cs="Arial"/>
          <w:color w:val="2E75B6"/>
          <w:sz w:val="28"/>
          <w:szCs w:val="28"/>
        </w:rPr>
        <w:t>对比分析与改进建议报告</w:t>
      </w:r>
    </w:p>
    <w:p>
      <w:pPr>
        <w:spacing w:after="600"/>
        <w:jc w:val="center"/>
      </w:pPr>
      <w:r>
        <w:rPr>
          <w:rFonts w:hint="eastAsia" w:ascii="Arial" w:hAnsi="Arial" w:eastAsia="Arial" w:cs="Arial"/>
          <w:color w:val="666666"/>
          <w:sz w:val="20"/>
          <w:szCs w:val="20"/>
        </w:rPr>
        <w:t>参考系统：https://demo.snipeitapp.com/（admin / password）</w:t>
      </w:r>
    </w:p>
    <w:p>
      <w:pPr>
        <w:pStyle w:val="000003"/>
      </w:pPr>
      <w:r>
        <w:rPr>
          <w:rFonts w:hint="eastAsia" w:ascii="Arial" w:hAnsi="Arial" w:eastAsia="Arial" w:cs="Arial"/>
        </w:rPr>
        <w:t>一、总体结论</w:t>
      </w:r>
    </w:p>
    <w:p>
      <w:pPr>
        <w:spacing w:before="80" w:after="80"/>
      </w:pPr>
      <w:r>
        <w:rPr>
          <w:rFonts w:hint="eastAsia" w:ascii="Arial" w:hAnsi="Arial" w:eastAsia="Arial" w:cs="Arial"/>
          <w:sz w:val="21"/>
          <w:szCs w:val="21"/>
        </w:rPr>
        <w:t>通过登录 Snipe-IT 官方演示环境并遍历其主要模块，发现我司系统在“站点隔离”和基础资产管理流程上已经具备雏形，但在数据模型完整性、资产全生命周期管理、报表分析、权限粒度及用户体验方面与 Snipe-IT 存在明显差距。Snipe-IT 的核心优势在于：资产-模型-分类三级数据模型、状态标签驱动的全生命周期、以及围绕“Checkout/Checkin/Audit/Maintenance”形成的使用闭环。</w:t>
      </w:r>
    </w:p>
    <w:p>
      <w:pPr>
        <w:pStyle w:val="000003"/>
      </w:pPr>
      <w:r>
        <w:rPr>
          <w:rFonts w:hint="eastAsia" w:ascii="Arial" w:hAnsi="Arial" w:eastAsia="Arial" w:cs="Arial"/>
        </w:rPr>
        <w:t>二、功能模块对比总览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b w:val="1"/>
                <w:bCs w:val="1"/>
                <w:sz w:val="21"/>
                <w:szCs w:val="21"/>
              </w:rPr>
              <w:t>模块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b w:val="1"/>
                <w:bCs w:val="1"/>
                <w:sz w:val="21"/>
                <w:szCs w:val="21"/>
              </w:rPr>
              <w:t>我司系统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b w:val="1"/>
                <w:bCs w:val="1"/>
                <w:sz w:val="21"/>
                <w:szCs w:val="21"/>
              </w:rPr>
              <w:t>Snipe-IT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b w:val="1"/>
                <w:bCs w:val="1"/>
                <w:sz w:val="21"/>
                <w:szCs w:val="21"/>
              </w:rPr>
              <w:t>差距说明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资产模型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无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Asset Models（18种）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缺失模型层，资产直接挂分类，难以统一规格、EOL、折旧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资产分类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有，单一类型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Categories（多类型：Asset/Accessory/Consumable/Component/License）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分类未区分资产/耗材/组件/许可证，复用性弱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状态管理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简单状态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Status Labels（Deployable/Undeployable/Archived/Pending）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缺少可部署性语义，无法阻止非可用资产被领用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资产台账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基础字段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完整字段+自定义字段+图片+二维码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缺少当前价值、折旧、EOL、维护、审计、附件等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资产流转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资产使用记录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Checkout/Checkin（用户/资产/地点）+ 邮件确认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缺少预期归还日期、签收、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邮件通知、EULA 确认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配件/组件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无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Accessories + Components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完全缺失，键盘/鼠标/内存/硬盘等无法管理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许可证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基础信息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Seats 管理 + 到期提醒 + 制造商关联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缺少座位（Seat）数量、可用数、到期预警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耗材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有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总量/剩余/最低库存/成本/出入库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已具备基础，但缺少最低库存预警、进度条、成本统计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厂商/供应商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无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Manufacturers + Suppliers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无法追踪资产来源、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支持信息、供应商分布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公司/地点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存放地点 + 站点隔离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Companies + Locations（层级）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地点缺少父子层级；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未抽象“公司”维度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部门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有，已站点隔离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部门+经理+地点+人数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缺少部门经理、地点关联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用户/员工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基础用户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People + Groups + 管理范围 + 登录开关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缺少用户组、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管理范围（用户/地点）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登录启用控制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审计/盘点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盘点单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Audit（位置核实+下次审计日+图片）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盘点功能较弱，缺少位置核对、审计周期、拍照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维护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无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Maintenances（保修/成本/完成状态）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缺失，无法记录维修历史和成本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报表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仪表盘6卡片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多维度报表+图表+导出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缺少活动日志、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折旧报表、审计/归还预警、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自定义报表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自定义字段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无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Custom Fields + Fieldsets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无法按模型扩展字段，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RAM/CPU/MAC 等需硬编码</w:t>
            </w:r>
          </w:p>
        </w:tc>
      </w:tr>
      <w:tr>
        <w:trPr/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导入导出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CSV 导入资产/耗材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全模块导入+导出+导入历史</w:t>
            </w:r>
          </w:p>
        </w:tc>
        <w:tc>
          <w:tcPr>
            <w:tcW w:w="2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已具备资产/耗材导入，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建议扩展至所有主数据</w:t>
            </w:r>
          </w:p>
        </w:tc>
      </w:tr>
    </w:tbl>
    <w:p>
      <w:pPr>
        <w:pStyle w:val="000003"/>
      </w:pPr>
      <w:r>
        <w:rPr>
          <w:rFonts w:hint="eastAsia" w:ascii="Arial" w:hAnsi="Arial" w:eastAsia="Arial" w:cs="Arial"/>
        </w:rPr>
        <w:t>三、重点改进建议</w:t>
      </w:r>
    </w:p>
    <w:p>
      <w:pPr>
        <w:pStyle w:val="000004"/>
      </w:pPr>
      <w:r>
        <w:rPr>
          <w:rFonts w:hint="eastAsia" w:ascii="Arial" w:hAnsi="Arial" w:eastAsia="Arial" w:cs="Arial"/>
        </w:rPr>
        <w:t>3.1 数据模型层：补齐“模型”与“状态标签”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新增资产模型（Asset Model）表：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字段：模型名称、型号、图片、分类、制造商、EOL（月）、字段集（Fieldset）、默认图片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资产表通过 model_id 关联模型，继承分类、制造商、EOL、字段集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重构状态管理：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Status Labels 增加“可部署/不可部署/已归档/待处理”类型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只有 Deployable 状态的资产才允许 Checkout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状态标签支持颜色、默认标签、侧边栏展示</w:t>
      </w:r>
    </w:p>
    <w:p>
      <w:pPr>
        <w:pStyle w:val="000004"/>
      </w:pPr>
      <w:r>
        <w:rPr>
          <w:rFonts w:hint="eastAsia" w:ascii="Arial" w:hAnsi="Arial" w:eastAsia="Arial" w:cs="Arial"/>
        </w:rPr>
        <w:t>3.2 资产全生命周期：Checkout / Checkin / Audit / Maintenance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领用归还闭环：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Checkout 时可选择“用户/资产/地点”，并指定预期归还日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Checkin 时记录归还日期、状态、备注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增加邮件通知与 EULA/签收确认（可选）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审计（Audit）：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按资产记录实际位置、审计日期、下次审计日、审计照片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与现有盘点单结合，形成“计划盘点 → 现场审计 → 差异处理”流程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维护（Maintenance）：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记录维修/保养类型、开始日期、预计完成、实际成本、保修状态</w:t>
      </w:r>
    </w:p>
    <w:p>
      <w:pPr>
        <w:pStyle w:val="000004"/>
      </w:pPr>
      <w:r>
        <w:rPr>
          <w:rFonts w:hint="eastAsia" w:ascii="Arial" w:hAnsi="Arial" w:eastAsia="Arial" w:cs="Arial"/>
        </w:rPr>
        <w:t>3.3 扩展资产类型：配件与组件</w:t>
      </w:r>
    </w:p>
    <w:p>
      <w:pPr>
        <w:spacing w:before="80" w:after="80"/>
      </w:pPr>
      <w:r>
        <w:rPr>
          <w:rFonts w:hint="eastAsia" w:ascii="Arial" w:hAnsi="Arial" w:eastAsia="Arial" w:cs="Arial"/>
          <w:sz w:val="21"/>
          <w:szCs w:val="21"/>
        </w:rPr>
        <w:t>Snipe-IT 将非固定资产拆分为 Accessories（配件，可重复领用，如键盘鼠标）和 Components（组件，可拆换，如内存硬盘）。建议：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新增 Accessories 模块：总量、已领用、剩余、最低库存、成本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新增 Components 模块：可安装到具体资产上，支持出入库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统一分类表增加 type 字段区分 Asset/Accessory/Component/Consumable/License</w:t>
      </w:r>
    </w:p>
    <w:p>
      <w:pPr>
        <w:pStyle w:val="000004"/>
      </w:pPr>
      <w:r>
        <w:rPr>
          <w:rFonts w:hint="eastAsia" w:ascii="Arial" w:hAnsi="Arial" w:eastAsia="Arial" w:cs="Arial"/>
        </w:rPr>
        <w:t>3.4 厂商、供应商、公司与地点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新增 Manufacturers 与 Suppliers：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Manufacturer：名称、官网、支持电话/邮箱，关联模型与许可证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Supplier：名称、地址、联系人，关联采购订单与资产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地点层级化：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存放地点支持 parent_id，形成“国家 → 城市 → 楼栋 → 机房”层级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每个地点统计下辖人员、资产、耗材数量</w:t>
      </w:r>
    </w:p>
    <w:p>
      <w:pPr>
        <w:pStyle w:val="000004"/>
      </w:pPr>
      <w:r>
        <w:rPr>
          <w:rFonts w:hint="eastAsia" w:ascii="Arial" w:hAnsi="Arial" w:eastAsia="Arial" w:cs="Arial"/>
        </w:rPr>
        <w:t>3.5 折旧与当前价值</w:t>
      </w:r>
    </w:p>
    <w:p>
      <w:pPr>
        <w:spacing w:before="80" w:after="80"/>
      </w:pPr>
      <w:r>
        <w:rPr>
          <w:rFonts w:hint="eastAsia" w:ascii="Arial" w:hAnsi="Arial" w:eastAsia="Arial" w:cs="Arial"/>
          <w:sz w:val="21"/>
          <w:szCs w:val="21"/>
        </w:rPr>
        <w:t>Snipe-IT 资产详情页展示 Current Value、折旧进度条、完全折旧日期。建议：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为资产/模型增加折旧策略（直线法、年限），按月计算当前价值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仪表盘增加“资产总值”与“累计折旧”两个核心指标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资产详情页显示设备 EOL 与折旧进度</w:t>
      </w:r>
    </w:p>
    <w:p>
      <w:pPr>
        <w:pStyle w:val="000004"/>
      </w:pPr>
      <w:r>
        <w:rPr>
          <w:rFonts w:hint="eastAsia" w:ascii="Arial" w:hAnsi="Arial" w:eastAsia="Arial" w:cs="Arial"/>
        </w:rPr>
        <w:t>3.6 自定义字段（Custom Fields）</w:t>
      </w:r>
    </w:p>
    <w:p>
      <w:pPr>
        <w:spacing w:before="80" w:after="80"/>
      </w:pPr>
      <w:r>
        <w:rPr>
          <w:rFonts w:hint="eastAsia" w:ascii="Arial" w:hAnsi="Arial" w:eastAsia="Arial" w:cs="Arial"/>
          <w:sz w:val="21"/>
          <w:szCs w:val="21"/>
        </w:rPr>
        <w:t>Snipe-IT 通过 Fieldsets + Custom Fields 实现按模型扩展字段，无需改表即可增加 RAM/CPU/MAC/购买日期等。建议：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新增 fieldsets 与 custom_fields 表，支持文本、数字、日期、下拉、复选、单选、加密等类型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模型绑定字段集，资产继承并按需填写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自定义字段参与搜索、导出、报表</w:t>
      </w:r>
    </w:p>
    <w:p>
      <w:pPr>
        <w:pStyle w:val="000004"/>
      </w:pPr>
      <w:r>
        <w:rPr>
          <w:rFonts w:hint="eastAsia" w:ascii="Arial" w:hAnsi="Arial" w:eastAsia="Arial" w:cs="Arial"/>
        </w:rPr>
        <w:t>3.7 报表与预警</w:t>
      </w:r>
    </w:p>
    <w:p>
      <w:pPr>
        <w:spacing w:before="80" w:after="80"/>
      </w:pPr>
      <w:r>
        <w:rPr>
          <w:rFonts w:hint="eastAsia" w:ascii="Arial" w:hAnsi="Arial" w:eastAsia="Arial" w:cs="Arial"/>
          <w:sz w:val="21"/>
          <w:szCs w:val="21"/>
        </w:rPr>
        <w:t>参考 Snipe-IT Reports 页面，建议分阶段补充：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活动报表（Activity Report）：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记录资产的创建、领用、归还、审计、维护等全生命周期事件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自定义资产报表：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按分类、状态、地点、部门、站点筛选并导出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预警看板：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到期审计、到期归还、许可证到期、耗材低库存</w:t>
      </w:r>
    </w:p>
    <w:p>
      <w:pPr>
        <w:pStyle w:val="00000a"/>
        <w:numPr>
          <w:ilvl w:val="0"/>
          <w:numId w:val="1"/>
        </w:numPr>
      </w:pPr>
      <w:r>
        <w:rPr>
          <w:rFonts w:hint="eastAsia" w:ascii="Arial" w:hAnsi="Arial" w:eastAsia="Arial" w:cs="Arial"/>
          <w:b w:val="1"/>
          <w:bCs w:val="1"/>
          <w:sz w:val="21"/>
          <w:szCs w:val="21"/>
        </w:rPr>
        <w:t>图表化：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资产按状态分布饼图、各模块数量趋势图、地点分布图</w:t>
      </w:r>
    </w:p>
    <w:p>
      <w:pPr>
        <w:pStyle w:val="000004"/>
      </w:pPr>
      <w:r>
        <w:rPr>
          <w:rFonts w:hint="eastAsia" w:ascii="Arial" w:hAnsi="Arial" w:eastAsia="Arial" w:cs="Arial"/>
        </w:rPr>
        <w:t>3.8 权限与用户管理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引入用户组（Groups）与基于组的 ACL，替代当前简单的 role=1/2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支持“管理范围”：指定用户可管理的部门、地点、站点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普通用户已按站点隔离，后续可限制其仅能查看/操作本人名下资产</w:t>
      </w:r>
    </w:p>
    <w:p>
      <w:pPr>
        <w:pStyle w:val="000004"/>
      </w:pPr>
      <w:r>
        <w:rPr>
          <w:rFonts w:hint="eastAsia" w:ascii="Arial" w:hAnsi="Arial" w:eastAsia="Arial" w:cs="Arial"/>
        </w:rPr>
        <w:t>3.9 UI/UX 改进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列表页统一增加：列选择器、刷新、导出、打印、全屏、批量操作、高级搜索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资产列表增加图片缩略图、状态色标、Current Value、Checkout 按钮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资产详情页采用标签页：Details / Licenses / Components / Accessories / Maintenances / Audits / Notes / Files</w:t>
      </w:r>
    </w:p>
    <w:p>
      <w:pPr>
        <w:pStyle w:val="00000a"/>
        <w:numPr>
          <w:ilvl w:val="0"/>
          <w:numId w:val="2"/>
        </w:numPr>
      </w:pPr>
      <w:r>
        <w:rPr>
          <w:rFonts w:hint="eastAsia" w:ascii="Arial" w:hAnsi="Arial" w:eastAsia="Arial" w:cs="Arial"/>
          <w:sz w:val="21"/>
          <w:szCs w:val="21"/>
        </w:rPr>
        <w:t>耗材/许可证/配件列表增加剩余数量进度条与最低库存预警色</w:t>
      </w:r>
    </w:p>
    <w:p>
      <w:pPr>
        <w:pStyle w:val="000003"/>
      </w:pPr>
      <w:r>
        <w:rPr>
          <w:rFonts w:hint="eastAsia" w:ascii="Arial" w:hAnsi="Arial" w:eastAsia="Arial" w:cs="Arial"/>
        </w:rPr>
        <w:t>四、推荐实施优先级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360"/>
      </w:tblGrid>
      <w:tr>
        <w:trPr/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b w:val="1"/>
                <w:bCs w:val="1"/>
                <w:sz w:val="21"/>
                <w:szCs w:val="21"/>
              </w:rPr>
              <w:t>优先级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b w:val="1"/>
                <w:bCs w:val="1"/>
                <w:sz w:val="21"/>
                <w:szCs w:val="21"/>
              </w:rPr>
              <w:t>改进项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b w:val="1"/>
                <w:bCs w:val="1"/>
                <w:sz w:val="21"/>
                <w:szCs w:val="21"/>
              </w:rPr>
              <w:t>预期收益</w:t>
            </w:r>
          </w:p>
        </w:tc>
      </w:tr>
      <w:tr>
        <w:trPr/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P0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（立即）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1. 资产模型（Model）与制造商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2. 状态标签（Status Labels）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3. 资产折旧/当前价值/EOL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夯实数据模型，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为后续全生命周期管理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奠定基础</w:t>
            </w:r>
          </w:p>
        </w:tc>
      </w:tr>
      <w:tr>
        <w:trPr/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P1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（短期）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1. Checkout/Checkin 闭环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2. Audit 审计流程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3. 耗材最低库存预警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4. 报表与活动日志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形成资产使用闭环，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提升盘点与成本管控能力</w:t>
            </w:r>
          </w:p>
        </w:tc>
      </w:tr>
      <w:tr>
        <w:trPr/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P2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（中期）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1. Accessories / Components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2. Maintenance 维护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3. 自定义字段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4. 地点层级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覆盖非固定资产与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维修场景，提升系统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完整度</w:t>
            </w:r>
          </w:p>
        </w:tc>
      </w:tr>
      <w:tr>
        <w:trPr/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 w:eastAsia="Arial" w:cs="Arial"/>
                <w:sz w:val="21"/>
                <w:szCs w:val="21"/>
              </w:rPr>
              <w:t>P3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（长期）</w:t>
            </w:r>
          </w:p>
        </w:tc>
        <w:tc>
          <w:tcPr>
            <w:tcW w:w="4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1. 用户组与 ACL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2. 高级报表/BI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3. 邮件/EULA 签收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4. API 与移动端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提升权限粒度与</w:t>
            </w:r>
          </w:p>
          <w:p>
            <w:pPr>
              <w:spacing w:before="40" w:after="40"/>
            </w:pPr>
            <w:r>
              <w:rPr>
                <w:rFonts w:hint="eastAsia" w:ascii="Arial" w:hAnsi="Arial" w:eastAsia="Arial" w:cs="Arial"/>
                <w:sz w:val="21"/>
                <w:szCs w:val="21"/>
              </w:rPr>
              <w:t>企业级扩展能力</w:t>
            </w:r>
          </w:p>
        </w:tc>
      </w:tr>
    </w:tbl>
    <w:p>
      <w:pPr>
        <w:pStyle w:val="000003"/>
      </w:pPr>
      <w:r>
        <w:rPr>
          <w:rFonts w:hint="eastAsia" w:ascii="Arial" w:hAnsi="Arial" w:eastAsia="Arial" w:cs="Arial"/>
        </w:rPr>
        <w:t>五、总结</w:t>
      </w:r>
    </w:p>
    <w:p>
      <w:pPr>
        <w:spacing w:before="80" w:after="80"/>
      </w:pPr>
      <w:r>
        <w:rPr>
          <w:rFonts w:hint="eastAsia" w:ascii="Arial" w:hAnsi="Arial" w:eastAsia="Arial" w:cs="Arial"/>
          <w:sz w:val="21"/>
          <w:szCs w:val="21"/>
        </w:rPr>
        <w:t>Snipe-IT 作为成熟开源资产管理系统，其最大借鉴价值不在于一次性复制全部功能，而在于建立“模型-资产-状态-流转-审计-维护-报表”的完整闭环。建议优先补齐数据模型层（模型、状态标签、折旧），再围绕 Checkout/Checkin/Audit 打造资产使用闭环，最后逐步扩展 Accessories、Components、Maintenance、自定义字段等企业级能力。这样既能快速提升系统专业度，又能避免一次性改动过大带来的稳定性风险。</w:t>
      </w:r>
    </w:p>
    <w:sectPr>
      <w:headerReference r:id="rId6" w:type="default"/>
      <w:footerReference r:id="rId7" w:type="default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="http://schemas.openxmlformats.org/wordprocessingml/2006/main">
  <w:endnote w:type="continuationSeparator" w:id="0">
    <w:p>
      <w:pPr>
        <w:spacing w:after="0" w:line="240" w:lineRule="auto"/>
      </w:pPr>
      <w:r>
        <w:rPr>
          <w:rStyle w:val="000010"/>
        </w:rPr>
        <w:endnoteRef/>
      </w:r>
      <w:r>
        <w:continuationSeparator/>
      </w:r>
    </w:p>
  </w:endnote>
  <w:endnote w:type="separator" w:id="1">
    <w:p>
      <w:pPr>
        <w:spacing w:after="0" w:line="240" w:lineRule="auto"/>
      </w:pPr>
      <w:r>
        <w:rPr>
          <w:rStyle w:val="000010"/>
        </w:rPr>
        <w:endnoteRef/>
      </w:r>
      <w:r>
        <w:separator/>
      </w:r>
    </w:p>
  </w:endnote>
</w:endnotes>
</file>

<file path=word/fontTable.xml><?xml version="1.0" encoding="utf-8"?>
<w:fonts xmlns:w="http://schemas.openxmlformats.org/wordprocessingml/2006/main"/>
</file>

<file path=word/footer1.xml><?xml version="1.0" encoding="utf-8"?>
<w:ftr xmlns:w="http://schemas.openxmlformats.org/wordprocessingml/2006/main">
  <w:p>
    <w:pPr>
      <w:jc w:val="center"/>
    </w:pPr>
    <w:r>
      <w:rPr>
        <w:rFonts w:hint="eastAsia" w:ascii="Arial" w:hAnsi="Arial" w:eastAsia="Arial" w:cs="Arial"/>
        <w:sz w:val="18"/>
        <w:szCs w:val="18"/>
      </w:rPr>
      <w:t xml:space="preserve">第 </w:t>
    </w:r>
    <w:r>
      <w:rPr>
        <w:rFonts w:ascii="Arial" w:hAnsi="Arial" w:eastAsia="Arial" w:cs="Arial"/>
        <w:sz w:val="18"/>
        <w:szCs w:val="18"/>
      </w:rPr>
      <w:fldChar w:fldCharType="begin"/>
    </w:r>
    <w:r>
      <w:rPr>
        <w:rFonts w:ascii="Arial" w:hAnsi="Arial" w:eastAsia="Arial" w:cs="Arial"/>
        <w:sz w:val="18"/>
        <w:szCs w:val="18"/>
      </w:rPr>
      <w:instrText>PAGE</w:instrText>
    </w:r>
    <w:r>
      <w:rPr>
        <w:rFonts w:ascii="Arial" w:hAnsi="Arial" w:eastAsia="Arial" w:cs="Arial"/>
        <w:sz w:val="18"/>
        <w:szCs w:val="18"/>
      </w:rPr>
      <w:fldChar w:fldCharType="separate"/>
    </w:r>
    <w:r>
      <w:rPr>
        <w:rFonts w:ascii="Arial" w:hAnsi="Arial" w:eastAsia="Arial" w:cs="Arial"/>
        <w:sz w:val="18"/>
        <w:szCs w:val="18"/>
      </w:rPr>
      <w:fldChar w:fldCharType="end"/>
    </w:r>
    <w:r>
      <w:rPr>
        <w:rFonts w:hint="eastAsia" w:ascii="Arial" w:hAnsi="Arial" w:eastAsia="Arial" w:cs="Arial"/>
        <w:sz w:val="18"/>
        <w:szCs w:val="18"/>
      </w:rPr>
      <w:t xml:space="preserve"> 页</w:t>
    </w:r>
  </w:p>
</w:ftr>
</file>

<file path=word/footnotes.xml><?xml version="1.0" encoding="utf-8"?>
<w:footnotes xmlns:w="http://schemas.openxmlformats.org/wordprocessingml/2006/main">
  <w:footnote w:type="continuationSeparator" w:id="0">
    <w:p>
      <w:pPr>
        <w:spacing w:after="0" w:line="240" w:lineRule="auto"/>
      </w:pPr>
      <w:r>
        <w:rPr>
          <w:rStyle w:val="00000d"/>
        </w:rPr>
        <w:footnoteRef/>
      </w:r>
      <w:r>
        <w:continuationSeparator/>
      </w:r>
    </w:p>
  </w:footnote>
  <w:footnote w:type="separator" w:id="1">
    <w:p>
      <w:pPr>
        <w:spacing w:after="0" w:line="240" w:lineRule="auto"/>
      </w:pPr>
      <w:r>
        <w:rPr>
          <w:rStyle w:val="00000d"/>
        </w:rPr>
        <w:footnoteRef/>
      </w:r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right"/>
    </w:pPr>
    <w:r>
      <w:rPr>
        <w:rFonts w:hint="eastAsia" w:ascii="Arial" w:hAnsi="Arial" w:eastAsia="Arial" w:cs="Arial"/>
        <w:color w:val="888888"/>
        <w:sz w:val="18"/>
        <w:szCs w:val="18"/>
      </w:rPr>
      <w:t>IT 资产管理系统改进建议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isplayBackgroundShape w:val="1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1"/>
        <w:szCs w:val="21"/>
      </w:rPr>
    </w:rPrDefault>
    <w:pPrDefault/>
  </w:docDefaults>
  <w:style w:type="character" w:styleId="000010">
    <w:name w:val="endnote reference"/>
    <w:basedOn w:val="00000c"/>
    <w:uiPriority w:val="99"/>
    <w:semiHidden w:val="1"/>
    <w:unhideWhenUsed w:val="1"/>
    <w:rPr>
      <w:vertAlign w:val="superscript"/>
    </w:rPr>
  </w:style>
  <w:style w:type="character" w:styleId="000012">
    <w:name w:val="Endnote Text Char"/>
    <w:basedOn w:val="00000c"/>
    <w:link w:val="000011"/>
    <w:uiPriority w:val="99"/>
    <w:semiHidden w:val="1"/>
    <w:unhideWhenUsed w:val="1"/>
    <w:rPr>
      <w:sz w:val="20"/>
      <w:szCs w:val="20"/>
    </w:rPr>
  </w:style>
  <w:style w:type="paragraph" w:styleId="00000e">
    <w:name w:val="footnote text"/>
    <w:basedOn w:val="000002"/>
    <w:link w:val="00000f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00000d">
    <w:name w:val="footnote reference"/>
    <w:basedOn w:val="00000c"/>
    <w:uiPriority w:val="99"/>
    <w:semiHidden w:val="1"/>
    <w:unhideWhenUsed w:val="1"/>
    <w:rPr>
      <w:vertAlign w:val="superscript"/>
    </w:rPr>
  </w:style>
  <w:style w:type="paragraph" w:styleId="000007">
    <w:name w:val="Heading 5"/>
    <w:basedOn w:val="000002"/>
    <w:next w:val="000002"/>
    <w:qFormat w:val="1"/>
    <w:rPr>
      <w:color w:val="2E74B5"/>
    </w:rPr>
  </w:style>
  <w:style w:type="paragraph" w:styleId="000011">
    <w:name w:val="endnote text"/>
    <w:basedOn w:val="000002"/>
    <w:link w:val="000012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paragraph" w:styleId="000004">
    <w:name w:val="Heading 2"/>
    <w:basedOn w:val="000002"/>
    <w:next w:val="000002"/>
    <w:qFormat w:val="1"/>
    <w:pPr>
      <w:spacing w:before="240" w:after="160"/>
      <w:outlineLvl w:val="1"/>
    </w:pPr>
    <w:rPr>
      <w:rFonts w:ascii="Arial" w:hAnsi="Arial" w:eastAsia="Arial" w:cs="Arial"/>
      <w:b w:val="1"/>
      <w:bCs w:val="1"/>
      <w:color w:val="2E75B6"/>
      <w:sz w:val="28"/>
      <w:szCs w:val="28"/>
    </w:rPr>
  </w:style>
  <w:style w:type="paragraph" w:styleId="000005">
    <w:name w:val="Heading 3"/>
    <w:basedOn w:val="000002"/>
    <w:next w:val="000002"/>
    <w:qFormat w:val="1"/>
    <w:pPr>
      <w:spacing w:before="180" w:after="120"/>
      <w:outlineLvl w:val="2"/>
    </w:pPr>
    <w:rPr>
      <w:rFonts w:ascii="Arial" w:hAnsi="Arial" w:eastAsia="Arial" w:cs="Arial"/>
      <w:b w:val="1"/>
      <w:bCs w:val="1"/>
      <w:sz w:val="24"/>
      <w:szCs w:val="24"/>
    </w:rPr>
  </w:style>
  <w:style w:type="character" w:styleId="00000f">
    <w:name w:val="Footnote Text Char"/>
    <w:basedOn w:val="00000c"/>
    <w:link w:val="00000e"/>
    <w:uiPriority w:val="99"/>
    <w:semiHidden w:val="1"/>
    <w:unhideWhenUsed w:val="1"/>
    <w:rPr>
      <w:sz w:val="20"/>
      <w:szCs w:val="20"/>
    </w:rPr>
  </w:style>
  <w:style w:type="paragraph" w:styleId="000008">
    <w:name w:val="Heading 6"/>
    <w:basedOn w:val="000002"/>
    <w:next w:val="000002"/>
    <w:qFormat w:val="1"/>
    <w:rPr>
      <w:color w:val="1F4D78"/>
    </w:rPr>
  </w:style>
  <w:style w:type="paragraph" w:styleId="000003">
    <w:name w:val="Heading 1"/>
    <w:basedOn w:val="000002"/>
    <w:next w:val="000002"/>
    <w:qFormat w:val="1"/>
    <w:pPr>
      <w:spacing w:before="300" w:after="200"/>
      <w:outlineLvl w:val="0"/>
    </w:pPr>
    <w:rPr>
      <w:rFonts w:ascii="Arial" w:hAnsi="Arial" w:eastAsia="Arial" w:cs="Arial"/>
      <w:b w:val="1"/>
      <w:bCs w:val="1"/>
      <w:color w:val="1F4E79"/>
      <w:sz w:val="36"/>
      <w:szCs w:val="36"/>
    </w:rPr>
  </w:style>
  <w:style w:type="paragraph" w:styleId="000006">
    <w:name w:val="Heading 4"/>
    <w:basedOn w:val="000002"/>
    <w:next w:val="000002"/>
    <w:qFormat w:val="1"/>
    <w:rPr>
      <w:i w:val="1"/>
      <w:iCs w:val="1"/>
      <w:color w:val="2E74B5"/>
    </w:rPr>
  </w:style>
  <w:style w:type="character" w:styleId="00000b">
    <w:name w:val="Hyperlink"/>
    <w:basedOn w:val="00000c"/>
    <w:uiPriority w:val="99"/>
    <w:unhideWhenUsed w:val="1"/>
    <w:rPr>
      <w:color w:val="0563C1"/>
      <w:u w:val="single"/>
    </w:rPr>
  </w:style>
  <w:style w:type="paragraph" w:styleId="00000a">
    <w:name w:val="List Paragraph"/>
    <w:basedOn w:val="000002"/>
    <w:qFormat w:val="1"/>
  </w:style>
  <w:style w:type="paragraph" w:styleId="000009">
    <w:name w:val="Strong"/>
    <w:basedOn w:val="000002"/>
    <w:next w:val="000002"/>
    <w:qFormat w:val="1"/>
    <w:rPr>
      <w:b w:val="1"/>
      <w:bCs w:val="1"/>
    </w:rPr>
  </w:style>
  <w:style w:type="paragraph" w:styleId="000001">
    <w:name w:val="Title"/>
    <w:basedOn w:val="000002"/>
    <w:next w:val="000002"/>
    <w:qFormat w:val="1"/>
    <w:rPr>
      <w:sz w:val="56"/>
      <w:szCs w:val="5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7" Type="http://schemas.openxmlformats.org/officeDocument/2006/relationships/footer" Target="footer1.xml" /><Relationship Id="rId5" Type="http://schemas.openxmlformats.org/officeDocument/2006/relationships/numbering" Target="numbering.xml" /><Relationship Id="rId2" Type="http://schemas.openxmlformats.org/officeDocument/2006/relationships/footnotes" Target="footnotes.xml" /><Relationship Id="rId4" Type="http://schemas.openxmlformats.org/officeDocument/2006/relationships/fontTable" Target="fontTable.xml" /><Relationship Id="rId3" Type="http://schemas.openxmlformats.org/officeDocument/2006/relationships/endnotes" Target="endnotes.xml" /><Relationship Id="rId6" Type="http://schemas.openxmlformats.org/officeDocument/2006/relationships/header" Target="header1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2026-07-24T17:25:00Z</dcterms:created>
  <dcterms:modified xsi:type="dcterms:W3CDTF">2026-07-24T17:25:00Z</dcterms:modified>
</cp:coreProperties>
</file>