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jc w:val="center"/>
      </w:pPr>
      <w:r>
        <w:rPr>
          <w:rFonts w:ascii="Noto Sans CJK SC" w:hAnsi="Noto Sans CJK SC" w:eastAsia="Noto Sans CJK SC"/>
          <w:b/>
          <w:color w:val="143A5F"/>
          <w:sz w:val="56"/>
        </w:rPr>
        <w:t>尾盘量化自动交易系统</w:t>
      </w:r>
    </w:p>
    <w:p>
      <w:pPr>
        <w:spacing w:before="0" w:after="360" w:line="300" w:lineRule="auto"/>
        <w:jc w:val="center"/>
      </w:pPr>
      <w:r>
        <w:rPr>
          <w:rFonts w:ascii="Noto Sans CJK SC" w:hAnsi="Noto Sans CJK SC" w:eastAsia="Noto Sans CJK SC"/>
          <w:b/>
          <w:color w:val="143A5F"/>
          <w:sz w:val="52"/>
        </w:rPr>
        <w:t>架构设计方案</w:t>
      </w:r>
    </w:p>
    <w:p>
      <w:pPr>
        <w:spacing w:before="400" w:after="160" w:line="300" w:lineRule="auto"/>
        <w:jc w:val="center"/>
      </w:pPr>
      <w:r>
        <w:rPr>
          <w:rFonts w:ascii="Noto Sans CJK SC" w:hAnsi="Noto Sans CJK SC" w:eastAsia="Noto Sans CJK SC"/>
          <w:color w:val="41505F"/>
          <w:sz w:val="26"/>
        </w:rPr>
        <w:t>面向 QMT / XtQuant 外部函数交易的可扩展自动交易框架</w:t>
      </w:r>
    </w:p>
    <w:tbl>
      <w:tblPr>
        <w:tblW w:type="auto" w:w="0"/>
        <w:jc w:val="center"/>
        <w:tblLayout w:type="fixed"/>
        <w:tblLook w:firstColumn="1" w:firstRow="1" w:lastColumn="0" w:lastRow="0" w:noHBand="0" w:noVBand="1" w:val="04A0"/>
      </w:tblPr>
      <w:tblGrid>
        <w:gridCol w:w="2268"/>
        <w:gridCol w:w="4819"/>
      </w:tblGrid>
      <w:tr>
        <w:trPr>
          <w:trHeight w:hRule="atLeast"/>
        </w:trPr>
        <w:tc>
          <w:tcPr>
            <w:tcW w:type="dxa" w:w="4986"/>
            <w:shd w:fill="EAF2F8"/>
            <w:tcMar>
              <w:top w:w="120" w:type="dxa"/>
              <w:start w:w="120" w:type="dxa"/>
              <w:bottom w:w="120" w:type="dxa"/>
              <w:end w:w="120" w:type="dxa"/>
            </w:tcMar>
          </w:tcPr>
          <w:p>
            <w:pPr>
              <w:spacing w:before="0" w:after="0" w:line="300" w:lineRule="auto"/>
              <w:jc w:val="right"/>
            </w:pPr>
            <w:r>
              <w:rPr>
                <w:rFonts w:ascii="Noto Sans CJK SC" w:hAnsi="Noto Sans CJK SC" w:eastAsia="Noto Sans CJK SC"/>
                <w:b/>
                <w:color w:val="1F4E79"/>
                <w:sz w:val="19"/>
              </w:rPr>
              <w:t>文档版本</w:t>
            </w:r>
          </w:p>
        </w:tc>
        <w:tc>
          <w:tcPr>
            <w:tcW w:type="dxa" w:w="4986"/>
            <w:tcMar>
              <w:top w:w="120" w:type="dxa"/>
              <w:start w:w="120" w:type="dxa"/>
              <w:bottom w:w="120" w:type="dxa"/>
              <w:end w:w="120" w:type="dxa"/>
            </w:tcMar>
          </w:tcPr>
          <w:p>
            <w:pPr>
              <w:spacing w:before="0" w:after="0" w:line="300" w:lineRule="auto"/>
            </w:pPr>
            <w:r>
              <w:rPr>
                <w:rFonts w:ascii="Noto Sans CJK SC" w:hAnsi="Noto Sans CJK SC" w:eastAsia="Noto Sans CJK SC"/>
                <w:sz w:val="19"/>
              </w:rPr>
              <w:t>V1.0</w:t>
            </w:r>
          </w:p>
        </w:tc>
      </w:tr>
      <w:tr>
        <w:trPr>
          <w:trHeight w:hRule="atLeast"/>
        </w:trPr>
        <w:tc>
          <w:tcPr>
            <w:tcW w:type="dxa" w:w="4986"/>
            <w:shd w:fill="EAF2F8"/>
            <w:tcMar>
              <w:top w:w="120" w:type="dxa"/>
              <w:start w:w="120" w:type="dxa"/>
              <w:bottom w:w="120" w:type="dxa"/>
              <w:end w:w="120" w:type="dxa"/>
            </w:tcMar>
          </w:tcPr>
          <w:p>
            <w:pPr>
              <w:spacing w:before="0" w:after="0" w:line="300" w:lineRule="auto"/>
              <w:jc w:val="right"/>
            </w:pPr>
            <w:r>
              <w:rPr>
                <w:rFonts w:ascii="Noto Sans CJK SC" w:hAnsi="Noto Sans CJK SC" w:eastAsia="Noto Sans CJK SC"/>
                <w:b/>
                <w:color w:val="1F4E79"/>
                <w:sz w:val="19"/>
              </w:rPr>
              <w:t>目标策略</w:t>
            </w:r>
          </w:p>
        </w:tc>
        <w:tc>
          <w:tcPr>
            <w:tcW w:type="dxa" w:w="4986"/>
            <w:tcMar>
              <w:top w:w="120" w:type="dxa"/>
              <w:start w:w="120" w:type="dxa"/>
              <w:bottom w:w="120" w:type="dxa"/>
              <w:end w:w="120" w:type="dxa"/>
            </w:tcMar>
          </w:tcPr>
          <w:p>
            <w:pPr>
              <w:spacing w:before="0" w:after="0" w:line="300" w:lineRule="auto"/>
            </w:pPr>
            <w:r>
              <w:rPr>
                <w:rFonts w:ascii="Noto Sans CJK SC" w:hAnsi="Noto Sans CJK SC" w:eastAsia="Noto Sans CJK SC"/>
                <w:sz w:val="19"/>
              </w:rPr>
              <w:t>当前：14:34后选股、14:35后尾盘买入、T+1次日卖出</w:t>
            </w:r>
          </w:p>
        </w:tc>
      </w:tr>
      <w:tr>
        <w:trPr>
          <w:trHeight w:hRule="atLeast"/>
        </w:trPr>
        <w:tc>
          <w:tcPr>
            <w:tcW w:type="dxa" w:w="4986"/>
            <w:shd w:fill="EAF2F8"/>
            <w:tcMar>
              <w:top w:w="120" w:type="dxa"/>
              <w:start w:w="120" w:type="dxa"/>
              <w:bottom w:w="120" w:type="dxa"/>
              <w:end w:w="120" w:type="dxa"/>
            </w:tcMar>
          </w:tcPr>
          <w:p>
            <w:pPr>
              <w:spacing w:before="0" w:after="0" w:line="300" w:lineRule="auto"/>
              <w:jc w:val="right"/>
            </w:pPr>
            <w:r>
              <w:rPr>
                <w:rFonts w:ascii="Noto Sans CJK SC" w:hAnsi="Noto Sans CJK SC" w:eastAsia="Noto Sans CJK SC"/>
                <w:b/>
                <w:color w:val="1F4E79"/>
                <w:sz w:val="19"/>
              </w:rPr>
              <w:t>扩展规模</w:t>
            </w:r>
          </w:p>
        </w:tc>
        <w:tc>
          <w:tcPr>
            <w:tcW w:type="dxa" w:w="4986"/>
            <w:tcMar>
              <w:top w:w="120" w:type="dxa"/>
              <w:start w:w="120" w:type="dxa"/>
              <w:bottom w:w="120" w:type="dxa"/>
              <w:end w:w="120" w:type="dxa"/>
            </w:tcMar>
          </w:tcPr>
          <w:p>
            <w:pPr>
              <w:spacing w:before="0" w:after="0" w:line="300" w:lineRule="auto"/>
            </w:pPr>
            <w:r>
              <w:rPr>
                <w:rFonts w:ascii="Noto Sans CJK SC" w:hAnsi="Noto Sans CJK SC" w:eastAsia="Noto Sans CJK SC"/>
                <w:sz w:val="19"/>
              </w:rPr>
              <w:t>资金约10万元逐步扩展至500万元；最大交易股票数不超过15只</w:t>
            </w:r>
          </w:p>
        </w:tc>
      </w:tr>
      <w:tr>
        <w:trPr>
          <w:trHeight w:hRule="atLeast"/>
        </w:trPr>
        <w:tc>
          <w:tcPr>
            <w:tcW w:type="dxa" w:w="4986"/>
            <w:shd w:fill="EAF2F8"/>
            <w:tcMar>
              <w:top w:w="120" w:type="dxa"/>
              <w:start w:w="120" w:type="dxa"/>
              <w:bottom w:w="120" w:type="dxa"/>
              <w:end w:w="120" w:type="dxa"/>
            </w:tcMar>
          </w:tcPr>
          <w:p>
            <w:pPr>
              <w:spacing w:before="0" w:after="0" w:line="300" w:lineRule="auto"/>
              <w:jc w:val="right"/>
            </w:pPr>
            <w:r>
              <w:rPr>
                <w:rFonts w:ascii="Noto Sans CJK SC" w:hAnsi="Noto Sans CJK SC" w:eastAsia="Noto Sans CJK SC"/>
                <w:b/>
                <w:color w:val="1F4E79"/>
                <w:sz w:val="19"/>
              </w:rPr>
              <w:t>交易通道</w:t>
            </w:r>
          </w:p>
        </w:tc>
        <w:tc>
          <w:tcPr>
            <w:tcW w:type="dxa" w:w="4986"/>
            <w:tcMar>
              <w:top w:w="120" w:type="dxa"/>
              <w:start w:w="120" w:type="dxa"/>
              <w:bottom w:w="120" w:type="dxa"/>
              <w:end w:w="120" w:type="dxa"/>
            </w:tcMar>
          </w:tcPr>
          <w:p>
            <w:pPr>
              <w:spacing w:before="0" w:after="0" w:line="300" w:lineRule="auto"/>
            </w:pPr>
            <w:r>
              <w:rPr>
                <w:rFonts w:ascii="Noto Sans CJK SC" w:hAnsi="Noto Sans CJK SC" w:eastAsia="Noto Sans CJK SC"/>
                <w:sz w:val="19"/>
              </w:rPr>
              <w:t>中金财富QMT“独立交易” + XtQuant 外部Python函数交易（开户后实测验收）</w:t>
            </w:r>
          </w:p>
        </w:tc>
      </w:tr>
      <w:tr>
        <w:trPr>
          <w:trHeight w:hRule="atLeast"/>
        </w:trPr>
        <w:tc>
          <w:tcPr>
            <w:tcW w:type="dxa" w:w="4986"/>
            <w:shd w:fill="EAF2F8"/>
            <w:tcMar>
              <w:top w:w="120" w:type="dxa"/>
              <w:start w:w="120" w:type="dxa"/>
              <w:bottom w:w="120" w:type="dxa"/>
              <w:end w:w="120" w:type="dxa"/>
            </w:tcMar>
          </w:tcPr>
          <w:p>
            <w:pPr>
              <w:spacing w:before="0" w:after="0" w:line="300" w:lineRule="auto"/>
              <w:jc w:val="right"/>
            </w:pPr>
            <w:r>
              <w:rPr>
                <w:rFonts w:ascii="Noto Sans CJK SC" w:hAnsi="Noto Sans CJK SC" w:eastAsia="Noto Sans CJK SC"/>
                <w:b/>
                <w:color w:val="1F4E79"/>
                <w:sz w:val="19"/>
              </w:rPr>
              <w:t>架构定位</w:t>
            </w:r>
          </w:p>
        </w:tc>
        <w:tc>
          <w:tcPr>
            <w:tcW w:type="dxa" w:w="4986"/>
            <w:tcMar>
              <w:top w:w="120" w:type="dxa"/>
              <w:start w:w="120" w:type="dxa"/>
              <w:bottom w:w="120" w:type="dxa"/>
              <w:end w:w="120" w:type="dxa"/>
            </w:tcMar>
          </w:tcPr>
          <w:p>
            <w:pPr>
              <w:spacing w:before="0" w:after="0" w:line="300" w:lineRule="auto"/>
            </w:pPr>
            <w:r>
              <w:rPr>
                <w:rFonts w:ascii="Noto Sans CJK SC" w:hAnsi="Noto Sans CJK SC" w:eastAsia="Noto Sans CJK SC"/>
                <w:sz w:val="19"/>
              </w:rPr>
              <w:t>可长期演进的单账户多策略自动交易执行框架</w:t>
            </w:r>
          </w:p>
        </w:tc>
      </w:tr>
    </w:tbl>
    <w:p>
      <w:pPr>
        <w:spacing w:before="900"/>
        <w:jc w:val="center"/>
      </w:pPr>
      <w:r>
        <w:rPr>
          <w:rFonts w:ascii="Noto Sans CJK SC" w:hAnsi="Noto Sans CJK SC" w:eastAsia="Noto Sans CJK SC"/>
          <w:color w:val="64696E"/>
          <w:sz w:val="19"/>
        </w:rPr>
        <w:t>架构原则：策略与执行解耦 · 券商事实与业务账本分离 · 实时交易不依赖后台在线 · 人工控制优先</w:t>
      </w:r>
    </w:p>
    <w:p>
      <w:r>
        <w:br w:type="page"/>
      </w:r>
    </w:p>
    <w:p>
      <w:pPr>
        <w:pStyle w:val="Heading1"/>
        <w:keepNext/>
        <w:pageBreakBefore w:val="0"/>
      </w:pPr>
      <w:r>
        <w:rPr>
          <w:rFonts w:ascii="Noto Sans CJK SC" w:hAnsi="Noto Sans CJK SC" w:eastAsia="Noto Sans CJK SC"/>
          <w:b/>
          <w:color w:val="143A5F"/>
          <w:sz w:val="32"/>
        </w:rPr>
        <w:t>目录</w:t>
      </w:r>
    </w:p>
    <w:p>
      <w:pPr>
        <w:spacing w:before="0" w:after="40" w:line="300" w:lineRule="auto"/>
      </w:pPr>
      <w:r>
        <w:rPr>
          <w:rFonts w:ascii="Noto Sans CJK SC" w:hAnsi="Noto Sans CJK SC" w:eastAsia="Noto Sans CJK SC"/>
          <w:sz w:val="20"/>
        </w:rPr>
        <w:t>1. 执行摘要与设计结论</w:t>
      </w:r>
    </w:p>
    <w:p>
      <w:pPr>
        <w:spacing w:before="0" w:after="40" w:line="300" w:lineRule="auto"/>
      </w:pPr>
      <w:r>
        <w:rPr>
          <w:rFonts w:ascii="Noto Sans CJK SC" w:hAnsi="Noto Sans CJK SC" w:eastAsia="Noto Sans CJK SC"/>
          <w:sz w:val="20"/>
        </w:rPr>
        <w:t>2. 建设目标、边界与关键假设</w:t>
      </w:r>
    </w:p>
    <w:p>
      <w:pPr>
        <w:spacing w:before="0" w:after="40" w:line="300" w:lineRule="auto"/>
      </w:pPr>
      <w:r>
        <w:rPr>
          <w:rFonts w:ascii="Noto Sans CJK SC" w:hAnsi="Noto Sans CJK SC" w:eastAsia="Noto Sans CJK SC"/>
          <w:sz w:val="20"/>
        </w:rPr>
        <w:t>3. 核心架构原则</w:t>
      </w:r>
    </w:p>
    <w:p>
      <w:pPr>
        <w:spacing w:before="0" w:after="40" w:line="300" w:lineRule="auto"/>
      </w:pPr>
      <w:r>
        <w:rPr>
          <w:rFonts w:ascii="Noto Sans CJK SC" w:hAnsi="Noto Sans CJK SC" w:eastAsia="Noto Sans CJK SC"/>
          <w:sz w:val="20"/>
        </w:rPr>
        <w:t>4. 系统总体架构与部署拓扑</w:t>
      </w:r>
    </w:p>
    <w:p>
      <w:pPr>
        <w:spacing w:before="0" w:after="40" w:line="300" w:lineRule="auto"/>
      </w:pPr>
      <w:r>
        <w:rPr>
          <w:rFonts w:ascii="Noto Sans CJK SC" w:hAnsi="Noto Sans CJK SC" w:eastAsia="Noto Sans CJK SC"/>
          <w:sz w:val="20"/>
        </w:rPr>
        <w:t>5. 组件职责与 Source of Truth</w:t>
      </w:r>
    </w:p>
    <w:p>
      <w:pPr>
        <w:spacing w:before="0" w:after="40" w:line="300" w:lineRule="auto"/>
      </w:pPr>
      <w:r>
        <w:rPr>
          <w:rFonts w:ascii="Noto Sans CJK SC" w:hAnsi="Noto Sans CJK SC" w:eastAsia="Noto Sans CJK SC"/>
          <w:sz w:val="20"/>
        </w:rPr>
        <w:t>6. 策略扩展框架与 TradePlan 协议</w:t>
      </w:r>
    </w:p>
    <w:p>
      <w:pPr>
        <w:spacing w:before="0" w:after="40" w:line="300" w:lineRule="auto"/>
      </w:pPr>
      <w:r>
        <w:rPr>
          <w:rFonts w:ascii="Noto Sans CJK SC" w:hAnsi="Noto Sans CJK SC" w:eastAsia="Noto Sans CJK SC"/>
          <w:sz w:val="20"/>
        </w:rPr>
        <w:t>7. Windows Trading Node 运行时架构</w:t>
      </w:r>
    </w:p>
    <w:p>
      <w:pPr>
        <w:spacing w:before="0" w:after="40" w:line="300" w:lineRule="auto"/>
      </w:pPr>
      <w:r>
        <w:rPr>
          <w:rFonts w:ascii="Noto Sans CJK SC" w:hAnsi="Noto Sans CJK SC" w:eastAsia="Noto Sans CJK SC"/>
          <w:sz w:val="20"/>
        </w:rPr>
        <w:t>8. QMT / XtQuant Broker Gateway 与行情接入</w:t>
      </w:r>
    </w:p>
    <w:p>
      <w:pPr>
        <w:spacing w:before="0" w:after="40" w:line="300" w:lineRule="auto"/>
      </w:pPr>
      <w:r>
        <w:rPr>
          <w:rFonts w:ascii="Noto Sans CJK SC" w:hAnsi="Noto Sans CJK SC" w:eastAsia="Noto Sans CJK SC"/>
          <w:sz w:val="20"/>
        </w:rPr>
        <w:t>9. 自动买入执行体系</w:t>
      </w:r>
    </w:p>
    <w:p>
      <w:pPr>
        <w:spacing w:before="0" w:after="40" w:line="300" w:lineRule="auto"/>
      </w:pPr>
      <w:r>
        <w:rPr>
          <w:rFonts w:ascii="Noto Sans CJK SC" w:hAnsi="Noto Sans CJK SC" w:eastAsia="Noto Sans CJK SC"/>
          <w:sz w:val="20"/>
        </w:rPr>
        <w:t>10. T+1 自动卖出体系</w:t>
      </w:r>
    </w:p>
    <w:p>
      <w:pPr>
        <w:spacing w:before="0" w:after="40" w:line="300" w:lineRule="auto"/>
      </w:pPr>
      <w:r>
        <w:rPr>
          <w:rFonts w:ascii="Noto Sans CJK SC" w:hAnsi="Noto Sans CJK SC" w:eastAsia="Noto Sans CJK SC"/>
          <w:sz w:val="20"/>
        </w:rPr>
        <w:t>11. 订单生命周期、幂等与部分成交</w:t>
      </w:r>
    </w:p>
    <w:p>
      <w:pPr>
        <w:spacing w:before="0" w:after="40" w:line="300" w:lineRule="auto"/>
      </w:pPr>
      <w:r>
        <w:rPr>
          <w:rFonts w:ascii="Noto Sans CJK SC" w:hAnsi="Noto Sans CJK SC" w:eastAsia="Noto Sans CJK SC"/>
          <w:sz w:val="20"/>
        </w:rPr>
        <w:t>12. 滑点、流动性容量与资金放大</w:t>
      </w:r>
    </w:p>
    <w:p>
      <w:pPr>
        <w:spacing w:before="0" w:after="40" w:line="300" w:lineRule="auto"/>
      </w:pPr>
      <w:r>
        <w:rPr>
          <w:rFonts w:ascii="Noto Sans CJK SC" w:hAnsi="Noto Sans CJK SC" w:eastAsia="Noto Sans CJK SC"/>
          <w:sz w:val="20"/>
        </w:rPr>
        <w:t>13. Risk Engine 与 Hard Safety Limits</w:t>
      </w:r>
    </w:p>
    <w:p>
      <w:pPr>
        <w:spacing w:before="0" w:after="40" w:line="300" w:lineRule="auto"/>
      </w:pPr>
      <w:r>
        <w:rPr>
          <w:rFonts w:ascii="Noto Sans CJK SC" w:hAnsi="Noto Sans CJK SC" w:eastAsia="Noto Sans CJK SC"/>
          <w:sz w:val="20"/>
        </w:rPr>
        <w:t>14. Runtime Control：暂停、SELL ONLY 与人工接管</w:t>
      </w:r>
    </w:p>
    <w:p>
      <w:pPr>
        <w:spacing w:before="0" w:after="40" w:line="300" w:lineRule="auto"/>
      </w:pPr>
      <w:r>
        <w:rPr>
          <w:rFonts w:ascii="Noto Sans CJK SC" w:hAnsi="Noto Sans CJK SC" w:eastAsia="Noto Sans CJK SC"/>
          <w:sz w:val="20"/>
        </w:rPr>
        <w:t>15. 配置治理：量化后台 vs Windows 本地</w:t>
      </w:r>
    </w:p>
    <w:p>
      <w:pPr>
        <w:spacing w:before="0" w:after="40" w:line="300" w:lineRule="auto"/>
      </w:pPr>
      <w:r>
        <w:rPr>
          <w:rFonts w:ascii="Noto Sans CJK SC" w:hAnsi="Noto Sans CJK SC" w:eastAsia="Noto Sans CJK SC"/>
          <w:sz w:val="20"/>
        </w:rPr>
        <w:t>16. 状态、Outbox、中央交易账本与数据同步</w:t>
      </w:r>
    </w:p>
    <w:p>
      <w:pPr>
        <w:spacing w:before="0" w:after="40" w:line="300" w:lineRule="auto"/>
      </w:pPr>
      <w:r>
        <w:rPr>
          <w:rFonts w:ascii="Noto Sans CJK SC" w:hAnsi="Noto Sans CJK SC" w:eastAsia="Noto Sans CJK SC"/>
          <w:sz w:val="20"/>
        </w:rPr>
        <w:t>17. Reconciliation、重启恢复与故障降级</w:t>
      </w:r>
    </w:p>
    <w:p>
      <w:pPr>
        <w:spacing w:before="0" w:after="40" w:line="300" w:lineRule="auto"/>
      </w:pPr>
      <w:r>
        <w:rPr>
          <w:rFonts w:ascii="Noto Sans CJK SC" w:hAnsi="Noto Sans CJK SC" w:eastAsia="Noto Sans CJK SC"/>
          <w:sz w:val="20"/>
        </w:rPr>
        <w:t>18. 监控、告警与可观测性</w:t>
      </w:r>
    </w:p>
    <w:p>
      <w:pPr>
        <w:spacing w:before="0" w:after="40" w:line="300" w:lineRule="auto"/>
      </w:pPr>
      <w:r>
        <w:rPr>
          <w:rFonts w:ascii="Noto Sans CJK SC" w:hAnsi="Noto Sans CJK SC" w:eastAsia="Noto Sans CJK SC"/>
          <w:sz w:val="20"/>
        </w:rPr>
        <w:t>19. 数据能力与 QMT 权限要求</w:t>
      </w:r>
    </w:p>
    <w:p>
      <w:pPr>
        <w:spacing w:before="0" w:after="40" w:line="300" w:lineRule="auto"/>
      </w:pPr>
      <w:r>
        <w:rPr>
          <w:rFonts w:ascii="Noto Sans CJK SC" w:hAnsi="Noto Sans CJK SC" w:eastAsia="Noto Sans CJK SC"/>
          <w:sz w:val="20"/>
        </w:rPr>
        <w:t>20. 中央量化后台的数据模型与接口</w:t>
      </w:r>
    </w:p>
    <w:p>
      <w:pPr>
        <w:spacing w:before="0" w:after="40" w:line="300" w:lineRule="auto"/>
      </w:pPr>
      <w:r>
        <w:rPr>
          <w:rFonts w:ascii="Noto Sans CJK SC" w:hAnsi="Noto Sans CJK SC" w:eastAsia="Noto Sans CJK SC"/>
          <w:sz w:val="20"/>
        </w:rPr>
        <w:t>21. 安全与部署建议</w:t>
      </w:r>
    </w:p>
    <w:p>
      <w:pPr>
        <w:spacing w:before="0" w:after="40" w:line="300" w:lineRule="auto"/>
      </w:pPr>
      <w:r>
        <w:rPr>
          <w:rFonts w:ascii="Noto Sans CJK SC" w:hAnsi="Noto Sans CJK SC" w:eastAsia="Noto Sans CJK SC"/>
          <w:sz w:val="20"/>
        </w:rPr>
        <w:t>22. 测试、回放、验收与上线流程</w:t>
      </w:r>
    </w:p>
    <w:p>
      <w:pPr>
        <w:spacing w:before="0" w:after="40" w:line="300" w:lineRule="auto"/>
      </w:pPr>
      <w:r>
        <w:rPr>
          <w:rFonts w:ascii="Noto Sans CJK SC" w:hAnsi="Noto Sans CJK SC" w:eastAsia="Noto Sans CJK SC"/>
          <w:sz w:val="20"/>
        </w:rPr>
        <w:t>23. 资金规模从10万到500万的演进路线</w:t>
      </w:r>
    </w:p>
    <w:p>
      <w:pPr>
        <w:spacing w:before="0" w:after="40" w:line="300" w:lineRule="auto"/>
      </w:pPr>
      <w:r>
        <w:rPr>
          <w:rFonts w:ascii="Noto Sans CJK SC" w:hAnsi="Noto Sans CJK SC" w:eastAsia="Noto Sans CJK SC"/>
          <w:sz w:val="20"/>
        </w:rPr>
        <w:t>24. 开发模块与项目目录建议</w:t>
      </w:r>
    </w:p>
    <w:p>
      <w:pPr>
        <w:spacing w:before="0" w:after="40" w:line="300" w:lineRule="auto"/>
      </w:pPr>
      <w:r>
        <w:rPr>
          <w:rFonts w:ascii="Noto Sans CJK SC" w:hAnsi="Noto Sans CJK SC" w:eastAsia="Noto Sans CJK SC"/>
          <w:sz w:val="20"/>
        </w:rPr>
        <w:t>25. V1开发优先级与里程碑</w:t>
      </w:r>
    </w:p>
    <w:p>
      <w:pPr>
        <w:spacing w:before="0" w:after="40" w:line="300" w:lineRule="auto"/>
      </w:pPr>
      <w:r>
        <w:rPr>
          <w:rFonts w:ascii="Noto Sans CJK SC" w:hAnsi="Noto Sans CJK SC" w:eastAsia="Noto Sans CJK SC"/>
          <w:sz w:val="20"/>
        </w:rPr>
        <w:t>附录A. QMT能力映射</w:t>
      </w:r>
    </w:p>
    <w:p>
      <w:pPr>
        <w:spacing w:before="0" w:after="40" w:line="300" w:lineRule="auto"/>
      </w:pPr>
      <w:r>
        <w:rPr>
          <w:rFonts w:ascii="Noto Sans CJK SC" w:hAnsi="Noto Sans CJK SC" w:eastAsia="Noto Sans CJK SC"/>
          <w:sz w:val="20"/>
        </w:rPr>
        <w:t>附录B. 关键状态机</w:t>
      </w:r>
    </w:p>
    <w:p>
      <w:pPr>
        <w:spacing w:before="0" w:after="40" w:line="300" w:lineRule="auto"/>
      </w:pPr>
      <w:r>
        <w:rPr>
          <w:rFonts w:ascii="Noto Sans CJK SC" w:hAnsi="Noto Sans CJK SC" w:eastAsia="Noto Sans CJK SC"/>
          <w:sz w:val="20"/>
        </w:rPr>
        <w:t>附录C. V1建议默认配置</w:t>
      </w:r>
    </w:p>
    <w:p>
      <w:r>
        <w:br w:type="page"/>
      </w:r>
    </w:p>
    <w:p>
      <w:pPr>
        <w:pStyle w:val="Heading1"/>
        <w:keepNext/>
        <w:pageBreakBefore w:val="0"/>
      </w:pPr>
      <w:r>
        <w:rPr>
          <w:rFonts w:ascii="Noto Sans CJK SC" w:hAnsi="Noto Sans CJK SC" w:eastAsia="Noto Sans CJK SC"/>
          <w:b/>
          <w:color w:val="143A5F"/>
          <w:sz w:val="32"/>
        </w:rPr>
        <w:t>1. 执行摘要与设计结论</w:t>
      </w:r>
    </w:p>
    <w:p>
      <w:pPr>
        <w:spacing w:before="0" w:after="100" w:line="300" w:lineRule="auto"/>
      </w:pPr>
      <w:r>
        <w:rPr>
          <w:rFonts w:ascii="Noto Sans CJK SC" w:hAnsi="Noto Sans CJK SC" w:eastAsia="Noto Sans CJK SC"/>
        </w:rPr>
        <w:t>本方案将现有量化选股能力升级为一套可长期演进的自动交易执行平台。当前业务场景是：量化系统每天14:34后输出约6只候选股票，14:35后执行尾盘买入，所有持仓在下一交易日退出；未来资金规模可能从约10万元增长至500万元，并扩展其他策略，但同时持有或当日计划买入的股票数量预计不超过15只。</w:t>
      </w:r>
    </w:p>
    <w:tbl>
      <w:tblPr>
        <w:tblW w:type="auto" w:w="0"/>
        <w:jc w:val="center"/>
        <w:tblLayout w:type="autofit"/>
        <w:tblLook w:firstColumn="1" w:firstRow="1" w:lastColumn="0" w:lastRow="0" w:noHBand="0" w:noVBand="1" w:val="04A0"/>
      </w:tblPr>
      <w:tblGrid>
        <w:gridCol w:w="9972"/>
      </w:tblGrid>
      <w:tr>
        <w:trPr>
          <w:trHeight w:hRule="atLeast"/>
        </w:trPr>
        <w:tc>
          <w:tcPr>
            <w:tcW w:type="dxa" w:w="9972"/>
            <w:shd w:fill="EAF2F8"/>
            <w:tcMar>
              <w:top w:w="140" w:type="dxa"/>
              <w:start w:w="180" w:type="dxa"/>
              <w:bottom w:w="140" w:type="dxa"/>
              <w:end w:w="180" w:type="dxa"/>
            </w:tcMar>
          </w:tcPr>
          <w:p>
            <w:pPr>
              <w:spacing w:before="0" w:after="60" w:line="300" w:lineRule="auto"/>
            </w:pPr>
            <w:r>
              <w:rPr>
                <w:rFonts w:ascii="Noto Sans CJK SC" w:hAnsi="Noto Sans CJK SC" w:eastAsia="Noto Sans CJK SC"/>
                <w:b/>
                <w:color w:val="194367"/>
                <w:sz w:val="21"/>
              </w:rPr>
              <w:t>最终架构结论</w:t>
            </w:r>
          </w:p>
          <w:p>
            <w:pPr>
              <w:spacing w:before="0" w:after="0" w:line="300" w:lineRule="auto"/>
            </w:pPr>
            <w:r>
              <w:rPr>
                <w:rFonts w:ascii="Noto Sans CJK SC" w:hAnsi="Noto Sans CJK SC" w:eastAsia="Noto Sans CJK SC"/>
                <w:sz w:val="20"/>
              </w:rPr>
              <w:t>量化后台负责策略、组合、交易计划、中央账本、收益与复盘；Windows负责QMT连接、实时行情、交易执行、风控、订单生命周期、运行时控制和故障恢复；QMT/中金柜台是券商交易事实源。Windows不维护第二套完整业务数据库，只维护内存运行状态、轻量Checkpoint以及Durable Outbox。</w:t>
            </w:r>
          </w:p>
        </w:tc>
      </w:tr>
    </w:tbl>
    <w:p>
      <w:pPr>
        <w:spacing w:after="20"/>
      </w:pPr>
    </w:p>
    <w:p>
      <w:pPr>
        <w:pStyle w:val="ListBullet"/>
        <w:spacing w:before="0" w:after="40" w:line="300" w:lineRule="auto"/>
      </w:pPr>
      <w:r>
        <w:rPr>
          <w:rFonts w:ascii="Noto Sans CJK SC" w:hAnsi="Noto Sans CJK SC" w:eastAsia="Noto Sans CJK SC"/>
          <w:sz w:val="21"/>
        </w:rPr>
        <w:t>策略与执行彻底解耦：任何策略统一输出 TradePlan，执行系统不理解“为什么选中”，只执行标准化计划。</w:t>
      </w:r>
    </w:p>
    <w:p>
      <w:pPr>
        <w:pStyle w:val="ListBullet"/>
        <w:spacing w:before="0" w:after="40" w:line="300" w:lineRule="auto"/>
      </w:pPr>
      <w:r>
        <w:rPr>
          <w:rFonts w:ascii="Noto Sans CJK SC" w:hAnsi="Noto Sans CJK SC" w:eastAsia="Noto Sans CJK SC"/>
          <w:sz w:val="21"/>
        </w:rPr>
        <w:t>Broker Gateway可替换：当前实现中金QMT，未来若更换支持XtQuant的券商，核心策略和执行框架不重写。</w:t>
      </w:r>
    </w:p>
    <w:p>
      <w:pPr>
        <w:pStyle w:val="ListBullet"/>
        <w:spacing w:before="0" w:after="40" w:line="300" w:lineRule="auto"/>
      </w:pPr>
      <w:r>
        <w:rPr>
          <w:rFonts w:ascii="Noto Sans CJK SC" w:hAnsi="Noto Sans CJK SC" w:eastAsia="Noto Sans CJK SC"/>
          <w:sz w:val="21"/>
        </w:rPr>
        <w:t>最大15只股票不需要复杂分布式架构：Python事件驱动架构足够，重点是订单正确性、幂等、恢复、滑点和风控。</w:t>
      </w:r>
    </w:p>
    <w:p>
      <w:pPr>
        <w:pStyle w:val="ListBullet"/>
        <w:spacing w:before="0" w:after="40" w:line="300" w:lineRule="auto"/>
      </w:pPr>
      <w:r>
        <w:rPr>
          <w:rFonts w:ascii="Noto Sans CJK SC" w:hAnsi="Noto Sans CJK SC" w:eastAsia="Noto Sans CJK SC"/>
          <w:sz w:val="21"/>
        </w:rPr>
        <w:t>后台是业务事实中心，QMT是券商事实源，Windows只是实时运行时，不把远程MySQL放进Tick热路径。</w:t>
      </w:r>
    </w:p>
    <w:p>
      <w:pPr>
        <w:pStyle w:val="ListBullet"/>
        <w:spacing w:before="0" w:after="40" w:line="300" w:lineRule="auto"/>
      </w:pPr>
      <w:r>
        <w:rPr>
          <w:rFonts w:ascii="Noto Sans CJK SC" w:hAnsi="Noto Sans CJK SC" w:eastAsia="Noto Sans CJK SC"/>
          <w:sz w:val="21"/>
        </w:rPr>
        <w:t>Runtime Control独立于普通配置：暂停自动买入、暂停自动卖出、SELL ONLY、人工接管、Emergency Halt必须支持，并且Windows本地紧急控制优先级最高。</w:t>
      </w:r>
    </w:p>
    <w:p>
      <w:pPr>
        <w:pStyle w:val="ListBullet"/>
        <w:spacing w:before="0" w:after="40" w:line="300" w:lineRule="auto"/>
      </w:pPr>
      <w:r>
        <w:rPr>
          <w:rFonts w:ascii="Noto Sans CJK SC" w:hAnsi="Noto Sans CJK SC" w:eastAsia="Noto Sans CJK SC"/>
          <w:sz w:val="21"/>
        </w:rPr>
        <w:t>所有策略参数和Entry/Exit Policy在量化后台版本化管理，Windows只加载并执行；Windows仅保存基础设施配置和不可突破的Hard Safety Limits。</w:t>
      </w:r>
    </w:p>
    <w:p>
      <w:pPr>
        <w:pStyle w:val="Heading1"/>
        <w:keepNext/>
        <w:pageBreakBefore w:val="0"/>
      </w:pPr>
      <w:r>
        <w:rPr>
          <w:rFonts w:ascii="Noto Sans CJK SC" w:hAnsi="Noto Sans CJK SC" w:eastAsia="Noto Sans CJK SC"/>
          <w:b/>
          <w:color w:val="143A5F"/>
          <w:sz w:val="32"/>
        </w:rPr>
        <w:t>2. 建设目标、边界与关键假设</w:t>
      </w:r>
    </w:p>
    <w:p>
      <w:pPr>
        <w:pStyle w:val="Heading2"/>
        <w:keepNext/>
      </w:pPr>
      <w:r>
        <w:rPr>
          <w:rFonts w:ascii="Noto Sans CJK SC" w:hAnsi="Noto Sans CJK SC" w:eastAsia="Noto Sans CJK SC"/>
          <w:b/>
          <w:color w:val="1F4E79"/>
          <w:sz w:val="26"/>
        </w:rPr>
        <w:t>2.1 建设目标</w:t>
      </w:r>
    </w:p>
    <w:tbl>
      <w:tblPr>
        <w:tblStyle w:val="TableGrid"/>
        <w:tblW w:type="auto" w:w="0"/>
        <w:jc w:val="center"/>
        <w:tblLayout w:type="fixed"/>
        <w:tblLook w:firstColumn="1" w:firstRow="1" w:lastColumn="0" w:lastRow="0" w:noHBand="0" w:noVBand="1" w:val="04A0"/>
      </w:tblPr>
      <w:tblGrid>
        <w:gridCol w:w="4986"/>
        <w:gridCol w:w="4986"/>
      </w:tblGrid>
      <w:tr>
        <w:trPr>
          <w:trHeight w:hRule="atLeast"/>
          <w:tblHeader w:val="true"/>
          <w:cantSplit/>
        </w:trPr>
        <w:tc>
          <w:tcPr>
            <w:tcW w:type="dxa" w:w="2268"/>
            <w:shd w:fill="1F4E78"/>
            <w:tcMar>
              <w:top w:w="90" w:type="dxa"/>
              <w:start w:w="90" w:type="dxa"/>
              <w:bottom w:w="90" w:type="dxa"/>
              <w:end w:w="90" w:type="dxa"/>
            </w:tcMar>
            <w:vAlign w:val="center"/>
          </w:tcPr>
          <w:p>
            <w:pPr>
              <w:spacing w:before="0" w:after="0" w:line="240" w:lineRule="auto"/>
              <w:jc w:val="center"/>
            </w:pPr>
            <w:r>
              <w:rPr>
                <w:rFonts w:ascii="Noto Sans CJK SC" w:hAnsi="Noto Sans CJK SC" w:eastAsia="Noto Sans CJK SC"/>
                <w:b/>
                <w:color w:val="FFFFFF"/>
                <w:sz w:val="18"/>
              </w:rPr>
              <w:t>目标</w:t>
            </w:r>
          </w:p>
        </w:tc>
        <w:tc>
          <w:tcPr>
            <w:tcW w:type="dxa" w:w="6803"/>
            <w:shd w:fill="1F4E78"/>
            <w:tcMar>
              <w:top w:w="90" w:type="dxa"/>
              <w:start w:w="90" w:type="dxa"/>
              <w:bottom w:w="90" w:type="dxa"/>
              <w:end w:w="90" w:type="dxa"/>
            </w:tcMar>
            <w:vAlign w:val="center"/>
          </w:tcPr>
          <w:p>
            <w:pPr>
              <w:spacing w:before="0" w:after="0" w:line="240" w:lineRule="auto"/>
              <w:jc w:val="center"/>
            </w:pPr>
            <w:r>
              <w:rPr>
                <w:rFonts w:ascii="Noto Sans CJK SC" w:hAnsi="Noto Sans CJK SC" w:eastAsia="Noto Sans CJK SC"/>
                <w:b/>
                <w:color w:val="FFFFFF"/>
                <w:sz w:val="18"/>
              </w:rPr>
              <w:t>要求</w:t>
            </w:r>
          </w:p>
        </w:tc>
      </w:tr>
      <w:tr>
        <w:trPr>
          <w:cantSplit/>
          <w:trHeight w:hRule="atLeast"/>
        </w:trPr>
        <w:tc>
          <w:tcPr>
            <w:tcW w:type="dxa" w:w="2268"/>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实时性</w:t>
            </w:r>
          </w:p>
        </w:tc>
        <w:tc>
          <w:tcPr>
            <w:tcW w:type="dxa" w:w="6803"/>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候选/持仓股票采用Tick事件驱动；交易判断不经过远程数据库；内部策略判断与下单调用保持低延迟。</w:t>
            </w:r>
          </w:p>
        </w:tc>
      </w:tr>
      <w:tr>
        <w:trPr>
          <w:cantSplit/>
          <w:trHeight w:hRule="atLeast"/>
        </w:trPr>
        <w:tc>
          <w:tcPr>
            <w:tcW w:type="dxa" w:w="2268"/>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稳定性</w:t>
            </w:r>
          </w:p>
        </w:tc>
        <w:tc>
          <w:tcPr>
            <w:tcW w:type="dxa" w:w="6803"/>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QMT断线、网络中断、后台不可用、程序重启、部分成交、撤单失败等场景均有明确恢复路径。</w:t>
            </w:r>
          </w:p>
        </w:tc>
      </w:tr>
      <w:tr>
        <w:trPr>
          <w:cantSplit/>
          <w:trHeight w:hRule="atLeast"/>
        </w:trPr>
        <w:tc>
          <w:tcPr>
            <w:tcW w:type="dxa" w:w="2268"/>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正确性</w:t>
            </w:r>
          </w:p>
        </w:tc>
        <w:tc>
          <w:tcPr>
            <w:tcW w:type="dxa" w:w="6803"/>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防重复订单、订单状态机、实际可卖数量校验、券商持仓对账必须优先于“尽快成交”。</w:t>
            </w:r>
          </w:p>
        </w:tc>
      </w:tr>
      <w:tr>
        <w:trPr>
          <w:cantSplit/>
          <w:trHeight w:hRule="atLeast"/>
        </w:trPr>
        <w:tc>
          <w:tcPr>
            <w:tcW w:type="dxa" w:w="2268"/>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可扩展性</w:t>
            </w:r>
          </w:p>
        </w:tc>
        <w:tc>
          <w:tcPr>
            <w:tcW w:type="dxa" w:w="6803"/>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Selection Strategy、Entry Policy、Exit Policy、Risk Policy、Execution Policy均可版本化和插件化。</w:t>
            </w:r>
          </w:p>
        </w:tc>
      </w:tr>
      <w:tr>
        <w:trPr>
          <w:cantSplit/>
          <w:trHeight w:hRule="atLeast"/>
        </w:trPr>
        <w:tc>
          <w:tcPr>
            <w:tcW w:type="dxa" w:w="2268"/>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资金扩展</w:t>
            </w:r>
          </w:p>
        </w:tc>
        <w:tc>
          <w:tcPr>
            <w:tcW w:type="dxa" w:w="6803"/>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同一套核心架构支持约10万元到500万元，资金放大主要通过容量模型、拆单、参与率与滑点控制升级。</w:t>
            </w:r>
          </w:p>
        </w:tc>
      </w:tr>
      <w:tr>
        <w:trPr>
          <w:cantSplit/>
          <w:trHeight w:hRule="atLeast"/>
        </w:trPr>
        <w:tc>
          <w:tcPr>
            <w:tcW w:type="dxa" w:w="2268"/>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可观测性</w:t>
            </w:r>
          </w:p>
        </w:tc>
        <w:tc>
          <w:tcPr>
            <w:tcW w:type="dxa" w:w="6803"/>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每一笔交易保留从选股信号、决策价、到达价、委托、成交、卖出原因到最终收益的完整因果链。</w:t>
            </w:r>
          </w:p>
        </w:tc>
      </w:tr>
    </w:tbl>
    <w:p>
      <w:pPr>
        <w:spacing w:after="40"/>
      </w:pPr>
    </w:p>
    <w:p>
      <w:pPr>
        <w:pStyle w:val="Heading2"/>
        <w:keepNext/>
      </w:pPr>
      <w:r>
        <w:rPr>
          <w:rFonts w:ascii="Noto Sans CJK SC" w:hAnsi="Noto Sans CJK SC" w:eastAsia="Noto Sans CJK SC"/>
          <w:b/>
          <w:color w:val="1F4E79"/>
          <w:sz w:val="26"/>
        </w:rPr>
        <w:t>2.2 本期边界</w:t>
      </w:r>
    </w:p>
    <w:p>
      <w:pPr>
        <w:pStyle w:val="ListBullet"/>
        <w:spacing w:before="0" w:after="40" w:line="300" w:lineRule="auto"/>
      </w:pPr>
      <w:r>
        <w:rPr>
          <w:rFonts w:ascii="Noto Sans CJK SC" w:hAnsi="Noto Sans CJK SC" w:eastAsia="Noto Sans CJK SC"/>
          <w:sz w:val="21"/>
        </w:rPr>
        <w:t>单个真实证券账户作为券商交易总账户。</w:t>
      </w:r>
    </w:p>
    <w:p>
      <w:pPr>
        <w:pStyle w:val="ListBullet"/>
        <w:spacing w:before="0" w:after="40" w:line="300" w:lineRule="auto"/>
      </w:pPr>
      <w:r>
        <w:rPr>
          <w:rFonts w:ascii="Noto Sans CJK SC" w:hAnsi="Noto Sans CJK SC" w:eastAsia="Noto Sans CJK SC"/>
          <w:sz w:val="21"/>
        </w:rPr>
        <w:t>股票类普通A股交易为主，遵守T+1与交易所价格、撤单、集合竞价等实际规则。</w:t>
      </w:r>
    </w:p>
    <w:p>
      <w:pPr>
        <w:pStyle w:val="ListBullet"/>
        <w:spacing w:before="0" w:after="40" w:line="300" w:lineRule="auto"/>
      </w:pPr>
      <w:r>
        <w:rPr>
          <w:rFonts w:ascii="Noto Sans CJK SC" w:hAnsi="Noto Sans CJK SC" w:eastAsia="Noto Sans CJK SC"/>
          <w:sz w:val="21"/>
        </w:rPr>
        <w:t>当前策略为尾盘买入、次日卖出；未来允许新增趋势、突破、事件驱动等策略。</w:t>
      </w:r>
    </w:p>
    <w:p>
      <w:pPr>
        <w:pStyle w:val="ListBullet"/>
        <w:spacing w:before="0" w:after="40" w:line="300" w:lineRule="auto"/>
      </w:pPr>
      <w:r>
        <w:rPr>
          <w:rFonts w:ascii="Noto Sans CJK SC" w:hAnsi="Noto Sans CJK SC" w:eastAsia="Noto Sans CJK SC"/>
          <w:sz w:val="21"/>
        </w:rPr>
        <w:t>最大同时交易股票数Hard Limit暂定15只。</w:t>
      </w:r>
    </w:p>
    <w:p>
      <w:pPr>
        <w:pStyle w:val="ListBullet"/>
        <w:spacing w:before="0" w:after="40" w:line="300" w:lineRule="auto"/>
      </w:pPr>
      <w:r>
        <w:rPr>
          <w:rFonts w:ascii="Noto Sans CJK SC" w:hAnsi="Noto Sans CJK SC" w:eastAsia="Noto Sans CJK SC"/>
          <w:sz w:val="21"/>
        </w:rPr>
        <w:t>Windows交易节点不承担中央收益查询和长期业务账本。</w:t>
      </w:r>
    </w:p>
    <w:p>
      <w:pPr>
        <w:pStyle w:val="ListBullet"/>
        <w:spacing w:before="0" w:after="40" w:line="300" w:lineRule="auto"/>
      </w:pPr>
      <w:r>
        <w:rPr>
          <w:rFonts w:ascii="Noto Sans CJK SC" w:hAnsi="Noto Sans CJK SC" w:eastAsia="Noto Sans CJK SC"/>
          <w:sz w:val="21"/>
        </w:rPr>
        <w:t>多人资金、份额核算等如后续实施，技术上归量化后台业务层；其合规安排需另行确认，不进入本期交易执行核心。</w:t>
      </w:r>
    </w:p>
    <w:p>
      <w:pPr>
        <w:pStyle w:val="Heading2"/>
        <w:keepNext/>
      </w:pPr>
      <w:r>
        <w:rPr>
          <w:rFonts w:ascii="Noto Sans CJK SC" w:hAnsi="Noto Sans CJK SC" w:eastAsia="Noto Sans CJK SC"/>
          <w:b/>
          <w:color w:val="1F4E79"/>
          <w:sz w:val="26"/>
        </w:rPr>
        <w:t>2.3 QMT接入假设</w:t>
      </w:r>
    </w:p>
    <w:p>
      <w:pPr>
        <w:spacing w:before="0" w:after="100" w:line="300" w:lineRule="auto"/>
      </w:pPr>
      <w:r>
        <w:rPr>
          <w:rFonts w:ascii="Noto Sans CJK SC" w:hAnsi="Noto Sans CJK SC" w:eastAsia="Noto Sans CJK SC"/>
        </w:rPr>
        <w:t>中金方面已反馈：不再单独审批MiniQMT名义权限，但可通过函数交易权限，在标准QMT登录界面勾选“独立交易”，支持外部Python、xtdata Tick、xttrader资产/持仓/委托/成交查询、实盘下单撤单以及委托/成交/错误回调。该能力在开户后必须通过POC逐项实测后，才可切换LIVE。</w:t>
      </w:r>
    </w:p>
    <w:p>
      <w:pPr>
        <w:pStyle w:val="Heading1"/>
        <w:keepNext/>
        <w:pageBreakBefore w:val="0"/>
      </w:pPr>
      <w:r>
        <w:rPr>
          <w:rFonts w:ascii="Noto Sans CJK SC" w:hAnsi="Noto Sans CJK SC" w:eastAsia="Noto Sans CJK SC"/>
          <w:b/>
          <w:color w:val="143A5F"/>
          <w:sz w:val="32"/>
        </w:rPr>
        <w:t>3. 核心架构原则</w:t>
      </w:r>
    </w:p>
    <w:tbl>
      <w:tblPr>
        <w:tblStyle w:val="TableGrid"/>
        <w:tblW w:type="auto" w:w="0"/>
        <w:jc w:val="center"/>
        <w:tblLayout w:type="fixed"/>
        <w:tblLook w:firstColumn="1" w:firstRow="1" w:lastColumn="0" w:lastRow="0" w:noHBand="0" w:noVBand="1" w:val="04A0"/>
      </w:tblPr>
      <w:tblGrid>
        <w:gridCol w:w="4986"/>
        <w:gridCol w:w="4986"/>
      </w:tblGrid>
      <w:tr>
        <w:trPr>
          <w:trHeight w:hRule="atLeast"/>
          <w:tblHeader w:val="true"/>
          <w:cantSplit/>
        </w:trPr>
        <w:tc>
          <w:tcPr>
            <w:tcW w:type="dxa" w:w="2551"/>
            <w:shd w:fill="1F4E78"/>
            <w:tcMar>
              <w:top w:w="90" w:type="dxa"/>
              <w:start w:w="90" w:type="dxa"/>
              <w:bottom w:w="90" w:type="dxa"/>
              <w:end w:w="90" w:type="dxa"/>
            </w:tcMar>
            <w:vAlign w:val="center"/>
          </w:tcPr>
          <w:p>
            <w:pPr>
              <w:spacing w:before="0" w:after="0" w:line="240" w:lineRule="auto"/>
              <w:jc w:val="center"/>
            </w:pPr>
            <w:r>
              <w:rPr>
                <w:rFonts w:ascii="Noto Sans CJK SC" w:hAnsi="Noto Sans CJK SC" w:eastAsia="Noto Sans CJK SC"/>
                <w:b/>
                <w:color w:val="FFFFFF"/>
                <w:sz w:val="18"/>
              </w:rPr>
              <w:t>原则</w:t>
            </w:r>
          </w:p>
        </w:tc>
        <w:tc>
          <w:tcPr>
            <w:tcW w:type="dxa" w:w="6520"/>
            <w:shd w:fill="1F4E78"/>
            <w:tcMar>
              <w:top w:w="90" w:type="dxa"/>
              <w:start w:w="90" w:type="dxa"/>
              <w:bottom w:w="90" w:type="dxa"/>
              <w:end w:w="90" w:type="dxa"/>
            </w:tcMar>
            <w:vAlign w:val="center"/>
          </w:tcPr>
          <w:p>
            <w:pPr>
              <w:spacing w:before="0" w:after="0" w:line="240" w:lineRule="auto"/>
              <w:jc w:val="center"/>
            </w:pPr>
            <w:r>
              <w:rPr>
                <w:rFonts w:ascii="Noto Sans CJK SC" w:hAnsi="Noto Sans CJK SC" w:eastAsia="Noto Sans CJK SC"/>
                <w:b/>
                <w:color w:val="FFFFFF"/>
                <w:sz w:val="18"/>
              </w:rPr>
              <w:t>设计含义</w:t>
            </w:r>
          </w:p>
        </w:tc>
      </w:tr>
      <w:tr>
        <w:trPr>
          <w:cantSplit/>
          <w:trHeight w:hRule="atLeast"/>
        </w:trPr>
        <w:tc>
          <w:tcPr>
            <w:tcW w:type="dxa" w:w="2551"/>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P1 策略不直接下单</w:t>
            </w:r>
          </w:p>
        </w:tc>
        <w:tc>
          <w:tcPr>
            <w:tcW w:type="dxa" w:w="6520"/>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Selection Strategy只产出信号或TradePlan；Entry/Exit Policy产出交易意图；Broker Gateway才允许触达QMT。</w:t>
            </w:r>
          </w:p>
        </w:tc>
      </w:tr>
      <w:tr>
        <w:trPr>
          <w:cantSplit/>
          <w:trHeight w:hRule="atLeast"/>
        </w:trPr>
        <w:tc>
          <w:tcPr>
            <w:tcW w:type="dxa" w:w="2551"/>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P2 交易不依赖后台在线</w:t>
            </w:r>
          </w:p>
        </w:tc>
        <w:tc>
          <w:tcPr>
            <w:tcW w:type="dxa" w:w="6520"/>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Plan加载到Windows后，CentOS/MySQL即使暂时不可用，Windows仍可按已冻结计划完成买入/卖出与风控。</w:t>
            </w:r>
          </w:p>
        </w:tc>
      </w:tr>
      <w:tr>
        <w:trPr>
          <w:cantSplit/>
          <w:trHeight w:hRule="atLeast"/>
        </w:trPr>
        <w:tc>
          <w:tcPr>
            <w:tcW w:type="dxa" w:w="2551"/>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P3 Tick热路径只走内存</w:t>
            </w:r>
          </w:p>
        </w:tc>
        <w:tc>
          <w:tcPr>
            <w:tcW w:type="dxa" w:w="6520"/>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QMT Tick → 内存状态 → Policy → Risk → Order Manager → QMT；不得同步访问MySQL、HTTP或大量磁盘I/O。</w:t>
            </w:r>
          </w:p>
        </w:tc>
      </w:tr>
      <w:tr>
        <w:trPr>
          <w:cantSplit/>
          <w:trHeight w:hRule="atLeast"/>
        </w:trPr>
        <w:tc>
          <w:tcPr>
            <w:tcW w:type="dxa" w:w="2551"/>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P4 回调为快通道，查询为保险</w:t>
            </w:r>
          </w:p>
        </w:tc>
        <w:tc>
          <w:tcPr>
            <w:tcW w:type="dxa" w:w="6520"/>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委托/成交回调实时更新；定时query_stock_*用于补偿、对账和重启恢复。</w:t>
            </w:r>
          </w:p>
        </w:tc>
      </w:tr>
      <w:tr>
        <w:trPr>
          <w:cantSplit/>
          <w:trHeight w:hRule="atLeast"/>
        </w:trPr>
        <w:tc>
          <w:tcPr>
            <w:tcW w:type="dxa" w:w="2551"/>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P5 券商事实优先</w:t>
            </w:r>
          </w:p>
        </w:tc>
        <w:tc>
          <w:tcPr>
            <w:tcW w:type="dxa" w:w="6520"/>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实际成交价、成交数量、可卖数量、委托状态以QMT/中金柜台为准。</w:t>
            </w:r>
          </w:p>
        </w:tc>
      </w:tr>
      <w:tr>
        <w:trPr>
          <w:cantSplit/>
          <w:trHeight w:hRule="atLeast"/>
        </w:trPr>
        <w:tc>
          <w:tcPr>
            <w:tcW w:type="dxa" w:w="2551"/>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P6 业务账本集中</w:t>
            </w:r>
          </w:p>
        </w:tc>
        <w:tc>
          <w:tcPr>
            <w:tcW w:type="dxa" w:w="6520"/>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策略归属、信号、滑点、收益、净值、复盘统一在量化后台MySQL。</w:t>
            </w:r>
          </w:p>
        </w:tc>
      </w:tr>
      <w:tr>
        <w:trPr>
          <w:cantSplit/>
          <w:trHeight w:hRule="atLeast"/>
        </w:trPr>
        <w:tc>
          <w:tcPr>
            <w:tcW w:type="dxa" w:w="2551"/>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P7 本地人工控制优先</w:t>
            </w:r>
          </w:p>
        </w:tc>
        <w:tc>
          <w:tcPr>
            <w:tcW w:type="dxa" w:w="6520"/>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Windows上的暂停/接管/SELL ONLY不能被后台普通TradePlan自动覆盖。</w:t>
            </w:r>
          </w:p>
        </w:tc>
      </w:tr>
      <w:tr>
        <w:trPr>
          <w:cantSplit/>
          <w:trHeight w:hRule="atLeast"/>
        </w:trPr>
        <w:tc>
          <w:tcPr>
            <w:tcW w:type="dxa" w:w="2551"/>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P8 版本冻结</w:t>
            </w:r>
          </w:p>
        </w:tc>
        <w:tc>
          <w:tcPr>
            <w:tcW w:type="dxa" w:w="6520"/>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每笔交易永久记录selection、entry、exit、risk、execution版本，确保可复现。</w:t>
            </w:r>
          </w:p>
        </w:tc>
      </w:tr>
      <w:tr>
        <w:trPr>
          <w:cantSplit/>
          <w:trHeight w:hRule="atLeast"/>
        </w:trPr>
        <w:tc>
          <w:tcPr>
            <w:tcW w:type="dxa" w:w="2551"/>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P9 安全失败</w:t>
            </w:r>
          </w:p>
        </w:tc>
        <w:tc>
          <w:tcPr>
            <w:tcW w:type="dxa" w:w="6520"/>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无法确认状态时禁止新增风险；默认进入SAFE_MODE或SELL_ONLY，而不是猜测继续下单。</w:t>
            </w:r>
          </w:p>
        </w:tc>
      </w:tr>
      <w:tr>
        <w:trPr>
          <w:cantSplit/>
          <w:trHeight w:hRule="atLeast"/>
        </w:trPr>
        <w:tc>
          <w:tcPr>
            <w:tcW w:type="dxa" w:w="2551"/>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P10 不过度工程</w:t>
            </w:r>
          </w:p>
        </w:tc>
        <w:tc>
          <w:tcPr>
            <w:tcW w:type="dxa" w:w="6520"/>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最多15只股票无需Kafka/Kubernetes；优先实现清晰状态机、幂等和可恢复性。</w:t>
            </w:r>
          </w:p>
        </w:tc>
      </w:tr>
    </w:tbl>
    <w:p>
      <w:pPr>
        <w:spacing w:after="40"/>
      </w:pPr>
    </w:p>
    <w:p>
      <w:pPr>
        <w:pStyle w:val="Heading1"/>
        <w:keepNext/>
        <w:pageBreakBefore w:val="0"/>
      </w:pPr>
      <w:r>
        <w:rPr>
          <w:rFonts w:ascii="Noto Sans CJK SC" w:hAnsi="Noto Sans CJK SC" w:eastAsia="Noto Sans CJK SC"/>
          <w:b/>
          <w:color w:val="143A5F"/>
          <w:sz w:val="32"/>
        </w:rPr>
        <w:t>4. 系统总体架构与部署拓扑</w:t>
      </w:r>
    </w:p>
    <w:p>
      <w:pPr>
        <w:pStyle w:val="Heading2"/>
        <w:keepNext/>
      </w:pPr>
      <w:r>
        <w:rPr>
          <w:rFonts w:ascii="Noto Sans CJK SC" w:hAnsi="Noto Sans CJK SC" w:eastAsia="Noto Sans CJK SC"/>
          <w:b/>
          <w:color w:val="1F4E79"/>
          <w:sz w:val="26"/>
        </w:rPr>
        <w:t>4.1 逻辑总图</w:t>
      </w:r>
    </w:p>
    <w:tbl>
      <w:tblPr>
        <w:tblW w:type="auto" w:w="0"/>
        <w:jc w:val="center"/>
        <w:tblLayout w:type="fixed"/>
        <w:tblLook w:firstColumn="1" w:firstRow="1" w:lastColumn="0" w:lastRow="0" w:noHBand="0" w:noVBand="1" w:val="04A0"/>
      </w:tblPr>
      <w:tblGrid>
        <w:gridCol w:w="9972"/>
      </w:tblGrid>
      <w:tr>
        <w:trPr>
          <w:trHeight w:hRule="atLeast"/>
        </w:trPr>
        <w:tc>
          <w:tcPr>
            <w:tcW w:type="dxa" w:w="9184"/>
            <w:shd w:fill="D9EAF7"/>
            <w:tcMar>
              <w:top w:w="120" w:type="dxa"/>
              <w:start w:w="160" w:type="dxa"/>
              <w:bottom w:w="120" w:type="dxa"/>
              <w:end w:w="160" w:type="dxa"/>
            </w:tcMar>
          </w:tcPr>
          <w:p>
            <w:pPr>
              <w:spacing w:before="0" w:after="40" w:line="240" w:lineRule="auto"/>
              <w:jc w:val="center"/>
            </w:pPr>
            <w:r>
              <w:rPr>
                <w:rFonts w:ascii="Noto Sans CJK SC" w:hAnsi="Noto Sans CJK SC" w:eastAsia="Noto Sans CJK SC"/>
                <w:b/>
                <w:color w:val="1F4E79"/>
                <w:sz w:val="22"/>
              </w:rPr>
              <w:t>A. Quant Platform / CentOS</w:t>
            </w:r>
          </w:p>
          <w:p>
            <w:pPr>
              <w:spacing w:before="0" w:after="0" w:line="264" w:lineRule="auto"/>
              <w:jc w:val="center"/>
            </w:pPr>
            <w:r>
              <w:rPr>
                <w:rFonts w:ascii="Noto Sans CJK SC" w:hAnsi="Noto Sans CJK SC" w:eastAsia="Noto Sans CJK SC"/>
                <w:sz w:val="18"/>
              </w:rPr>
              <w:t>选股 · 评分 · 组合仓位 · TradePlan · 策略版本 · 中央MySQL账本 · PnL/滑点 · 回测/Replay · 管理后台</w:t>
            </w:r>
          </w:p>
        </w:tc>
      </w:tr>
    </w:tbl>
    <w:p>
      <w:pPr>
        <w:spacing w:before="0" w:after="20" w:line="240" w:lineRule="auto"/>
        <w:jc w:val="center"/>
      </w:pPr>
      <w:r>
        <w:rPr>
          <w:rFonts w:ascii="Noto Sans CJK SC" w:hAnsi="Noto Sans CJK SC" w:eastAsia="Noto Sans CJK SC"/>
          <w:b/>
          <w:color w:val="5A646E"/>
          <w:sz w:val="30"/>
        </w:rPr>
        <w:t>↓</w:t>
      </w:r>
    </w:p>
    <w:tbl>
      <w:tblPr>
        <w:tblW w:type="auto" w:w="0"/>
        <w:jc w:val="center"/>
        <w:tblLayout w:type="fixed"/>
        <w:tblLook w:firstColumn="1" w:firstRow="1" w:lastColumn="0" w:lastRow="0" w:noHBand="0" w:noVBand="1" w:val="04A0"/>
      </w:tblPr>
      <w:tblGrid>
        <w:gridCol w:w="9972"/>
      </w:tblGrid>
      <w:tr>
        <w:trPr>
          <w:trHeight w:hRule="atLeast"/>
        </w:trPr>
        <w:tc>
          <w:tcPr>
            <w:tcW w:type="dxa" w:w="9184"/>
            <w:shd w:fill="EEF3F8"/>
            <w:tcMar>
              <w:top w:w="120" w:type="dxa"/>
              <w:start w:w="160" w:type="dxa"/>
              <w:bottom w:w="120" w:type="dxa"/>
              <w:end w:w="160" w:type="dxa"/>
            </w:tcMar>
          </w:tcPr>
          <w:p>
            <w:pPr>
              <w:spacing w:before="0" w:after="40" w:line="240" w:lineRule="auto"/>
              <w:jc w:val="center"/>
            </w:pPr>
            <w:r>
              <w:rPr>
                <w:rFonts w:ascii="Noto Sans CJK SC" w:hAnsi="Noto Sans CJK SC" w:eastAsia="Noto Sans CJK SC"/>
                <w:b/>
                <w:color w:val="1F4E79"/>
                <w:sz w:val="22"/>
              </w:rPr>
              <w:t>B. Plan / Control / Event Channel</w:t>
            </w:r>
          </w:p>
          <w:p>
            <w:pPr>
              <w:spacing w:before="0" w:after="0" w:line="264" w:lineRule="auto"/>
              <w:jc w:val="center"/>
            </w:pPr>
            <w:r>
              <w:rPr>
                <w:rFonts w:ascii="Noto Sans CJK SC" w:hAnsi="Noto Sans CJK SC" w:eastAsia="Noto Sans CJK SC"/>
                <w:sz w:val="18"/>
              </w:rPr>
              <w:t>HTTPS/私网API为基础；可选NATS做Plan Ready与事件通知；所有消息具有plan_id / event_id / version / timestamp</w:t>
            </w:r>
          </w:p>
        </w:tc>
      </w:tr>
    </w:tbl>
    <w:p>
      <w:pPr>
        <w:spacing w:before="0" w:after="20" w:line="240" w:lineRule="auto"/>
        <w:jc w:val="center"/>
      </w:pPr>
      <w:r>
        <w:rPr>
          <w:rFonts w:ascii="Noto Sans CJK SC" w:hAnsi="Noto Sans CJK SC" w:eastAsia="Noto Sans CJK SC"/>
          <w:b/>
          <w:color w:val="5A646E"/>
          <w:sz w:val="30"/>
        </w:rPr>
        <w:t>↓</w:t>
      </w:r>
    </w:p>
    <w:tbl>
      <w:tblPr>
        <w:tblW w:type="auto" w:w="0"/>
        <w:jc w:val="center"/>
        <w:tblLayout w:type="fixed"/>
        <w:tblLook w:firstColumn="1" w:firstRow="1" w:lastColumn="0" w:lastRow="0" w:noHBand="0" w:noVBand="1" w:val="04A0"/>
      </w:tblPr>
      <w:tblGrid>
        <w:gridCol w:w="9972"/>
      </w:tblGrid>
      <w:tr>
        <w:trPr>
          <w:trHeight w:hRule="atLeast"/>
        </w:trPr>
        <w:tc>
          <w:tcPr>
            <w:tcW w:type="dxa" w:w="9184"/>
            <w:shd w:fill="E2F0D9"/>
            <w:tcMar>
              <w:top w:w="120" w:type="dxa"/>
              <w:start w:w="160" w:type="dxa"/>
              <w:bottom w:w="120" w:type="dxa"/>
              <w:end w:w="160" w:type="dxa"/>
            </w:tcMar>
          </w:tcPr>
          <w:p>
            <w:pPr>
              <w:spacing w:before="0" w:after="40" w:line="240" w:lineRule="auto"/>
              <w:jc w:val="center"/>
            </w:pPr>
            <w:r>
              <w:rPr>
                <w:rFonts w:ascii="Noto Sans CJK SC" w:hAnsi="Noto Sans CJK SC" w:eastAsia="Noto Sans CJK SC"/>
                <w:b/>
                <w:color w:val="1F4E79"/>
                <w:sz w:val="22"/>
              </w:rPr>
              <w:t>C. Windows Trading Node</w:t>
            </w:r>
          </w:p>
          <w:p>
            <w:pPr>
              <w:spacing w:before="0" w:after="0" w:line="264" w:lineRule="auto"/>
              <w:jc w:val="center"/>
            </w:pPr>
            <w:r>
              <w:rPr>
                <w:rFonts w:ascii="Noto Sans CJK SC" w:hAnsi="Noto Sans CJK SC" w:eastAsia="Noto Sans CJK SC"/>
                <w:sz w:val="18"/>
              </w:rPr>
              <w:t>Plan Sync · QMT Market Gateway · Strategy Runtime · Portfolio Guard · Risk Engine · Execution Engine · Order Manager · Reconcile · Outbox · Sync Agent · Watchdog</w:t>
            </w:r>
          </w:p>
        </w:tc>
      </w:tr>
    </w:tbl>
    <w:p>
      <w:pPr>
        <w:spacing w:before="0" w:after="20" w:line="240" w:lineRule="auto"/>
        <w:jc w:val="center"/>
      </w:pPr>
      <w:r>
        <w:rPr>
          <w:rFonts w:ascii="Noto Sans CJK SC" w:hAnsi="Noto Sans CJK SC" w:eastAsia="Noto Sans CJK SC"/>
          <w:b/>
          <w:color w:val="5A646E"/>
          <w:sz w:val="30"/>
        </w:rPr>
        <w:t>↓</w:t>
      </w:r>
    </w:p>
    <w:tbl>
      <w:tblPr>
        <w:tblW w:type="auto" w:w="0"/>
        <w:jc w:val="center"/>
        <w:tblLayout w:type="fixed"/>
        <w:tblLook w:firstColumn="1" w:firstRow="1" w:lastColumn="0" w:lastRow="0" w:noHBand="0" w:noVBand="1" w:val="04A0"/>
      </w:tblPr>
      <w:tblGrid>
        <w:gridCol w:w="9972"/>
      </w:tblGrid>
      <w:tr>
        <w:trPr>
          <w:trHeight w:hRule="atLeast"/>
        </w:trPr>
        <w:tc>
          <w:tcPr>
            <w:tcW w:type="dxa" w:w="9184"/>
            <w:shd w:fill="FFF2CC"/>
            <w:tcMar>
              <w:top w:w="120" w:type="dxa"/>
              <w:start w:w="160" w:type="dxa"/>
              <w:bottom w:w="120" w:type="dxa"/>
              <w:end w:w="160" w:type="dxa"/>
            </w:tcMar>
          </w:tcPr>
          <w:p>
            <w:pPr>
              <w:spacing w:before="0" w:after="40" w:line="240" w:lineRule="auto"/>
              <w:jc w:val="center"/>
            </w:pPr>
            <w:r>
              <w:rPr>
                <w:rFonts w:ascii="Noto Sans CJK SC" w:hAnsi="Noto Sans CJK SC" w:eastAsia="Noto Sans CJK SC"/>
                <w:b/>
                <w:color w:val="1F4E79"/>
                <w:sz w:val="22"/>
              </w:rPr>
              <w:t>D. CICC QMT / 独立交易</w:t>
            </w:r>
          </w:p>
          <w:p>
            <w:pPr>
              <w:spacing w:before="0" w:after="0" w:line="264" w:lineRule="auto"/>
              <w:jc w:val="center"/>
            </w:pPr>
            <w:r>
              <w:rPr>
                <w:rFonts w:ascii="Noto Sans CJK SC" w:hAnsi="Noto Sans CJK SC" w:eastAsia="Noto Sans CJK SC"/>
                <w:sz w:val="18"/>
              </w:rPr>
              <w:t>XtData实时行情 + XtTrader资产/持仓/委托/成交 + 下单/撤单 + 委托/成交/错误/连接回调</w:t>
            </w:r>
          </w:p>
        </w:tc>
      </w:tr>
    </w:tbl>
    <w:p>
      <w:pPr>
        <w:spacing w:before="0" w:after="20" w:line="240" w:lineRule="auto"/>
        <w:jc w:val="center"/>
      </w:pPr>
      <w:r>
        <w:rPr>
          <w:rFonts w:ascii="Noto Sans CJK SC" w:hAnsi="Noto Sans CJK SC" w:eastAsia="Noto Sans CJK SC"/>
          <w:b/>
          <w:color w:val="5A646E"/>
          <w:sz w:val="30"/>
        </w:rPr>
        <w:t>↓</w:t>
      </w:r>
    </w:p>
    <w:tbl>
      <w:tblPr>
        <w:tblW w:type="auto" w:w="0"/>
        <w:jc w:val="center"/>
        <w:tblLayout w:type="fixed"/>
        <w:tblLook w:firstColumn="1" w:firstRow="1" w:lastColumn="0" w:lastRow="0" w:noHBand="0" w:noVBand="1" w:val="04A0"/>
      </w:tblPr>
      <w:tblGrid>
        <w:gridCol w:w="9972"/>
      </w:tblGrid>
      <w:tr>
        <w:trPr>
          <w:trHeight w:hRule="atLeast"/>
        </w:trPr>
        <w:tc>
          <w:tcPr>
            <w:tcW w:type="dxa" w:w="9184"/>
            <w:shd w:fill="FCE4D6"/>
            <w:tcMar>
              <w:top w:w="120" w:type="dxa"/>
              <w:start w:w="160" w:type="dxa"/>
              <w:bottom w:w="120" w:type="dxa"/>
              <w:end w:w="160" w:type="dxa"/>
            </w:tcMar>
          </w:tcPr>
          <w:p>
            <w:pPr>
              <w:spacing w:before="0" w:after="40" w:line="240" w:lineRule="auto"/>
              <w:jc w:val="center"/>
            </w:pPr>
            <w:r>
              <w:rPr>
                <w:rFonts w:ascii="Noto Sans CJK SC" w:hAnsi="Noto Sans CJK SC" w:eastAsia="Noto Sans CJK SC"/>
                <w:b/>
                <w:color w:val="1F4E79"/>
                <w:sz w:val="22"/>
              </w:rPr>
              <w:t>E. 中金柜台 / 交易所</w:t>
            </w:r>
          </w:p>
          <w:p>
            <w:pPr>
              <w:spacing w:before="0" w:after="0" w:line="264" w:lineRule="auto"/>
              <w:jc w:val="center"/>
            </w:pPr>
            <w:r>
              <w:rPr>
                <w:rFonts w:ascii="Noto Sans CJK SC" w:hAnsi="Noto Sans CJK SC" w:eastAsia="Noto Sans CJK SC"/>
                <w:sz w:val="18"/>
              </w:rPr>
              <w:t>真实账户、可用资金、可卖数量、订单、实际成交与交易规则</w:t>
            </w:r>
          </w:p>
        </w:tc>
      </w:tr>
    </w:tbl>
    <w:p>
      <w:pPr>
        <w:pStyle w:val="Heading2"/>
        <w:keepNext/>
      </w:pPr>
      <w:r>
        <w:rPr>
          <w:rFonts w:ascii="Noto Sans CJK SC" w:hAnsi="Noto Sans CJK SC" w:eastAsia="Noto Sans CJK SC"/>
          <w:b/>
          <w:color w:val="1F4E79"/>
          <w:sz w:val="26"/>
        </w:rPr>
        <w:t>4.2 推荐部署</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rHeight w:hRule="atLeast"/>
          <w:tblHeader w:val="true"/>
          <w:cantSplit/>
        </w:trPr>
        <w:tc>
          <w:tcPr>
            <w:tcW w:type="dxa" w:w="1701"/>
            <w:shd w:fill="1F4E78"/>
            <w:tcMar>
              <w:top w:w="90" w:type="dxa"/>
              <w:start w:w="90" w:type="dxa"/>
              <w:bottom w:w="90" w:type="dxa"/>
              <w:end w:w="90" w:type="dxa"/>
            </w:tcMar>
            <w:vAlign w:val="center"/>
          </w:tcPr>
          <w:p>
            <w:pPr>
              <w:spacing w:before="0" w:after="0" w:line="240" w:lineRule="auto"/>
              <w:jc w:val="center"/>
            </w:pPr>
            <w:r>
              <w:rPr>
                <w:rFonts w:ascii="Noto Sans CJK SC" w:hAnsi="Noto Sans CJK SC" w:eastAsia="Noto Sans CJK SC"/>
                <w:b/>
                <w:color w:val="FFFFFF"/>
                <w:sz w:val="18"/>
              </w:rPr>
              <w:t>节点</w:t>
            </w:r>
          </w:p>
        </w:tc>
        <w:tc>
          <w:tcPr>
            <w:tcW w:type="dxa" w:w="2098"/>
            <w:shd w:fill="1F4E78"/>
            <w:tcMar>
              <w:top w:w="90" w:type="dxa"/>
              <w:start w:w="90" w:type="dxa"/>
              <w:bottom w:w="90" w:type="dxa"/>
              <w:end w:w="90" w:type="dxa"/>
            </w:tcMar>
            <w:vAlign w:val="center"/>
          </w:tcPr>
          <w:p>
            <w:pPr>
              <w:spacing w:before="0" w:after="0" w:line="240" w:lineRule="auto"/>
              <w:jc w:val="center"/>
            </w:pPr>
            <w:r>
              <w:rPr>
                <w:rFonts w:ascii="Noto Sans CJK SC" w:hAnsi="Noto Sans CJK SC" w:eastAsia="Noto Sans CJK SC"/>
                <w:b/>
                <w:color w:val="FFFFFF"/>
                <w:sz w:val="18"/>
              </w:rPr>
              <w:t>系统</w:t>
            </w:r>
          </w:p>
        </w:tc>
        <w:tc>
          <w:tcPr>
            <w:tcW w:type="dxa" w:w="2891"/>
            <w:shd w:fill="1F4E78"/>
            <w:tcMar>
              <w:top w:w="90" w:type="dxa"/>
              <w:start w:w="90" w:type="dxa"/>
              <w:bottom w:w="90" w:type="dxa"/>
              <w:end w:w="90" w:type="dxa"/>
            </w:tcMar>
            <w:vAlign w:val="center"/>
          </w:tcPr>
          <w:p>
            <w:pPr>
              <w:spacing w:before="0" w:after="0" w:line="240" w:lineRule="auto"/>
              <w:jc w:val="center"/>
            </w:pPr>
            <w:r>
              <w:rPr>
                <w:rFonts w:ascii="Noto Sans CJK SC" w:hAnsi="Noto Sans CJK SC" w:eastAsia="Noto Sans CJK SC"/>
                <w:b/>
                <w:color w:val="FFFFFF"/>
                <w:sz w:val="18"/>
              </w:rPr>
              <w:t>核心软件</w:t>
            </w:r>
          </w:p>
        </w:tc>
        <w:tc>
          <w:tcPr>
            <w:tcW w:type="dxa" w:w="2268"/>
            <w:shd w:fill="1F4E78"/>
            <w:tcMar>
              <w:top w:w="90" w:type="dxa"/>
              <w:start w:w="90" w:type="dxa"/>
              <w:bottom w:w="90" w:type="dxa"/>
              <w:end w:w="90" w:type="dxa"/>
            </w:tcMar>
            <w:vAlign w:val="center"/>
          </w:tcPr>
          <w:p>
            <w:pPr>
              <w:spacing w:before="0" w:after="0" w:line="240" w:lineRule="auto"/>
              <w:jc w:val="center"/>
            </w:pPr>
            <w:r>
              <w:rPr>
                <w:rFonts w:ascii="Noto Sans CJK SC" w:hAnsi="Noto Sans CJK SC" w:eastAsia="Noto Sans CJK SC"/>
                <w:b/>
                <w:color w:val="FFFFFF"/>
                <w:sz w:val="18"/>
              </w:rPr>
              <w:t>网络与职责</w:t>
            </w:r>
          </w:p>
        </w:tc>
      </w:tr>
      <w:tr>
        <w:trPr>
          <w:cantSplit/>
          <w:trHeight w:hRule="atLeast"/>
        </w:trPr>
        <w:tc>
          <w:tcPr>
            <w:tcW w:type="dxa" w:w="1701"/>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量化后台</w:t>
            </w:r>
          </w:p>
        </w:tc>
        <w:tc>
          <w:tcPr>
            <w:tcW w:type="dxa" w:w="2098"/>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现有CentOS/Linux</w:t>
            </w:r>
          </w:p>
        </w:tc>
        <w:tc>
          <w:tcPr>
            <w:tcW w:type="dxa" w:w="2891"/>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量化服务、MySQL、历史行情/回测、管理后台</w:t>
            </w:r>
          </w:p>
        </w:tc>
        <w:tc>
          <w:tcPr>
            <w:tcW w:type="dxa" w:w="2268"/>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策略与业务中心；不直接下单。</w:t>
            </w:r>
          </w:p>
        </w:tc>
      </w:tr>
      <w:tr>
        <w:trPr>
          <w:cantSplit/>
          <w:trHeight w:hRule="atLeast"/>
        </w:trPr>
        <w:tc>
          <w:tcPr>
            <w:tcW w:type="dxa" w:w="1701"/>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交易执行节点</w:t>
            </w:r>
          </w:p>
        </w:tc>
        <w:tc>
          <w:tcPr>
            <w:tcW w:type="dxa" w:w="2098"/>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Windows Server 2022 / Windows 11 x64</w:t>
            </w:r>
          </w:p>
        </w:tc>
        <w:tc>
          <w:tcPr>
            <w:tcW w:type="dxa" w:w="2891"/>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中金QMT、Python、XtQuant、trade-runtime、sync-agent、watchdog</w:t>
            </w:r>
          </w:p>
        </w:tc>
        <w:tc>
          <w:tcPr>
            <w:tcW w:type="dxa" w:w="2268"/>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与QMT同机；只允许该节点拥有实盘下单权限。</w:t>
            </w:r>
          </w:p>
        </w:tc>
      </w:tr>
      <w:tr>
        <w:trPr>
          <w:cantSplit/>
          <w:trHeight w:hRule="atLeast"/>
        </w:trPr>
        <w:tc>
          <w:tcPr>
            <w:tcW w:type="dxa" w:w="1701"/>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可选行情/存储扩展</w:t>
            </w:r>
          </w:p>
        </w:tc>
        <w:tc>
          <w:tcPr>
            <w:tcW w:type="dxa" w:w="2098"/>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CentOS</w:t>
            </w:r>
          </w:p>
        </w:tc>
        <w:tc>
          <w:tcPr>
            <w:tcW w:type="dxa" w:w="2891"/>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Redis/ClickHouse/Parquet</w:t>
            </w:r>
          </w:p>
        </w:tc>
        <w:tc>
          <w:tcPr>
            <w:tcW w:type="dxa" w:w="2268"/>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全市场实时行情、历史Tick/分钟数据扩展，不进入实盘Tick热路径。</w:t>
            </w:r>
          </w:p>
        </w:tc>
      </w:tr>
    </w:tbl>
    <w:p>
      <w:pPr>
        <w:spacing w:after="40"/>
      </w:pPr>
    </w:p>
    <w:p>
      <w:pPr>
        <w:pStyle w:val="Heading1"/>
        <w:keepNext/>
        <w:pageBreakBefore w:val="0"/>
      </w:pPr>
      <w:r>
        <w:rPr>
          <w:rFonts w:ascii="Noto Sans CJK SC" w:hAnsi="Noto Sans CJK SC" w:eastAsia="Noto Sans CJK SC"/>
          <w:b/>
          <w:color w:val="143A5F"/>
          <w:sz w:val="32"/>
        </w:rPr>
        <w:t>5. 组件职责与 Source of Truth</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rHeight w:hRule="atLeast"/>
          <w:tblHeader w:val="true"/>
          <w:cantSplit/>
        </w:trPr>
        <w:tc>
          <w:tcPr>
            <w:tcW w:type="dxa" w:w="1757"/>
            <w:shd w:fill="1F4E78"/>
            <w:tcMar>
              <w:top w:w="90" w:type="dxa"/>
              <w:start w:w="90" w:type="dxa"/>
              <w:bottom w:w="90" w:type="dxa"/>
              <w:end w:w="90" w:type="dxa"/>
            </w:tcMar>
            <w:vAlign w:val="center"/>
          </w:tcPr>
          <w:p>
            <w:pPr>
              <w:spacing w:before="0" w:after="0" w:line="240" w:lineRule="auto"/>
              <w:jc w:val="center"/>
            </w:pPr>
            <w:r>
              <w:rPr>
                <w:rFonts w:ascii="Noto Sans CJK SC" w:hAnsi="Noto Sans CJK SC" w:eastAsia="Noto Sans CJK SC"/>
                <w:b/>
                <w:color w:val="FFFFFF"/>
                <w:sz w:val="18"/>
              </w:rPr>
              <w:t>对象</w:t>
            </w:r>
          </w:p>
        </w:tc>
        <w:tc>
          <w:tcPr>
            <w:tcW w:type="dxa" w:w="2211"/>
            <w:shd w:fill="1F4E78"/>
            <w:tcMar>
              <w:top w:w="90" w:type="dxa"/>
              <w:start w:w="90" w:type="dxa"/>
              <w:bottom w:w="90" w:type="dxa"/>
              <w:end w:w="90" w:type="dxa"/>
            </w:tcMar>
            <w:vAlign w:val="center"/>
          </w:tcPr>
          <w:p>
            <w:pPr>
              <w:spacing w:before="0" w:after="0" w:line="240" w:lineRule="auto"/>
              <w:jc w:val="center"/>
            </w:pPr>
            <w:r>
              <w:rPr>
                <w:rFonts w:ascii="Noto Sans CJK SC" w:hAnsi="Noto Sans CJK SC" w:eastAsia="Noto Sans CJK SC"/>
                <w:b/>
                <w:color w:val="FFFFFF"/>
                <w:sz w:val="18"/>
              </w:rPr>
              <w:t>最终事实源</w:t>
            </w:r>
          </w:p>
        </w:tc>
        <w:tc>
          <w:tcPr>
            <w:tcW w:type="dxa" w:w="2665"/>
            <w:shd w:fill="1F4E78"/>
            <w:tcMar>
              <w:top w:w="90" w:type="dxa"/>
              <w:start w:w="90" w:type="dxa"/>
              <w:bottom w:w="90" w:type="dxa"/>
              <w:end w:w="90" w:type="dxa"/>
            </w:tcMar>
            <w:vAlign w:val="center"/>
          </w:tcPr>
          <w:p>
            <w:pPr>
              <w:spacing w:before="0" w:after="0" w:line="240" w:lineRule="auto"/>
              <w:jc w:val="center"/>
            </w:pPr>
            <w:r>
              <w:rPr>
                <w:rFonts w:ascii="Noto Sans CJK SC" w:hAnsi="Noto Sans CJK SC" w:eastAsia="Noto Sans CJK SC"/>
                <w:b/>
                <w:color w:val="FFFFFF"/>
                <w:sz w:val="18"/>
              </w:rPr>
              <w:t>Windows职责</w:t>
            </w:r>
          </w:p>
        </w:tc>
        <w:tc>
          <w:tcPr>
            <w:tcW w:type="dxa" w:w="2381"/>
            <w:shd w:fill="1F4E78"/>
            <w:tcMar>
              <w:top w:w="90" w:type="dxa"/>
              <w:start w:w="90" w:type="dxa"/>
              <w:bottom w:w="90" w:type="dxa"/>
              <w:end w:w="90" w:type="dxa"/>
            </w:tcMar>
            <w:vAlign w:val="center"/>
          </w:tcPr>
          <w:p>
            <w:pPr>
              <w:spacing w:before="0" w:after="0" w:line="240" w:lineRule="auto"/>
              <w:jc w:val="center"/>
            </w:pPr>
            <w:r>
              <w:rPr>
                <w:rFonts w:ascii="Noto Sans CJK SC" w:hAnsi="Noto Sans CJK SC" w:eastAsia="Noto Sans CJK SC"/>
                <w:b/>
                <w:color w:val="FFFFFF"/>
                <w:sz w:val="18"/>
              </w:rPr>
              <w:t>后台职责</w:t>
            </w:r>
          </w:p>
        </w:tc>
      </w:tr>
      <w:tr>
        <w:trPr>
          <w:cantSplit/>
          <w:trHeight w:hRule="atLeast"/>
        </w:trPr>
        <w:tc>
          <w:tcPr>
            <w:tcW w:type="dxa" w:w="1757"/>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真实总资产/现金</w:t>
            </w:r>
          </w:p>
        </w:tc>
        <w:tc>
          <w:tcPr>
            <w:tcW w:type="dxa" w:w="2211"/>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QMT/中金柜台</w:t>
            </w:r>
          </w:p>
        </w:tc>
        <w:tc>
          <w:tcPr>
            <w:tcW w:type="dxa" w:w="2665"/>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查询、缓存、健康校验</w:t>
            </w:r>
          </w:p>
        </w:tc>
        <w:tc>
          <w:tcPr>
            <w:tcW w:type="dxa" w:w="2381"/>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保存快照、展示、收益计算</w:t>
            </w:r>
          </w:p>
        </w:tc>
      </w:tr>
      <w:tr>
        <w:trPr>
          <w:cantSplit/>
          <w:trHeight w:hRule="atLeast"/>
        </w:trPr>
        <w:tc>
          <w:tcPr>
            <w:tcW w:type="dxa" w:w="1757"/>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真实持仓/可卖</w:t>
            </w:r>
          </w:p>
        </w:tc>
        <w:tc>
          <w:tcPr>
            <w:tcW w:type="dxa" w:w="2211"/>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QMT/中金柜台</w:t>
            </w:r>
          </w:p>
        </w:tc>
        <w:tc>
          <w:tcPr>
            <w:tcW w:type="dxa" w:w="2665"/>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交易前校验、实时恢复</w:t>
            </w:r>
          </w:p>
        </w:tc>
        <w:tc>
          <w:tcPr>
            <w:tcW w:type="dxa" w:w="2381"/>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保存持仓快照、历史查询</w:t>
            </w:r>
          </w:p>
        </w:tc>
      </w:tr>
      <w:tr>
        <w:trPr>
          <w:cantSplit/>
          <w:trHeight w:hRule="atLeast"/>
        </w:trPr>
        <w:tc>
          <w:tcPr>
            <w:tcW w:type="dxa" w:w="1757"/>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真实委托/成交</w:t>
            </w:r>
          </w:p>
        </w:tc>
        <w:tc>
          <w:tcPr>
            <w:tcW w:type="dxa" w:w="2211"/>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QMT/中金柜台</w:t>
            </w:r>
          </w:p>
        </w:tc>
        <w:tc>
          <w:tcPr>
            <w:tcW w:type="dxa" w:w="2665"/>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回调处理、查询补偿、状态机</w:t>
            </w:r>
          </w:p>
        </w:tc>
        <w:tc>
          <w:tcPr>
            <w:tcW w:type="dxa" w:w="2381"/>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中央订单/成交账本</w:t>
            </w:r>
          </w:p>
        </w:tc>
      </w:tr>
      <w:tr>
        <w:trPr>
          <w:cantSplit/>
          <w:trHeight w:hRule="atLeast"/>
        </w:trPr>
        <w:tc>
          <w:tcPr>
            <w:tcW w:type="dxa" w:w="1757"/>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当前Runtime状态</w:t>
            </w:r>
          </w:p>
        </w:tc>
        <w:tc>
          <w:tcPr>
            <w:tcW w:type="dxa" w:w="2211"/>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Windows内存</w:t>
            </w:r>
          </w:p>
        </w:tc>
        <w:tc>
          <w:tcPr>
            <w:tcW w:type="dxa" w:w="2665"/>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唯一实时运行状态</w:t>
            </w:r>
          </w:p>
        </w:tc>
        <w:tc>
          <w:tcPr>
            <w:tcW w:type="dxa" w:w="2381"/>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仅显示镜像</w:t>
            </w:r>
          </w:p>
        </w:tc>
      </w:tr>
      <w:tr>
        <w:trPr>
          <w:cantSplit/>
          <w:trHeight w:hRule="atLeast"/>
        </w:trPr>
        <w:tc>
          <w:tcPr>
            <w:tcW w:type="dxa" w:w="1757"/>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策略配置/版本</w:t>
            </w:r>
          </w:p>
        </w:tc>
        <w:tc>
          <w:tcPr>
            <w:tcW w:type="dxa" w:w="2211"/>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量化后台</w:t>
            </w:r>
          </w:p>
        </w:tc>
        <w:tc>
          <w:tcPr>
            <w:tcW w:type="dxa" w:w="2665"/>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加载并执行</w:t>
            </w:r>
          </w:p>
        </w:tc>
        <w:tc>
          <w:tcPr>
            <w:tcW w:type="dxa" w:w="2381"/>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唯一正式版本源</w:t>
            </w:r>
          </w:p>
        </w:tc>
      </w:tr>
      <w:tr>
        <w:trPr>
          <w:cantSplit/>
          <w:trHeight w:hRule="atLeast"/>
        </w:trPr>
        <w:tc>
          <w:tcPr>
            <w:tcW w:type="dxa" w:w="1757"/>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TradePlan</w:t>
            </w:r>
          </w:p>
        </w:tc>
        <w:tc>
          <w:tcPr>
            <w:tcW w:type="dxa" w:w="2211"/>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量化后台</w:t>
            </w:r>
          </w:p>
        </w:tc>
        <w:tc>
          <w:tcPr>
            <w:tcW w:type="dxa" w:w="2665"/>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冻结、校验、执行</w:t>
            </w:r>
          </w:p>
        </w:tc>
        <w:tc>
          <w:tcPr>
            <w:tcW w:type="dxa" w:w="2381"/>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生成、版本化、取消</w:t>
            </w:r>
          </w:p>
        </w:tc>
      </w:tr>
      <w:tr>
        <w:trPr>
          <w:cantSplit/>
          <w:trHeight w:hRule="atLeast"/>
        </w:trPr>
        <w:tc>
          <w:tcPr>
            <w:tcW w:type="dxa" w:w="1757"/>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收益/滑点/净值</w:t>
            </w:r>
          </w:p>
        </w:tc>
        <w:tc>
          <w:tcPr>
            <w:tcW w:type="dxa" w:w="2211"/>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量化后台MySQL</w:t>
            </w:r>
          </w:p>
        </w:tc>
        <w:tc>
          <w:tcPr>
            <w:tcW w:type="dxa" w:w="2665"/>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上传原始交易事实</w:t>
            </w:r>
          </w:p>
        </w:tc>
        <w:tc>
          <w:tcPr>
            <w:tcW w:type="dxa" w:w="2381"/>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唯一业务账本和查询中心</w:t>
            </w:r>
          </w:p>
        </w:tc>
      </w:tr>
      <w:tr>
        <w:trPr>
          <w:cantSplit/>
          <w:trHeight w:hRule="atLeast"/>
        </w:trPr>
        <w:tc>
          <w:tcPr>
            <w:tcW w:type="dxa" w:w="1757"/>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人工本地Override</w:t>
            </w:r>
          </w:p>
        </w:tc>
        <w:tc>
          <w:tcPr>
            <w:tcW w:type="dxa" w:w="2211"/>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Windows Control Plane</w:t>
            </w:r>
          </w:p>
        </w:tc>
        <w:tc>
          <w:tcPr>
            <w:tcW w:type="dxa" w:w="2665"/>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最高优先级执行</w:t>
            </w:r>
          </w:p>
        </w:tc>
        <w:tc>
          <w:tcPr>
            <w:tcW w:type="dxa" w:w="2381"/>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同步记录，不可自动清除</w:t>
            </w:r>
          </w:p>
        </w:tc>
      </w:tr>
    </w:tbl>
    <w:p>
      <w:pPr>
        <w:spacing w:after="40"/>
      </w:pPr>
    </w:p>
    <w:p>
      <w:pPr>
        <w:pStyle w:val="Heading1"/>
        <w:keepNext/>
        <w:pageBreakBefore w:val="0"/>
      </w:pPr>
      <w:r>
        <w:rPr>
          <w:rFonts w:ascii="Noto Sans CJK SC" w:hAnsi="Noto Sans CJK SC" w:eastAsia="Noto Sans CJK SC"/>
          <w:b/>
          <w:color w:val="143A5F"/>
          <w:sz w:val="32"/>
        </w:rPr>
        <w:t>6. 策略扩展框架与 TradePlan 协议</w:t>
      </w:r>
    </w:p>
    <w:p>
      <w:pPr>
        <w:pStyle w:val="Heading2"/>
        <w:keepNext/>
      </w:pPr>
      <w:r>
        <w:rPr>
          <w:rFonts w:ascii="Noto Sans CJK SC" w:hAnsi="Noto Sans CJK SC" w:eastAsia="Noto Sans CJK SC"/>
          <w:b/>
          <w:color w:val="1F4E79"/>
          <w:sz w:val="26"/>
        </w:rPr>
        <w:t>6.1 策略层级</w:t>
      </w:r>
    </w:p>
    <w:tbl>
      <w:tblPr>
        <w:tblW w:type="auto" w:w="0"/>
        <w:jc w:val="center"/>
        <w:tblLook w:firstColumn="1" w:firstRow="1" w:lastColumn="0" w:lastRow="0" w:noHBand="0" w:noVBand="1" w:val="04A0"/>
      </w:tblPr>
      <w:tblGrid>
        <w:gridCol w:w="9972"/>
      </w:tblGrid>
      <w:tr>
        <w:trPr>
          <w:trHeight w:hRule="atLeast"/>
        </w:trPr>
        <w:tc>
          <w:tcPr>
            <w:tcW w:type="dxa" w:w="9972"/>
            <w:shd w:fill="F5F6F7"/>
            <w:tcMar>
              <w:top w:w="100" w:type="dxa"/>
              <w:start w:w="140" w:type="dxa"/>
              <w:bottom w:w="100" w:type="dxa"/>
              <w:end w:w="140" w:type="dxa"/>
            </w:tcMar>
          </w:tcPr>
          <w:p>
            <w:pPr>
              <w:spacing w:before="0" w:after="0" w:line="252" w:lineRule="auto"/>
            </w:pPr>
            <w:r>
              <w:rPr>
                <w:rFonts w:ascii="Noto Sans Mono CJK SC" w:hAnsi="Noto Sans Mono CJK SC" w:eastAsia="Noto Sans Mono CJK SC"/>
                <w:color w:val="2D3741"/>
                <w:sz w:val="17"/>
              </w:rPr>
              <w:t>Selection Strategy (CentOS)</w:t>
            </w:r>
            <w:r>
              <w:rPr>
                <w:rFonts w:ascii="Noto Sans CJK SC" w:hAnsi="Noto Sans CJK SC" w:eastAsia="Noto Sans CJK SC"/>
              </w:rPr>
              <w:br/>
            </w:r>
            <w:r>
              <w:rPr>
                <w:rFonts w:ascii="Noto Sans Mono CJK SC" w:hAnsi="Noto Sans Mono CJK SC" w:eastAsia="Noto Sans Mono CJK SC"/>
                <w:color w:val="2D3741"/>
                <w:sz w:val="17"/>
              </w:rPr>
              <w:t xml:space="preserve">        ↓  选什么</w:t>
            </w:r>
            <w:r>
              <w:rPr>
                <w:rFonts w:ascii="Noto Sans CJK SC" w:hAnsi="Noto Sans CJK SC" w:eastAsia="Noto Sans CJK SC"/>
              </w:rPr>
              <w:br/>
            </w:r>
            <w:r>
              <w:rPr>
                <w:rFonts w:ascii="Noto Sans Mono CJK SC" w:hAnsi="Noto Sans Mono CJK SC" w:eastAsia="Noto Sans Mono CJK SC"/>
                <w:color w:val="2D3741"/>
                <w:sz w:val="17"/>
              </w:rPr>
              <w:t>Portfolio / Allocation (CentOS)</w:t>
            </w:r>
            <w:r>
              <w:rPr>
                <w:rFonts w:ascii="Noto Sans CJK SC" w:hAnsi="Noto Sans CJK SC" w:eastAsia="Noto Sans CJK SC"/>
              </w:rPr>
              <w:br/>
            </w:r>
            <w:r>
              <w:rPr>
                <w:rFonts w:ascii="Noto Sans Mono CJK SC" w:hAnsi="Noto Sans Mono CJK SC" w:eastAsia="Noto Sans Mono CJK SC"/>
                <w:color w:val="2D3741"/>
                <w:sz w:val="17"/>
              </w:rPr>
              <w:t xml:space="preserve">        ↓  买多少</w:t>
            </w:r>
            <w:r>
              <w:rPr>
                <w:rFonts w:ascii="Noto Sans CJK SC" w:hAnsi="Noto Sans CJK SC" w:eastAsia="Noto Sans CJK SC"/>
              </w:rPr>
              <w:br/>
            </w:r>
            <w:r>
              <w:rPr>
                <w:rFonts w:ascii="Noto Sans Mono CJK SC" w:hAnsi="Noto Sans Mono CJK SC" w:eastAsia="Noto Sans Mono CJK SC"/>
                <w:color w:val="2D3741"/>
                <w:sz w:val="17"/>
              </w:rPr>
              <w:t>TradePlan</w:t>
            </w:r>
            <w:r>
              <w:rPr>
                <w:rFonts w:ascii="Noto Sans CJK SC" w:hAnsi="Noto Sans CJK SC" w:eastAsia="Noto Sans CJK SC"/>
              </w:rPr>
              <w:br/>
            </w:r>
            <w:r>
              <w:rPr>
                <w:rFonts w:ascii="Noto Sans Mono CJK SC" w:hAnsi="Noto Sans Mono CJK SC" w:eastAsia="Noto Sans Mono CJK SC"/>
                <w:color w:val="2D3741"/>
                <w:sz w:val="17"/>
              </w:rPr>
              <w:t xml:space="preserve">        ↓</w:t>
            </w:r>
            <w:r>
              <w:rPr>
                <w:rFonts w:ascii="Noto Sans CJK SC" w:hAnsi="Noto Sans CJK SC" w:eastAsia="Noto Sans CJK SC"/>
              </w:rPr>
              <w:br/>
            </w:r>
            <w:r>
              <w:rPr>
                <w:rFonts w:ascii="Noto Sans Mono CJK SC" w:hAnsi="Noto Sans Mono CJK SC" w:eastAsia="Noto Sans Mono CJK SC"/>
                <w:color w:val="2D3741"/>
                <w:sz w:val="17"/>
              </w:rPr>
              <w:t>Entry Policy (Windows)</w:t>
            </w:r>
            <w:r>
              <w:rPr>
                <w:rFonts w:ascii="Noto Sans CJK SC" w:hAnsi="Noto Sans CJK SC" w:eastAsia="Noto Sans CJK SC"/>
              </w:rPr>
              <w:br/>
            </w:r>
            <w:r>
              <w:rPr>
                <w:rFonts w:ascii="Noto Sans Mono CJK SC" w:hAnsi="Noto Sans Mono CJK SC" w:eastAsia="Noto Sans Mono CJK SC"/>
                <w:color w:val="2D3741"/>
                <w:sz w:val="17"/>
              </w:rPr>
              <w:t xml:space="preserve">        ↓  怎么买</w:t>
            </w:r>
            <w:r>
              <w:rPr>
                <w:rFonts w:ascii="Noto Sans CJK SC" w:hAnsi="Noto Sans CJK SC" w:eastAsia="Noto Sans CJK SC"/>
              </w:rPr>
              <w:br/>
            </w:r>
            <w:r>
              <w:rPr>
                <w:rFonts w:ascii="Noto Sans Mono CJK SC" w:hAnsi="Noto Sans Mono CJK SC" w:eastAsia="Noto Sans Mono CJK SC"/>
                <w:color w:val="2D3741"/>
                <w:sz w:val="17"/>
              </w:rPr>
              <w:t>Execution Engine</w:t>
            </w:r>
            <w:r>
              <w:rPr>
                <w:rFonts w:ascii="Noto Sans CJK SC" w:hAnsi="Noto Sans CJK SC" w:eastAsia="Noto Sans CJK SC"/>
              </w:rPr>
              <w:br/>
            </w:r>
            <w:r>
              <w:rPr>
                <w:rFonts w:ascii="Noto Sans Mono CJK SC" w:hAnsi="Noto Sans Mono CJK SC" w:eastAsia="Noto Sans Mono CJK SC"/>
                <w:color w:val="2D3741"/>
                <w:sz w:val="17"/>
              </w:rPr>
              <w:t xml:space="preserve">        ↓</w:t>
            </w:r>
            <w:r>
              <w:rPr>
                <w:rFonts w:ascii="Noto Sans CJK SC" w:hAnsi="Noto Sans CJK SC" w:eastAsia="Noto Sans CJK SC"/>
              </w:rPr>
              <w:br/>
            </w:r>
            <w:r>
              <w:rPr>
                <w:rFonts w:ascii="Noto Sans Mono CJK SC" w:hAnsi="Noto Sans Mono CJK SC" w:eastAsia="Noto Sans Mono CJK SC"/>
                <w:color w:val="2D3741"/>
                <w:sz w:val="17"/>
              </w:rPr>
              <w:t>Broker Gateway / QMT</w:t>
            </w:r>
            <w:r>
              <w:rPr>
                <w:rFonts w:ascii="Noto Sans CJK SC" w:hAnsi="Noto Sans CJK SC" w:eastAsia="Noto Sans CJK SC"/>
              </w:rPr>
              <w:br/>
            </w:r>
            <w:r>
              <w:rPr>
                <w:rFonts w:ascii="Noto Sans Mono CJK SC" w:hAnsi="Noto Sans Mono CJK SC" w:eastAsia="Noto Sans Mono CJK SC"/>
                <w:color w:val="2D3741"/>
                <w:sz w:val="17"/>
              </w:rPr>
            </w:r>
            <w:r>
              <w:rPr>
                <w:rFonts w:ascii="Noto Sans CJK SC" w:hAnsi="Noto Sans CJK SC" w:eastAsia="Noto Sans CJK SC"/>
              </w:rPr>
              <w:br/>
            </w:r>
            <w:r>
              <w:rPr>
                <w:rFonts w:ascii="Noto Sans Mono CJK SC" w:hAnsi="Noto Sans Mono CJK SC" w:eastAsia="Noto Sans Mono CJK SC"/>
                <w:color w:val="2D3741"/>
                <w:sz w:val="17"/>
              </w:rPr>
              <w:t>持仓后：</w:t>
            </w:r>
            <w:r>
              <w:rPr>
                <w:rFonts w:ascii="Noto Sans CJK SC" w:hAnsi="Noto Sans CJK SC" w:eastAsia="Noto Sans CJK SC"/>
              </w:rPr>
              <w:br/>
            </w:r>
            <w:r>
              <w:rPr>
                <w:rFonts w:ascii="Noto Sans Mono CJK SC" w:hAnsi="Noto Sans Mono CJK SC" w:eastAsia="Noto Sans Mono CJK SC"/>
                <w:color w:val="2D3741"/>
                <w:sz w:val="17"/>
              </w:rPr>
              <w:t>Exit Policy (Windows)</w:t>
            </w:r>
            <w:r>
              <w:rPr>
                <w:rFonts w:ascii="Noto Sans CJK SC" w:hAnsi="Noto Sans CJK SC" w:eastAsia="Noto Sans CJK SC"/>
              </w:rPr>
              <w:br/>
            </w:r>
            <w:r>
              <w:rPr>
                <w:rFonts w:ascii="Noto Sans Mono CJK SC" w:hAnsi="Noto Sans Mono CJK SC" w:eastAsia="Noto Sans Mono CJK SC"/>
                <w:color w:val="2D3741"/>
                <w:sz w:val="17"/>
              </w:rPr>
              <w:t xml:space="preserve">        ↓  什么时候、怎样卖</w:t>
            </w:r>
            <w:r>
              <w:rPr>
                <w:rFonts w:ascii="Noto Sans CJK SC" w:hAnsi="Noto Sans CJK SC" w:eastAsia="Noto Sans CJK SC"/>
              </w:rPr>
              <w:br/>
            </w:r>
            <w:r>
              <w:rPr>
                <w:rFonts w:ascii="Noto Sans Mono CJK SC" w:hAnsi="Noto Sans Mono CJK SC" w:eastAsia="Noto Sans Mono CJK SC"/>
                <w:color w:val="2D3741"/>
                <w:sz w:val="17"/>
              </w:rPr>
              <w:t>Risk Engine / Order Manager</w:t>
            </w:r>
            <w:r>
              <w:rPr>
                <w:rFonts w:ascii="Noto Sans CJK SC" w:hAnsi="Noto Sans CJK SC" w:eastAsia="Noto Sans CJK SC"/>
              </w:rPr>
              <w:br/>
            </w:r>
            <w:r>
              <w:rPr>
                <w:rFonts w:ascii="Noto Sans Mono CJK SC" w:hAnsi="Noto Sans Mono CJK SC" w:eastAsia="Noto Sans Mono CJK SC"/>
                <w:color w:val="2D3741"/>
                <w:sz w:val="17"/>
              </w:rPr>
              <w:t xml:space="preserve">        ↓</w:t>
            </w:r>
            <w:r>
              <w:rPr>
                <w:rFonts w:ascii="Noto Sans CJK SC" w:hAnsi="Noto Sans CJK SC" w:eastAsia="Noto Sans CJK SC"/>
              </w:rPr>
              <w:br/>
            </w:r>
            <w:r>
              <w:rPr>
                <w:rFonts w:ascii="Noto Sans Mono CJK SC" w:hAnsi="Noto Sans Mono CJK SC" w:eastAsia="Noto Sans Mono CJK SC"/>
                <w:color w:val="2D3741"/>
                <w:sz w:val="17"/>
              </w:rPr>
              <w:t>Broker Gateway / QMT</w:t>
            </w:r>
          </w:p>
        </w:tc>
      </w:tr>
    </w:tbl>
    <w:p>
      <w:pPr>
        <w:spacing w:after="20"/>
      </w:pPr>
    </w:p>
    <w:p>
      <w:pPr>
        <w:spacing w:before="0" w:after="100" w:line="300" w:lineRule="auto"/>
      </w:pPr>
      <w:r>
        <w:rPr>
          <w:rFonts w:ascii="Noto Sans CJK SC" w:hAnsi="Noto Sans CJK SC" w:eastAsia="Noto Sans CJK SC"/>
        </w:rPr>
        <w:t>未来新增策略时，原则上只新增Selection Strategy、Entry Policy、Exit Policy与对应Risk/Execution配置，QMT适配、订单系统、同步、对账、人工控制全部复用。</w:t>
      </w:r>
    </w:p>
    <w:p>
      <w:pPr>
        <w:pStyle w:val="Heading2"/>
        <w:keepNext/>
      </w:pPr>
      <w:r>
        <w:rPr>
          <w:rFonts w:ascii="Noto Sans CJK SC" w:hAnsi="Noto Sans CJK SC" w:eastAsia="Noto Sans CJK SC"/>
          <w:b/>
          <w:color w:val="1F4E79"/>
          <w:sz w:val="26"/>
        </w:rPr>
        <w:t>6.2 统一TradePlan</w:t>
      </w:r>
    </w:p>
    <w:tbl>
      <w:tblPr>
        <w:tblW w:type="auto" w:w="0"/>
        <w:jc w:val="center"/>
        <w:tblLook w:firstColumn="1" w:firstRow="1" w:lastColumn="0" w:lastRow="0" w:noHBand="0" w:noVBand="1" w:val="04A0"/>
      </w:tblPr>
      <w:tblGrid>
        <w:gridCol w:w="9972"/>
      </w:tblGrid>
      <w:tr>
        <w:trPr>
          <w:trHeight w:hRule="atLeast"/>
        </w:trPr>
        <w:tc>
          <w:tcPr>
            <w:tcW w:type="dxa" w:w="9972"/>
            <w:shd w:fill="F5F6F7"/>
            <w:tcMar>
              <w:top w:w="100" w:type="dxa"/>
              <w:start w:w="140" w:type="dxa"/>
              <w:bottom w:w="100" w:type="dxa"/>
              <w:end w:w="140" w:type="dxa"/>
            </w:tcMar>
          </w:tcPr>
          <w:p>
            <w:pPr>
              <w:spacing w:before="0" w:after="0" w:line="252" w:lineRule="auto"/>
            </w:pPr>
            <w:r>
              <w:rPr>
                <w:rFonts w:ascii="Noto Sans Mono CJK SC" w:hAnsi="Noto Sans Mono CJK SC" w:eastAsia="Noto Sans Mono CJK SC"/>
                <w:color w:val="2D3741"/>
                <w:sz w:val="17"/>
              </w:rPr>
              <w:t>{</w:t>
            </w:r>
            <w:r>
              <w:rPr>
                <w:rFonts w:ascii="Noto Sans CJK SC" w:hAnsi="Noto Sans CJK SC" w:eastAsia="Noto Sans CJK SC"/>
              </w:rPr>
              <w:br/>
            </w:r>
            <w:r>
              <w:rPr>
                <w:rFonts w:ascii="Noto Sans Mono CJK SC" w:hAnsi="Noto Sans Mono CJK SC" w:eastAsia="Noto Sans Mono CJK SC"/>
                <w:color w:val="2D3741"/>
                <w:sz w:val="17"/>
              </w:rPr>
              <w:t xml:space="preserve">  "plan_id": "TAIL_20260810_001",</w:t>
            </w:r>
            <w:r>
              <w:rPr>
                <w:rFonts w:ascii="Noto Sans CJK SC" w:hAnsi="Noto Sans CJK SC" w:eastAsia="Noto Sans CJK SC"/>
              </w:rPr>
              <w:br/>
            </w:r>
            <w:r>
              <w:rPr>
                <w:rFonts w:ascii="Noto Sans Mono CJK SC" w:hAnsi="Noto Sans Mono CJK SC" w:eastAsia="Noto Sans Mono CJK SC"/>
                <w:color w:val="2D3741"/>
                <w:sz w:val="17"/>
              </w:rPr>
              <w:t xml:space="preserve">  "strategy_id": "TAIL_CLOSE_V1",</w:t>
            </w:r>
            <w:r>
              <w:rPr>
                <w:rFonts w:ascii="Noto Sans CJK SC" w:hAnsi="Noto Sans CJK SC" w:eastAsia="Noto Sans CJK SC"/>
              </w:rPr>
              <w:br/>
            </w:r>
            <w:r>
              <w:rPr>
                <w:rFonts w:ascii="Noto Sans Mono CJK SC" w:hAnsi="Noto Sans Mono CJK SC" w:eastAsia="Noto Sans Mono CJK SC"/>
                <w:color w:val="2D3741"/>
                <w:sz w:val="17"/>
              </w:rPr>
              <w:t xml:space="preserve">  "strategy_version": "1.3.2",</w:t>
            </w:r>
            <w:r>
              <w:rPr>
                <w:rFonts w:ascii="Noto Sans CJK SC" w:hAnsi="Noto Sans CJK SC" w:eastAsia="Noto Sans CJK SC"/>
              </w:rPr>
              <w:br/>
            </w:r>
            <w:r>
              <w:rPr>
                <w:rFonts w:ascii="Noto Sans Mono CJK SC" w:hAnsi="Noto Sans Mono CJK SC" w:eastAsia="Noto Sans Mono CJK SC"/>
                <w:color w:val="2D3741"/>
                <w:sz w:val="17"/>
              </w:rPr>
              <w:t xml:space="preserve">  "trade_date": "2026-08-10",</w:t>
            </w:r>
            <w:r>
              <w:rPr>
                <w:rFonts w:ascii="Noto Sans CJK SC" w:hAnsi="Noto Sans CJK SC" w:eastAsia="Noto Sans CJK SC"/>
              </w:rPr>
              <w:br/>
            </w:r>
            <w:r>
              <w:rPr>
                <w:rFonts w:ascii="Noto Sans Mono CJK SC" w:hAnsi="Noto Sans Mono CJK SC" w:eastAsia="Noto Sans Mono CJK SC"/>
                <w:color w:val="2D3741"/>
                <w:sz w:val="17"/>
              </w:rPr>
              <w:t xml:space="preserve">  "status": "READY",</w:t>
            </w:r>
            <w:r>
              <w:rPr>
                <w:rFonts w:ascii="Noto Sans CJK SC" w:hAnsi="Noto Sans CJK SC" w:eastAsia="Noto Sans CJK SC"/>
              </w:rPr>
              <w:br/>
            </w:r>
            <w:r>
              <w:rPr>
                <w:rFonts w:ascii="Noto Sans Mono CJK SC" w:hAnsi="Noto Sans Mono CJK SC" w:eastAsia="Noto Sans Mono CJK SC"/>
                <w:color w:val="2D3741"/>
                <w:sz w:val="17"/>
              </w:rPr>
              <w:t xml:space="preserve">  "generated_at": "2026-08-10T14:34:43.218",</w:t>
            </w:r>
            <w:r>
              <w:rPr>
                <w:rFonts w:ascii="Noto Sans CJK SC" w:hAnsi="Noto Sans CJK SC" w:eastAsia="Noto Sans CJK SC"/>
              </w:rPr>
              <w:br/>
            </w:r>
            <w:r>
              <w:rPr>
                <w:rFonts w:ascii="Noto Sans Mono CJK SC" w:hAnsi="Noto Sans Mono CJK SC" w:eastAsia="Noto Sans Mono CJK SC"/>
                <w:color w:val="2D3741"/>
                <w:sz w:val="17"/>
              </w:rPr>
              <w:t xml:space="preserve">  "expire_at": "2026-08-10T14:56:30",</w:t>
            </w:r>
            <w:r>
              <w:rPr>
                <w:rFonts w:ascii="Noto Sans CJK SC" w:hAnsi="Noto Sans CJK SC" w:eastAsia="Noto Sans CJK SC"/>
              </w:rPr>
              <w:br/>
            </w:r>
            <w:r>
              <w:rPr>
                <w:rFonts w:ascii="Noto Sans Mono CJK SC" w:hAnsi="Noto Sans Mono CJK SC" w:eastAsia="Noto Sans Mono CJK SC"/>
                <w:color w:val="2D3741"/>
                <w:sz w:val="17"/>
              </w:rPr>
              <w:t xml:space="preserve">  "portfolio": {</w:t>
            </w:r>
            <w:r>
              <w:rPr>
                <w:rFonts w:ascii="Noto Sans CJK SC" w:hAnsi="Noto Sans CJK SC" w:eastAsia="Noto Sans CJK SC"/>
              </w:rPr>
              <w:br/>
            </w:r>
            <w:r>
              <w:rPr>
                <w:rFonts w:ascii="Noto Sans Mono CJK SC" w:hAnsi="Noto Sans Mono CJK SC" w:eastAsia="Noto Sans Mono CJK SC"/>
                <w:color w:val="2D3741"/>
                <w:sz w:val="17"/>
              </w:rPr>
              <w:t xml:space="preserve">    "target_exposure": 0.60,</w:t>
            </w:r>
            <w:r>
              <w:rPr>
                <w:rFonts w:ascii="Noto Sans CJK SC" w:hAnsi="Noto Sans CJK SC" w:eastAsia="Noto Sans CJK SC"/>
              </w:rPr>
              <w:br/>
            </w:r>
            <w:r>
              <w:rPr>
                <w:rFonts w:ascii="Noto Sans Mono CJK SC" w:hAnsi="Noto Sans Mono CJK SC" w:eastAsia="Noto Sans Mono CJK SC"/>
                <w:color w:val="2D3741"/>
                <w:sz w:val="17"/>
              </w:rPr>
              <w:t xml:space="preserve">    "max_positions": 15,</w:t>
            </w:r>
            <w:r>
              <w:rPr>
                <w:rFonts w:ascii="Noto Sans CJK SC" w:hAnsi="Noto Sans CJK SC" w:eastAsia="Noto Sans CJK SC"/>
              </w:rPr>
              <w:br/>
            </w:r>
            <w:r>
              <w:rPr>
                <w:rFonts w:ascii="Noto Sans Mono CJK SC" w:hAnsi="Noto Sans Mono CJK SC" w:eastAsia="Noto Sans Mono CJK SC"/>
                <w:color w:val="2D3741"/>
                <w:sz w:val="17"/>
              </w:rPr>
              <w:t xml:space="preserve">    "cash_reserve": 0.03</w:t>
            </w:r>
            <w:r>
              <w:rPr>
                <w:rFonts w:ascii="Noto Sans CJK SC" w:hAnsi="Noto Sans CJK SC" w:eastAsia="Noto Sans CJK SC"/>
              </w:rPr>
              <w:br/>
            </w:r>
            <w:r>
              <w:rPr>
                <w:rFonts w:ascii="Noto Sans Mono CJK SC" w:hAnsi="Noto Sans Mono CJK SC" w:eastAsia="Noto Sans Mono CJK SC"/>
                <w:color w:val="2D3741"/>
                <w:sz w:val="17"/>
              </w:rPr>
              <w:t xml:space="preserve">  },</w:t>
            </w:r>
            <w:r>
              <w:rPr>
                <w:rFonts w:ascii="Noto Sans CJK SC" w:hAnsi="Noto Sans CJK SC" w:eastAsia="Noto Sans CJK SC"/>
              </w:rPr>
              <w:br/>
            </w:r>
            <w:r>
              <w:rPr>
                <w:rFonts w:ascii="Noto Sans Mono CJK SC" w:hAnsi="Noto Sans Mono CJK SC" w:eastAsia="Noto Sans Mono CJK SC"/>
                <w:color w:val="2D3741"/>
                <w:sz w:val="17"/>
              </w:rPr>
              <w:t xml:space="preserve">  "items": [</w:t>
            </w:r>
            <w:r>
              <w:rPr>
                <w:rFonts w:ascii="Noto Sans CJK SC" w:hAnsi="Noto Sans CJK SC" w:eastAsia="Noto Sans CJK SC"/>
              </w:rPr>
              <w:br/>
            </w:r>
            <w:r>
              <w:rPr>
                <w:rFonts w:ascii="Noto Sans Mono CJK SC" w:hAnsi="Noto Sans Mono CJK SC" w:eastAsia="Noto Sans Mono CJK SC"/>
                <w:color w:val="2D3741"/>
                <w:sz w:val="17"/>
              </w:rPr>
              <w:t xml:space="preserve">    {</w:t>
            </w:r>
            <w:r>
              <w:rPr>
                <w:rFonts w:ascii="Noto Sans CJK SC" w:hAnsi="Noto Sans CJK SC" w:eastAsia="Noto Sans CJK SC"/>
              </w:rPr>
              <w:br/>
            </w:r>
            <w:r>
              <w:rPr>
                <w:rFonts w:ascii="Noto Sans Mono CJK SC" w:hAnsi="Noto Sans Mono CJK SC" w:eastAsia="Noto Sans Mono CJK SC"/>
                <w:color w:val="2D3741"/>
                <w:sz w:val="17"/>
              </w:rPr>
              <w:t xml:space="preserve">      "symbol": "000001.SZ",</w:t>
            </w:r>
            <w:r>
              <w:rPr>
                <w:rFonts w:ascii="Noto Sans CJK SC" w:hAnsi="Noto Sans CJK SC" w:eastAsia="Noto Sans CJK SC"/>
              </w:rPr>
              <w:br/>
            </w:r>
            <w:r>
              <w:rPr>
                <w:rFonts w:ascii="Noto Sans Mono CJK SC" w:hAnsi="Noto Sans Mono CJK SC" w:eastAsia="Noto Sans Mono CJK SC"/>
                <w:color w:val="2D3741"/>
                <w:sz w:val="17"/>
              </w:rPr>
              <w:t xml:space="preserve">      "rank": 1,</w:t>
            </w:r>
            <w:r>
              <w:rPr>
                <w:rFonts w:ascii="Noto Sans CJK SC" w:hAnsi="Noto Sans CJK SC" w:eastAsia="Noto Sans CJK SC"/>
              </w:rPr>
              <w:br/>
            </w:r>
            <w:r>
              <w:rPr>
                <w:rFonts w:ascii="Noto Sans Mono CJK SC" w:hAnsi="Noto Sans Mono CJK SC" w:eastAsia="Noto Sans Mono CJK SC"/>
                <w:color w:val="2D3741"/>
                <w:sz w:val="17"/>
              </w:rPr>
              <w:t xml:space="preserve">      "score": 88.6,</w:t>
            </w:r>
            <w:r>
              <w:rPr>
                <w:rFonts w:ascii="Noto Sans CJK SC" w:hAnsi="Noto Sans CJK SC" w:eastAsia="Noto Sans CJK SC"/>
              </w:rPr>
              <w:br/>
            </w:r>
            <w:r>
              <w:rPr>
                <w:rFonts w:ascii="Noto Sans Mono CJK SC" w:hAnsi="Noto Sans Mono CJK SC" w:eastAsia="Noto Sans Mono CJK SC"/>
                <w:color w:val="2D3741"/>
                <w:sz w:val="17"/>
              </w:rPr>
              <w:t xml:space="preserve">      "target_weight": 0.10,</w:t>
            </w:r>
            <w:r>
              <w:rPr>
                <w:rFonts w:ascii="Noto Sans CJK SC" w:hAnsi="Noto Sans CJK SC" w:eastAsia="Noto Sans CJK SC"/>
              </w:rPr>
              <w:br/>
            </w:r>
            <w:r>
              <w:rPr>
                <w:rFonts w:ascii="Noto Sans Mono CJK SC" w:hAnsi="Noto Sans Mono CJK SC" w:eastAsia="Noto Sans Mono CJK SC"/>
                <w:color w:val="2D3741"/>
                <w:sz w:val="17"/>
              </w:rPr>
              <w:t xml:space="preserve">      "entry_policy": "TAIL_ENTRY_V1",</w:t>
            </w:r>
            <w:r>
              <w:rPr>
                <w:rFonts w:ascii="Noto Sans CJK SC" w:hAnsi="Noto Sans CJK SC" w:eastAsia="Noto Sans CJK SC"/>
              </w:rPr>
              <w:br/>
            </w:r>
            <w:r>
              <w:rPr>
                <w:rFonts w:ascii="Noto Sans Mono CJK SC" w:hAnsi="Noto Sans Mono CJK SC" w:eastAsia="Noto Sans Mono CJK SC"/>
                <w:color w:val="2D3741"/>
                <w:sz w:val="17"/>
              </w:rPr>
              <w:t xml:space="preserve">      "exit_policy": "T1_EXIT_V1",</w:t>
            </w:r>
            <w:r>
              <w:rPr>
                <w:rFonts w:ascii="Noto Sans CJK SC" w:hAnsi="Noto Sans CJK SC" w:eastAsia="Noto Sans CJK SC"/>
              </w:rPr>
              <w:br/>
            </w:r>
            <w:r>
              <w:rPr>
                <w:rFonts w:ascii="Noto Sans Mono CJK SC" w:hAnsi="Noto Sans Mono CJK SC" w:eastAsia="Noto Sans Mono CJK SC"/>
                <w:color w:val="2D3741"/>
                <w:sz w:val="17"/>
              </w:rPr>
              <w:t xml:space="preserve">      "risk_policy": "STOCK_RISK_V1",</w:t>
            </w:r>
            <w:r>
              <w:rPr>
                <w:rFonts w:ascii="Noto Sans CJK SC" w:hAnsi="Noto Sans CJK SC" w:eastAsia="Noto Sans CJK SC"/>
              </w:rPr>
              <w:br/>
            </w:r>
            <w:r>
              <w:rPr>
                <w:rFonts w:ascii="Noto Sans Mono CJK SC" w:hAnsi="Noto Sans Mono CJK SC" w:eastAsia="Noto Sans Mono CJK SC"/>
                <w:color w:val="2D3741"/>
                <w:sz w:val="17"/>
              </w:rPr>
              <w:t xml:space="preserve">      "execution_policy": "EXEC_BALANCED_V1"</w:t>
            </w:r>
            <w:r>
              <w:rPr>
                <w:rFonts w:ascii="Noto Sans CJK SC" w:hAnsi="Noto Sans CJK SC" w:eastAsia="Noto Sans CJK SC"/>
              </w:rPr>
              <w:br/>
            </w:r>
            <w:r>
              <w:rPr>
                <w:rFonts w:ascii="Noto Sans Mono CJK SC" w:hAnsi="Noto Sans Mono CJK SC" w:eastAsia="Noto Sans Mono CJK SC"/>
                <w:color w:val="2D3741"/>
                <w:sz w:val="17"/>
              </w:rPr>
              <w:t xml:space="preserve">    }</w:t>
            </w:r>
            <w:r>
              <w:rPr>
                <w:rFonts w:ascii="Noto Sans CJK SC" w:hAnsi="Noto Sans CJK SC" w:eastAsia="Noto Sans CJK SC"/>
              </w:rPr>
              <w:br/>
            </w:r>
            <w:r>
              <w:rPr>
                <w:rFonts w:ascii="Noto Sans Mono CJK SC" w:hAnsi="Noto Sans Mono CJK SC" w:eastAsia="Noto Sans Mono CJK SC"/>
                <w:color w:val="2D3741"/>
                <w:sz w:val="17"/>
              </w:rPr>
              <w:t xml:space="preserve">  ]</w:t>
            </w:r>
            <w:r>
              <w:rPr>
                <w:rFonts w:ascii="Noto Sans CJK SC" w:hAnsi="Noto Sans CJK SC" w:eastAsia="Noto Sans CJK SC"/>
              </w:rPr>
              <w:br/>
            </w:r>
            <w:r>
              <w:rPr>
                <w:rFonts w:ascii="Noto Sans Mono CJK SC" w:hAnsi="Noto Sans Mono CJK SC" w:eastAsia="Noto Sans Mono CJK SC"/>
                <w:color w:val="2D3741"/>
                <w:sz w:val="17"/>
              </w:rPr>
              <w:t>}</w:t>
            </w:r>
          </w:p>
        </w:tc>
      </w:tr>
    </w:tbl>
    <w:p>
      <w:pPr>
        <w:spacing w:after="20"/>
      </w:pPr>
    </w:p>
    <w:p>
      <w:pPr>
        <w:pStyle w:val="Heading2"/>
        <w:keepNext/>
      </w:pPr>
      <w:r>
        <w:rPr>
          <w:rFonts w:ascii="Noto Sans CJK SC" w:hAnsi="Noto Sans CJK SC" w:eastAsia="Noto Sans CJK SC"/>
          <w:b/>
          <w:color w:val="1F4E79"/>
          <w:sz w:val="26"/>
        </w:rPr>
        <w:t>6.3 Plan生命周期</w:t>
      </w:r>
    </w:p>
    <w:tbl>
      <w:tblPr>
        <w:tblStyle w:val="TableGrid"/>
        <w:tblW w:type="auto" w:w="0"/>
        <w:jc w:val="center"/>
        <w:tblLayout w:type="fixed"/>
        <w:tblLook w:firstColumn="1" w:firstRow="1" w:lastColumn="0" w:lastRow="0" w:noHBand="0" w:noVBand="1" w:val="04A0"/>
      </w:tblPr>
      <w:tblGrid>
        <w:gridCol w:w="3324"/>
        <w:gridCol w:w="3324"/>
        <w:gridCol w:w="3324"/>
      </w:tblGrid>
      <w:tr>
        <w:trPr>
          <w:trHeight w:hRule="atLeast"/>
          <w:tblHeader w:val="true"/>
          <w:cantSplit/>
        </w:trPr>
        <w:tc>
          <w:tcPr>
            <w:tcW w:type="dxa" w:w="1757"/>
            <w:shd w:fill="1F4E78"/>
            <w:tcMar>
              <w:top w:w="90" w:type="dxa"/>
              <w:start w:w="90" w:type="dxa"/>
              <w:bottom w:w="90" w:type="dxa"/>
              <w:end w:w="90" w:type="dxa"/>
            </w:tcMar>
            <w:vAlign w:val="center"/>
          </w:tcPr>
          <w:p>
            <w:pPr>
              <w:spacing w:before="0" w:after="0" w:line="240" w:lineRule="auto"/>
              <w:jc w:val="center"/>
            </w:pPr>
            <w:r>
              <w:rPr>
                <w:rFonts w:ascii="Noto Sans CJK SC" w:hAnsi="Noto Sans CJK SC" w:eastAsia="Noto Sans CJK SC"/>
                <w:b/>
                <w:color w:val="FFFFFF"/>
                <w:sz w:val="18"/>
              </w:rPr>
              <w:t>状态</w:t>
            </w:r>
          </w:p>
        </w:tc>
        <w:tc>
          <w:tcPr>
            <w:tcW w:type="dxa" w:w="3628"/>
            <w:shd w:fill="1F4E78"/>
            <w:tcMar>
              <w:top w:w="90" w:type="dxa"/>
              <w:start w:w="90" w:type="dxa"/>
              <w:bottom w:w="90" w:type="dxa"/>
              <w:end w:w="90" w:type="dxa"/>
            </w:tcMar>
            <w:vAlign w:val="center"/>
          </w:tcPr>
          <w:p>
            <w:pPr>
              <w:spacing w:before="0" w:after="0" w:line="240" w:lineRule="auto"/>
              <w:jc w:val="center"/>
            </w:pPr>
            <w:r>
              <w:rPr>
                <w:rFonts w:ascii="Noto Sans CJK SC" w:hAnsi="Noto Sans CJK SC" w:eastAsia="Noto Sans CJK SC"/>
                <w:b/>
                <w:color w:val="FFFFFF"/>
                <w:sz w:val="18"/>
              </w:rPr>
              <w:t>含义</w:t>
            </w:r>
          </w:p>
        </w:tc>
        <w:tc>
          <w:tcPr>
            <w:tcW w:type="dxa" w:w="3515"/>
            <w:shd w:fill="1F4E78"/>
            <w:tcMar>
              <w:top w:w="90" w:type="dxa"/>
              <w:start w:w="90" w:type="dxa"/>
              <w:bottom w:w="90" w:type="dxa"/>
              <w:end w:w="90" w:type="dxa"/>
            </w:tcMar>
            <w:vAlign w:val="center"/>
          </w:tcPr>
          <w:p>
            <w:pPr>
              <w:spacing w:before="0" w:after="0" w:line="240" w:lineRule="auto"/>
              <w:jc w:val="center"/>
            </w:pPr>
            <w:r>
              <w:rPr>
                <w:rFonts w:ascii="Noto Sans CJK SC" w:hAnsi="Noto Sans CJK SC" w:eastAsia="Noto Sans CJK SC"/>
                <w:b/>
                <w:color w:val="FFFFFF"/>
                <w:sz w:val="18"/>
              </w:rPr>
              <w:t>Windows行为</w:t>
            </w:r>
          </w:p>
        </w:tc>
      </w:tr>
      <w:tr>
        <w:trPr>
          <w:cantSplit/>
          <w:trHeight w:hRule="atLeast"/>
        </w:trPr>
        <w:tc>
          <w:tcPr>
            <w:tcW w:type="dxa" w:w="1757"/>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CALCULATING</w:t>
            </w:r>
          </w:p>
        </w:tc>
        <w:tc>
          <w:tcPr>
            <w:tcW w:type="dxa" w:w="3628"/>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后台仍在计算</w:t>
            </w:r>
          </w:p>
        </w:tc>
        <w:tc>
          <w:tcPr>
            <w:tcW w:type="dxa" w:w="3515"/>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不交易</w:t>
            </w:r>
          </w:p>
        </w:tc>
      </w:tr>
      <w:tr>
        <w:trPr>
          <w:cantSplit/>
          <w:trHeight w:hRule="atLeast"/>
        </w:trPr>
        <w:tc>
          <w:tcPr>
            <w:tcW w:type="dxa" w:w="1757"/>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DRAFT</w:t>
            </w:r>
          </w:p>
        </w:tc>
        <w:tc>
          <w:tcPr>
            <w:tcW w:type="dxa" w:w="3628"/>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结果未冻结</w:t>
            </w:r>
          </w:p>
        </w:tc>
        <w:tc>
          <w:tcPr>
            <w:tcW w:type="dxa" w:w="3515"/>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不交易</w:t>
            </w:r>
          </w:p>
        </w:tc>
      </w:tr>
      <w:tr>
        <w:trPr>
          <w:cantSplit/>
          <w:trHeight w:hRule="atLeast"/>
        </w:trPr>
        <w:tc>
          <w:tcPr>
            <w:tcW w:type="dxa" w:w="1757"/>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READY</w:t>
            </w:r>
          </w:p>
        </w:tc>
        <w:tc>
          <w:tcPr>
            <w:tcW w:type="dxa" w:w="3628"/>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正式可执行</w:t>
            </w:r>
          </w:p>
        </w:tc>
        <w:tc>
          <w:tcPr>
            <w:tcW w:type="dxa" w:w="3515"/>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校验并落本地Checkpoint</w:t>
            </w:r>
          </w:p>
        </w:tc>
      </w:tr>
      <w:tr>
        <w:trPr>
          <w:cantSplit/>
          <w:trHeight w:hRule="atLeast"/>
        </w:trPr>
        <w:tc>
          <w:tcPr>
            <w:tcW w:type="dxa" w:w="1757"/>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RUNNING</w:t>
            </w:r>
          </w:p>
        </w:tc>
        <w:tc>
          <w:tcPr>
            <w:tcW w:type="dxa" w:w="3628"/>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已经开始产生订单</w:t>
            </w:r>
          </w:p>
        </w:tc>
        <w:tc>
          <w:tcPr>
            <w:tcW w:type="dxa" w:w="3515"/>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普通新版本不允许覆盖</w:t>
            </w:r>
          </w:p>
        </w:tc>
      </w:tr>
      <w:tr>
        <w:trPr>
          <w:cantSplit/>
          <w:trHeight w:hRule="atLeast"/>
        </w:trPr>
        <w:tc>
          <w:tcPr>
            <w:tcW w:type="dxa" w:w="1757"/>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CANCELLED</w:t>
            </w:r>
          </w:p>
        </w:tc>
        <w:tc>
          <w:tcPr>
            <w:tcW w:type="dxa" w:w="3628"/>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后台明确取消</w:t>
            </w:r>
          </w:p>
        </w:tc>
        <w:tc>
          <w:tcPr>
            <w:tcW w:type="dxa" w:w="3515"/>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停止未触发新订单；按控制指令处理活动订单</w:t>
            </w:r>
          </w:p>
        </w:tc>
      </w:tr>
      <w:tr>
        <w:trPr>
          <w:cantSplit/>
          <w:trHeight w:hRule="atLeast"/>
        </w:trPr>
        <w:tc>
          <w:tcPr>
            <w:tcW w:type="dxa" w:w="1757"/>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EXPIRED</w:t>
            </w:r>
          </w:p>
        </w:tc>
        <w:tc>
          <w:tcPr>
            <w:tcW w:type="dxa" w:w="3628"/>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超过有效期</w:t>
            </w:r>
          </w:p>
        </w:tc>
        <w:tc>
          <w:tcPr>
            <w:tcW w:type="dxa" w:w="3515"/>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禁止继续新增订单</w:t>
            </w:r>
          </w:p>
        </w:tc>
      </w:tr>
      <w:tr>
        <w:trPr>
          <w:cantSplit/>
          <w:trHeight w:hRule="atLeast"/>
        </w:trPr>
        <w:tc>
          <w:tcPr>
            <w:tcW w:type="dxa" w:w="1757"/>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COMPLETED</w:t>
            </w:r>
          </w:p>
        </w:tc>
        <w:tc>
          <w:tcPr>
            <w:tcW w:type="dxa" w:w="3628"/>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计划结束</w:t>
            </w:r>
          </w:p>
        </w:tc>
        <w:tc>
          <w:tcPr>
            <w:tcW w:type="dxa" w:w="3515"/>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只保留监控与对账</w:t>
            </w:r>
          </w:p>
        </w:tc>
      </w:tr>
    </w:tbl>
    <w:p>
      <w:pPr>
        <w:spacing w:after="40"/>
      </w:pPr>
    </w:p>
    <w:tbl>
      <w:tblPr>
        <w:tblW w:type="auto" w:w="0"/>
        <w:jc w:val="center"/>
        <w:tblLayout w:type="autofit"/>
        <w:tblLook w:firstColumn="1" w:firstRow="1" w:lastColumn="0" w:lastRow="0" w:noHBand="0" w:noVBand="1" w:val="04A0"/>
      </w:tblPr>
      <w:tblGrid>
        <w:gridCol w:w="9972"/>
      </w:tblGrid>
      <w:tr>
        <w:trPr>
          <w:trHeight w:hRule="atLeast"/>
        </w:trPr>
        <w:tc>
          <w:tcPr>
            <w:tcW w:type="dxa" w:w="9972"/>
            <w:shd w:fill="FFF2CC"/>
            <w:tcMar>
              <w:top w:w="140" w:type="dxa"/>
              <w:start w:w="180" w:type="dxa"/>
              <w:bottom w:w="140" w:type="dxa"/>
              <w:end w:w="180" w:type="dxa"/>
            </w:tcMar>
          </w:tcPr>
          <w:p>
            <w:pPr>
              <w:spacing w:before="0" w:after="60" w:line="300" w:lineRule="auto"/>
            </w:pPr>
            <w:r>
              <w:rPr>
                <w:rFonts w:ascii="Noto Sans CJK SC" w:hAnsi="Noto Sans CJK SC" w:eastAsia="Noto Sans CJK SC"/>
                <w:b/>
                <w:color w:val="194367"/>
                <w:sz w:val="21"/>
              </w:rPr>
              <w:t>关键规则</w:t>
            </w:r>
          </w:p>
          <w:p>
            <w:pPr>
              <w:spacing w:before="0" w:after="0" w:line="300" w:lineRule="auto"/>
            </w:pPr>
            <w:r>
              <w:rPr>
                <w:rFonts w:ascii="Noto Sans CJK SC" w:hAnsi="Noto Sans CJK SC" w:eastAsia="Noto Sans CJK SC"/>
                <w:sz w:val="20"/>
              </w:rPr>
              <w:t>计划一旦进入RUNNING，不允许后台简单覆盖同一plan_id。需要显式CANCEL + 新plan_id，避免14:35附近候选变化导致重复买入或持仓目标不一致。</w:t>
            </w:r>
          </w:p>
        </w:tc>
      </w:tr>
    </w:tbl>
    <w:p>
      <w:pPr>
        <w:spacing w:after="20"/>
      </w:pPr>
    </w:p>
    <w:p>
      <w:pPr>
        <w:pStyle w:val="Heading1"/>
        <w:keepNext/>
        <w:pageBreakBefore w:val="0"/>
      </w:pPr>
      <w:r>
        <w:rPr>
          <w:rFonts w:ascii="Noto Sans CJK SC" w:hAnsi="Noto Sans CJK SC" w:eastAsia="Noto Sans CJK SC"/>
          <w:b/>
          <w:color w:val="143A5F"/>
          <w:sz w:val="32"/>
        </w:rPr>
        <w:t>7. Windows Trading Node 运行时架构</w:t>
      </w:r>
    </w:p>
    <w:p>
      <w:pPr>
        <w:pStyle w:val="Heading2"/>
        <w:keepNext/>
      </w:pPr>
      <w:r>
        <w:rPr>
          <w:rFonts w:ascii="Noto Sans CJK SC" w:hAnsi="Noto Sans CJK SC" w:eastAsia="Noto Sans CJK SC"/>
          <w:b/>
          <w:color w:val="1F4E79"/>
          <w:sz w:val="26"/>
        </w:rPr>
        <w:t>7.1 进程设计</w:t>
      </w:r>
    </w:p>
    <w:tbl>
      <w:tblPr>
        <w:tblStyle w:val="TableGrid"/>
        <w:tblW w:type="auto" w:w="0"/>
        <w:jc w:val="center"/>
        <w:tblLayout w:type="fixed"/>
        <w:tblLook w:firstColumn="1" w:firstRow="1" w:lastColumn="0" w:lastRow="0" w:noHBand="0" w:noVBand="1" w:val="04A0"/>
      </w:tblPr>
      <w:tblGrid>
        <w:gridCol w:w="3324"/>
        <w:gridCol w:w="3324"/>
        <w:gridCol w:w="3324"/>
      </w:tblGrid>
      <w:tr>
        <w:trPr>
          <w:trHeight w:hRule="atLeast"/>
          <w:tblHeader w:val="true"/>
          <w:cantSplit/>
        </w:trPr>
        <w:tc>
          <w:tcPr>
            <w:tcW w:type="dxa" w:w="1814"/>
            <w:shd w:fill="1F4E78"/>
            <w:tcMar>
              <w:top w:w="90" w:type="dxa"/>
              <w:start w:w="90" w:type="dxa"/>
              <w:bottom w:w="90" w:type="dxa"/>
              <w:end w:w="90" w:type="dxa"/>
            </w:tcMar>
            <w:vAlign w:val="center"/>
          </w:tcPr>
          <w:p>
            <w:pPr>
              <w:spacing w:before="0" w:after="0" w:line="240" w:lineRule="auto"/>
              <w:jc w:val="center"/>
            </w:pPr>
            <w:r>
              <w:rPr>
                <w:rFonts w:ascii="Noto Sans CJK SC" w:hAnsi="Noto Sans CJK SC" w:eastAsia="Noto Sans CJK SC"/>
                <w:b/>
                <w:color w:val="FFFFFF"/>
                <w:sz w:val="18"/>
              </w:rPr>
              <w:t>进程</w:t>
            </w:r>
          </w:p>
        </w:tc>
        <w:tc>
          <w:tcPr>
            <w:tcW w:type="dxa" w:w="4082"/>
            <w:shd w:fill="1F4E78"/>
            <w:tcMar>
              <w:top w:w="90" w:type="dxa"/>
              <w:start w:w="90" w:type="dxa"/>
              <w:bottom w:w="90" w:type="dxa"/>
              <w:end w:w="90" w:type="dxa"/>
            </w:tcMar>
            <w:vAlign w:val="center"/>
          </w:tcPr>
          <w:p>
            <w:pPr>
              <w:spacing w:before="0" w:after="0" w:line="240" w:lineRule="auto"/>
              <w:jc w:val="center"/>
            </w:pPr>
            <w:r>
              <w:rPr>
                <w:rFonts w:ascii="Noto Sans CJK SC" w:hAnsi="Noto Sans CJK SC" w:eastAsia="Noto Sans CJK SC"/>
                <w:b/>
                <w:color w:val="FFFFFF"/>
                <w:sz w:val="18"/>
              </w:rPr>
              <w:t>主要职责</w:t>
            </w:r>
          </w:p>
        </w:tc>
        <w:tc>
          <w:tcPr>
            <w:tcW w:type="dxa" w:w="3005"/>
            <w:shd w:fill="1F4E78"/>
            <w:tcMar>
              <w:top w:w="90" w:type="dxa"/>
              <w:start w:w="90" w:type="dxa"/>
              <w:bottom w:w="90" w:type="dxa"/>
              <w:end w:w="90" w:type="dxa"/>
            </w:tcMar>
            <w:vAlign w:val="center"/>
          </w:tcPr>
          <w:p>
            <w:pPr>
              <w:spacing w:before="0" w:after="0" w:line="240" w:lineRule="auto"/>
              <w:jc w:val="center"/>
            </w:pPr>
            <w:r>
              <w:rPr>
                <w:rFonts w:ascii="Noto Sans CJK SC" w:hAnsi="Noto Sans CJK SC" w:eastAsia="Noto Sans CJK SC"/>
                <w:b/>
                <w:color w:val="FFFFFF"/>
                <w:sz w:val="18"/>
              </w:rPr>
              <w:t>不得承担</w:t>
            </w:r>
          </w:p>
        </w:tc>
      </w:tr>
      <w:tr>
        <w:trPr>
          <w:cantSplit/>
          <w:trHeight w:hRule="atLeast"/>
        </w:trPr>
        <w:tc>
          <w:tcPr>
            <w:tcW w:type="dxa" w:w="1814"/>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trade-runtime</w:t>
            </w:r>
          </w:p>
        </w:tc>
        <w:tc>
          <w:tcPr>
            <w:tcW w:type="dxa" w:w="4082"/>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QMT连接、Tick接收、Runtime State、Entry/Exit Policy、Risk、Execution、Order Manager、Reconcile</w:t>
            </w:r>
          </w:p>
        </w:tc>
        <w:tc>
          <w:tcPr>
            <w:tcW w:type="dxa" w:w="3005"/>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远程MySQL查询、后台HTTP同步、重型报表</w:t>
            </w:r>
          </w:p>
        </w:tc>
      </w:tr>
      <w:tr>
        <w:trPr>
          <w:cantSplit/>
          <w:trHeight w:hRule="atLeast"/>
        </w:trPr>
        <w:tc>
          <w:tcPr>
            <w:tcW w:type="dxa" w:w="1814"/>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sync-agent</w:t>
            </w:r>
          </w:p>
        </w:tc>
        <w:tc>
          <w:tcPr>
            <w:tcW w:type="dxa" w:w="4082"/>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拉取TradePlan、上传Outbox、上传资产/持仓/健康、接收后台远程控制</w:t>
            </w:r>
          </w:p>
        </w:tc>
        <w:tc>
          <w:tcPr>
            <w:tcW w:type="dxa" w:w="3005"/>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实时交易判断</w:t>
            </w:r>
          </w:p>
        </w:tc>
      </w:tr>
      <w:tr>
        <w:trPr>
          <w:cantSplit/>
          <w:trHeight w:hRule="atLeast"/>
        </w:trPr>
        <w:tc>
          <w:tcPr>
            <w:tcW w:type="dxa" w:w="1814"/>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watchdog</w:t>
            </w:r>
          </w:p>
        </w:tc>
        <w:tc>
          <w:tcPr>
            <w:tcW w:type="dxa" w:w="4082"/>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监控QMT、trade-runtime、sync-agent、交易连接、行情心跳；拉起/告警</w:t>
            </w:r>
          </w:p>
        </w:tc>
        <w:tc>
          <w:tcPr>
            <w:tcW w:type="dxa" w:w="3005"/>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策略逻辑</w:t>
            </w:r>
          </w:p>
        </w:tc>
      </w:tr>
    </w:tbl>
    <w:p>
      <w:pPr>
        <w:spacing w:after="40"/>
      </w:pPr>
    </w:p>
    <w:p>
      <w:pPr>
        <w:pStyle w:val="Heading2"/>
        <w:keepNext/>
      </w:pPr>
      <w:r>
        <w:rPr>
          <w:rFonts w:ascii="Noto Sans CJK SC" w:hAnsi="Noto Sans CJK SC" w:eastAsia="Noto Sans CJK SC"/>
          <w:b/>
          <w:color w:val="1F4E79"/>
          <w:sz w:val="26"/>
        </w:rPr>
        <w:t>7.2 内部事件总线</w:t>
      </w:r>
    </w:p>
    <w:tbl>
      <w:tblPr>
        <w:tblW w:type="auto" w:w="0"/>
        <w:jc w:val="center"/>
        <w:tblLook w:firstColumn="1" w:firstRow="1" w:lastColumn="0" w:lastRow="0" w:noHBand="0" w:noVBand="1" w:val="04A0"/>
      </w:tblPr>
      <w:tblGrid>
        <w:gridCol w:w="9972"/>
      </w:tblGrid>
      <w:tr>
        <w:trPr>
          <w:trHeight w:hRule="atLeast"/>
        </w:trPr>
        <w:tc>
          <w:tcPr>
            <w:tcW w:type="dxa" w:w="9972"/>
            <w:shd w:fill="F5F6F7"/>
            <w:tcMar>
              <w:top w:w="100" w:type="dxa"/>
              <w:start w:w="140" w:type="dxa"/>
              <w:bottom w:w="100" w:type="dxa"/>
              <w:end w:w="140" w:type="dxa"/>
            </w:tcMar>
          </w:tcPr>
          <w:p>
            <w:pPr>
              <w:spacing w:before="0" w:after="0" w:line="252" w:lineRule="auto"/>
            </w:pPr>
            <w:r>
              <w:rPr>
                <w:rFonts w:ascii="Noto Sans Mono CJK SC" w:hAnsi="Noto Sans Mono CJK SC" w:eastAsia="Noto Sans Mono CJK SC"/>
                <w:color w:val="2D3741"/>
                <w:sz w:val="17"/>
              </w:rPr>
              <w:t>QMT Tick Callback ─┐</w:t>
            </w:r>
            <w:r>
              <w:rPr>
                <w:rFonts w:ascii="Noto Sans CJK SC" w:hAnsi="Noto Sans CJK SC" w:eastAsia="Noto Sans CJK SC"/>
              </w:rPr>
              <w:br/>
            </w:r>
            <w:r>
              <w:rPr>
                <w:rFonts w:ascii="Noto Sans Mono CJK SC" w:hAnsi="Noto Sans Mono CJK SC" w:eastAsia="Noto Sans Mono CJK SC"/>
                <w:color w:val="2D3741"/>
                <w:sz w:val="17"/>
              </w:rPr>
              <w:t>Order Callback ────┼→ In-Memory Event Queue → Trading Runtime</w:t>
            </w:r>
            <w:r>
              <w:rPr>
                <w:rFonts w:ascii="Noto Sans CJK SC" w:hAnsi="Noto Sans CJK SC" w:eastAsia="Noto Sans CJK SC"/>
              </w:rPr>
              <w:br/>
            </w:r>
            <w:r>
              <w:rPr>
                <w:rFonts w:ascii="Noto Sans Mono CJK SC" w:hAnsi="Noto Sans Mono CJK SC" w:eastAsia="Noto Sans Mono CJK SC"/>
                <w:color w:val="2D3741"/>
                <w:sz w:val="17"/>
              </w:rPr>
              <w:t>Trade Callback ────┤                          ├→ State Update</w:t>
            </w:r>
            <w:r>
              <w:rPr>
                <w:rFonts w:ascii="Noto Sans CJK SC" w:hAnsi="Noto Sans CJK SC" w:eastAsia="Noto Sans CJK SC"/>
              </w:rPr>
              <w:br/>
            </w:r>
            <w:r>
              <w:rPr>
                <w:rFonts w:ascii="Noto Sans Mono CJK SC" w:hAnsi="Noto Sans Mono CJK SC" w:eastAsia="Noto Sans Mono CJK SC"/>
                <w:color w:val="2D3741"/>
                <w:sz w:val="17"/>
              </w:rPr>
              <w:t>Timer Event ────────┘                          ├→ Policy Evaluation</w:t>
            </w:r>
            <w:r>
              <w:rPr>
                <w:rFonts w:ascii="Noto Sans CJK SC" w:hAnsi="Noto Sans CJK SC" w:eastAsia="Noto Sans CJK SC"/>
              </w:rPr>
              <w:br/>
            </w:r>
            <w:r>
              <w:rPr>
                <w:rFonts w:ascii="Noto Sans Mono CJK SC" w:hAnsi="Noto Sans Mono CJK SC" w:eastAsia="Noto Sans Mono CJK SC"/>
                <w:color w:val="2D3741"/>
                <w:sz w:val="17"/>
              </w:rPr>
              <w:t xml:space="preserve">                                               ├→ Risk Check</w:t>
            </w:r>
            <w:r>
              <w:rPr>
                <w:rFonts w:ascii="Noto Sans CJK SC" w:hAnsi="Noto Sans CJK SC" w:eastAsia="Noto Sans CJK SC"/>
              </w:rPr>
              <w:br/>
            </w:r>
            <w:r>
              <w:rPr>
                <w:rFonts w:ascii="Noto Sans Mono CJK SC" w:hAnsi="Noto Sans Mono CJK SC" w:eastAsia="Noto Sans Mono CJK SC"/>
                <w:color w:val="2D3741"/>
                <w:sz w:val="17"/>
              </w:rPr>
              <w:t xml:space="preserve">                                               └→ Order Command</w:t>
            </w:r>
            <w:r>
              <w:rPr>
                <w:rFonts w:ascii="Noto Sans CJK SC" w:hAnsi="Noto Sans CJK SC" w:eastAsia="Noto Sans CJK SC"/>
              </w:rPr>
              <w:br/>
            </w:r>
            <w:r>
              <w:rPr>
                <w:rFonts w:ascii="Noto Sans Mono CJK SC" w:hAnsi="Noto Sans Mono CJK SC" w:eastAsia="Noto Sans Mono CJK SC"/>
                <w:color w:val="2D3741"/>
                <w:sz w:val="17"/>
              </w:rPr>
            </w:r>
            <w:r>
              <w:rPr>
                <w:rFonts w:ascii="Noto Sans CJK SC" w:hAnsi="Noto Sans CJK SC" w:eastAsia="Noto Sans CJK SC"/>
              </w:rPr>
              <w:br/>
            </w:r>
            <w:r>
              <w:rPr>
                <w:rFonts w:ascii="Noto Sans Mono CJK SC" w:hAnsi="Noto Sans Mono CJK SC" w:eastAsia="Noto Sans Mono CJK SC"/>
                <w:color w:val="2D3741"/>
                <w:sz w:val="17"/>
              </w:rPr>
              <w:t>所有回调只做：解析 → 放队列 → 立即返回。</w:t>
            </w:r>
          </w:p>
        </w:tc>
      </w:tr>
    </w:tbl>
    <w:p>
      <w:pPr>
        <w:spacing w:after="20"/>
      </w:pPr>
    </w:p>
    <w:p>
      <w:pPr>
        <w:pStyle w:val="Heading2"/>
        <w:keepNext/>
      </w:pPr>
      <w:r>
        <w:rPr>
          <w:rFonts w:ascii="Noto Sans CJK SC" w:hAnsi="Noto Sans CJK SC" w:eastAsia="Noto Sans CJK SC"/>
          <w:b/>
          <w:color w:val="1F4E79"/>
          <w:sz w:val="26"/>
        </w:rPr>
        <w:t>7.3 Runtime State示例</w:t>
      </w:r>
    </w:p>
    <w:tbl>
      <w:tblPr>
        <w:tblW w:type="auto" w:w="0"/>
        <w:jc w:val="center"/>
        <w:tblLook w:firstColumn="1" w:firstRow="1" w:lastColumn="0" w:lastRow="0" w:noHBand="0" w:noVBand="1" w:val="04A0"/>
      </w:tblPr>
      <w:tblGrid>
        <w:gridCol w:w="9972"/>
      </w:tblGrid>
      <w:tr>
        <w:trPr>
          <w:trHeight w:hRule="atLeast"/>
        </w:trPr>
        <w:tc>
          <w:tcPr>
            <w:tcW w:type="dxa" w:w="9972"/>
            <w:shd w:fill="F5F6F7"/>
            <w:tcMar>
              <w:top w:w="100" w:type="dxa"/>
              <w:start w:w="140" w:type="dxa"/>
              <w:bottom w:w="100" w:type="dxa"/>
              <w:end w:w="140" w:type="dxa"/>
            </w:tcMar>
          </w:tcPr>
          <w:p>
            <w:pPr>
              <w:spacing w:before="0" w:after="0" w:line="252" w:lineRule="auto"/>
            </w:pPr>
            <w:r>
              <w:rPr>
                <w:rFonts w:ascii="Noto Sans Mono CJK SC" w:hAnsi="Noto Sans Mono CJK SC" w:eastAsia="Noto Sans Mono CJK SC"/>
                <w:color w:val="2D3741"/>
                <w:sz w:val="17"/>
              </w:rPr>
              <w:t>SymbolRuntimeState</w:t>
            </w:r>
            <w:r>
              <w:rPr>
                <w:rFonts w:ascii="Noto Sans CJK SC" w:hAnsi="Noto Sans CJK SC" w:eastAsia="Noto Sans CJK SC"/>
              </w:rPr>
              <w:br/>
            </w:r>
            <w:r>
              <w:rPr>
                <w:rFonts w:ascii="Noto Sans Mono CJK SC" w:hAnsi="Noto Sans Mono CJK SC" w:eastAsia="Noto Sans Mono CJK SC"/>
                <w:color w:val="2D3741"/>
                <w:sz w:val="17"/>
              </w:rPr>
              <w:t>- symbol</w:t>
            </w:r>
            <w:r>
              <w:rPr>
                <w:rFonts w:ascii="Noto Sans CJK SC" w:hAnsi="Noto Sans CJK SC" w:eastAsia="Noto Sans CJK SC"/>
              </w:rPr>
              <w:br/>
            </w:r>
            <w:r>
              <w:rPr>
                <w:rFonts w:ascii="Noto Sans Mono CJK SC" w:hAnsi="Noto Sans Mono CJK SC" w:eastAsia="Noto Sans Mono CJK SC"/>
                <w:color w:val="2D3741"/>
                <w:sz w:val="17"/>
              </w:rPr>
              <w:t>- strategy_id / plan_id</w:t>
            </w:r>
            <w:r>
              <w:rPr>
                <w:rFonts w:ascii="Noto Sans CJK SC" w:hAnsi="Noto Sans CJK SC" w:eastAsia="Noto Sans CJK SC"/>
              </w:rPr>
              <w:br/>
            </w:r>
            <w:r>
              <w:rPr>
                <w:rFonts w:ascii="Noto Sans Mono CJK SC" w:hAnsi="Noto Sans Mono CJK SC" w:eastAsia="Noto Sans Mono CJK SC"/>
                <w:color w:val="2D3741"/>
                <w:sz w:val="17"/>
              </w:rPr>
              <w:t>- position_qty / sellable_qty</w:t>
            </w:r>
            <w:r>
              <w:rPr>
                <w:rFonts w:ascii="Noto Sans CJK SC" w:hAnsi="Noto Sans CJK SC" w:eastAsia="Noto Sans CJK SC"/>
              </w:rPr>
              <w:br/>
            </w:r>
            <w:r>
              <w:rPr>
                <w:rFonts w:ascii="Noto Sans Mono CJK SC" w:hAnsi="Noto Sans Mono CJK SC" w:eastAsia="Noto Sans Mono CJK SC"/>
                <w:color w:val="2D3741"/>
                <w:sz w:val="17"/>
              </w:rPr>
              <w:t>- current_price / open / pre_close</w:t>
            </w:r>
            <w:r>
              <w:rPr>
                <w:rFonts w:ascii="Noto Sans CJK SC" w:hAnsi="Noto Sans CJK SC" w:eastAsia="Noto Sans CJK SC"/>
              </w:rPr>
              <w:br/>
            </w:r>
            <w:r>
              <w:rPr>
                <w:rFonts w:ascii="Noto Sans Mono CJK SC" w:hAnsi="Noto Sans Mono CJK SC" w:eastAsia="Noto Sans Mono CJK SC"/>
                <w:color w:val="2D3741"/>
                <w:sz w:val="17"/>
              </w:rPr>
              <w:t>- peak_price / peak_gain</w:t>
            </w:r>
            <w:r>
              <w:rPr>
                <w:rFonts w:ascii="Noto Sans CJK SC" w:hAnsi="Noto Sans CJK SC" w:eastAsia="Noto Sans CJK SC"/>
              </w:rPr>
              <w:br/>
            </w:r>
            <w:r>
              <w:rPr>
                <w:rFonts w:ascii="Noto Sans Mono CJK SC" w:hAnsi="Noto Sans Mono CJK SC" w:eastAsia="Noto Sans Mono CJK SC"/>
                <w:color w:val="2D3741"/>
                <w:sz w:val="17"/>
              </w:rPr>
              <w:t>- vwap / amount / volume</w:t>
            </w:r>
            <w:r>
              <w:rPr>
                <w:rFonts w:ascii="Noto Sans CJK SC" w:hAnsi="Noto Sans CJK SC" w:eastAsia="Noto Sans CJK SC"/>
              </w:rPr>
              <w:br/>
            </w:r>
            <w:r>
              <w:rPr>
                <w:rFonts w:ascii="Noto Sans Mono CJK SC" w:hAnsi="Noto Sans Mono CJK SC" w:eastAsia="Noto Sans Mono CJK SC"/>
                <w:color w:val="2D3741"/>
                <w:sz w:val="17"/>
              </w:rPr>
              <w:t>- entry_state / exit_state</w:t>
            </w:r>
            <w:r>
              <w:rPr>
                <w:rFonts w:ascii="Noto Sans CJK SC" w:hAnsi="Noto Sans CJK SC" w:eastAsia="Noto Sans CJK SC"/>
              </w:rPr>
              <w:br/>
            </w:r>
            <w:r>
              <w:rPr>
                <w:rFonts w:ascii="Noto Sans Mono CJK SC" w:hAnsi="Noto Sans Mono CJK SC" w:eastAsia="Noto Sans Mono CJK SC"/>
                <w:color w:val="2D3741"/>
                <w:sz w:val="17"/>
              </w:rPr>
              <w:t>- active_order_id</w:t>
            </w:r>
            <w:r>
              <w:rPr>
                <w:rFonts w:ascii="Noto Sans CJK SC" w:hAnsi="Noto Sans CJK SC" w:eastAsia="Noto Sans CJK SC"/>
              </w:rPr>
              <w:br/>
            </w:r>
            <w:r>
              <w:rPr>
                <w:rFonts w:ascii="Noto Sans Mono CJK SC" w:hAnsi="Noto Sans Mono CJK SC" w:eastAsia="Noto Sans Mono CJK SC"/>
                <w:color w:val="2D3741"/>
                <w:sz w:val="17"/>
              </w:rPr>
              <w:t>- buy_enabled / sell_enabled</w:t>
            </w:r>
            <w:r>
              <w:rPr>
                <w:rFonts w:ascii="Noto Sans CJK SC" w:hAnsi="Noto Sans CJK SC" w:eastAsia="Noto Sans CJK SC"/>
              </w:rPr>
              <w:br/>
            </w:r>
            <w:r>
              <w:rPr>
                <w:rFonts w:ascii="Noto Sans Mono CJK SC" w:hAnsi="Noto Sans Mono CJK SC" w:eastAsia="Noto Sans Mono CJK SC"/>
                <w:color w:val="2D3741"/>
                <w:sz w:val="17"/>
              </w:rPr>
              <w:t>- manual_mode</w:t>
            </w:r>
            <w:r>
              <w:rPr>
                <w:rFonts w:ascii="Noto Sans CJK SC" w:hAnsi="Noto Sans CJK SC" w:eastAsia="Noto Sans CJK SC"/>
              </w:rPr>
              <w:br/>
            </w:r>
            <w:r>
              <w:rPr>
                <w:rFonts w:ascii="Noto Sans Mono CJK SC" w:hAnsi="Noto Sans Mono CJK SC" w:eastAsia="Noto Sans Mono CJK SC"/>
                <w:color w:val="2D3741"/>
                <w:sz w:val="17"/>
              </w:rPr>
              <w:t>- market_health</w:t>
            </w:r>
          </w:p>
        </w:tc>
      </w:tr>
    </w:tbl>
    <w:p>
      <w:pPr>
        <w:spacing w:after="20"/>
      </w:pPr>
    </w:p>
    <w:p>
      <w:pPr>
        <w:pStyle w:val="Heading1"/>
        <w:keepNext/>
        <w:pageBreakBefore w:val="0"/>
      </w:pPr>
      <w:r>
        <w:rPr>
          <w:rFonts w:ascii="Noto Sans CJK SC" w:hAnsi="Noto Sans CJK SC" w:eastAsia="Noto Sans CJK SC"/>
          <w:b/>
          <w:color w:val="143A5F"/>
          <w:sz w:val="32"/>
        </w:rPr>
        <w:t>8. QMT / XtQuant Broker Gateway 与行情接入</w:t>
      </w:r>
    </w:p>
    <w:p>
      <w:pPr>
        <w:pStyle w:val="Heading2"/>
        <w:keepNext/>
      </w:pPr>
      <w:r>
        <w:rPr>
          <w:rFonts w:ascii="Noto Sans CJK SC" w:hAnsi="Noto Sans CJK SC" w:eastAsia="Noto Sans CJK SC"/>
          <w:b/>
          <w:color w:val="1F4E79"/>
          <w:sz w:val="26"/>
        </w:rPr>
        <w:t>8.1 Broker Gateway</w:t>
      </w:r>
    </w:p>
    <w:tbl>
      <w:tblPr>
        <w:tblStyle w:val="TableGrid"/>
        <w:tblW w:type="auto" w:w="0"/>
        <w:jc w:val="center"/>
        <w:tblLayout w:type="fixed"/>
        <w:tblLook w:firstColumn="1" w:firstRow="1" w:lastColumn="0" w:lastRow="0" w:noHBand="0" w:noVBand="1" w:val="04A0"/>
      </w:tblPr>
      <w:tblGrid>
        <w:gridCol w:w="3324"/>
        <w:gridCol w:w="3324"/>
        <w:gridCol w:w="3324"/>
      </w:tblGrid>
      <w:tr>
        <w:trPr>
          <w:trHeight w:hRule="atLeast"/>
          <w:tblHeader w:val="true"/>
          <w:cantSplit/>
        </w:trPr>
        <w:tc>
          <w:tcPr>
            <w:tcW w:type="dxa" w:w="2268"/>
            <w:shd w:fill="1F4E78"/>
            <w:tcMar>
              <w:top w:w="90" w:type="dxa"/>
              <w:start w:w="90" w:type="dxa"/>
              <w:bottom w:w="90" w:type="dxa"/>
              <w:end w:w="90" w:type="dxa"/>
            </w:tcMar>
            <w:vAlign w:val="center"/>
          </w:tcPr>
          <w:p>
            <w:pPr>
              <w:spacing w:before="0" w:after="0" w:line="240" w:lineRule="auto"/>
              <w:jc w:val="center"/>
            </w:pPr>
            <w:r>
              <w:rPr>
                <w:rFonts w:ascii="Noto Sans CJK SC" w:hAnsi="Noto Sans CJK SC" w:eastAsia="Noto Sans CJK SC"/>
                <w:b/>
                <w:color w:val="FFFFFF"/>
                <w:sz w:val="18"/>
              </w:rPr>
              <w:t>接口能力</w:t>
            </w:r>
          </w:p>
        </w:tc>
        <w:tc>
          <w:tcPr>
            <w:tcW w:type="dxa" w:w="3175"/>
            <w:shd w:fill="1F4E78"/>
            <w:tcMar>
              <w:top w:w="90" w:type="dxa"/>
              <w:start w:w="90" w:type="dxa"/>
              <w:bottom w:w="90" w:type="dxa"/>
              <w:end w:w="90" w:type="dxa"/>
            </w:tcMar>
            <w:vAlign w:val="center"/>
          </w:tcPr>
          <w:p>
            <w:pPr>
              <w:spacing w:before="0" w:after="0" w:line="240" w:lineRule="auto"/>
              <w:jc w:val="center"/>
            </w:pPr>
            <w:r>
              <w:rPr>
                <w:rFonts w:ascii="Noto Sans CJK SC" w:hAnsi="Noto Sans CJK SC" w:eastAsia="Noto Sans CJK SC"/>
                <w:b/>
                <w:color w:val="FFFFFF"/>
                <w:sz w:val="18"/>
              </w:rPr>
              <w:t>QMT映射</w:t>
            </w:r>
          </w:p>
        </w:tc>
        <w:tc>
          <w:tcPr>
            <w:tcW w:type="dxa" w:w="3458"/>
            <w:shd w:fill="1F4E78"/>
            <w:tcMar>
              <w:top w:w="90" w:type="dxa"/>
              <w:start w:w="90" w:type="dxa"/>
              <w:bottom w:w="90" w:type="dxa"/>
              <w:end w:w="90" w:type="dxa"/>
            </w:tcMar>
            <w:vAlign w:val="center"/>
          </w:tcPr>
          <w:p>
            <w:pPr>
              <w:spacing w:before="0" w:after="0" w:line="240" w:lineRule="auto"/>
              <w:jc w:val="center"/>
            </w:pPr>
            <w:r>
              <w:rPr>
                <w:rFonts w:ascii="Noto Sans CJK SC" w:hAnsi="Noto Sans CJK SC" w:eastAsia="Noto Sans CJK SC"/>
                <w:b/>
                <w:color w:val="FFFFFF"/>
                <w:sz w:val="18"/>
              </w:rPr>
              <w:t>系统用途</w:t>
            </w:r>
          </w:p>
        </w:tc>
      </w:tr>
      <w:tr>
        <w:trPr>
          <w:cantSplit/>
          <w:trHeight w:hRule="atLeast"/>
        </w:trPr>
        <w:tc>
          <w:tcPr>
            <w:tcW w:type="dxa" w:w="2268"/>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connect / subscribe</w:t>
            </w:r>
          </w:p>
        </w:tc>
        <w:tc>
          <w:tcPr>
            <w:tcW w:type="dxa" w:w="3175"/>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XtQuantTrader.connect / subscribe</w:t>
            </w:r>
          </w:p>
        </w:tc>
        <w:tc>
          <w:tcPr>
            <w:tcW w:type="dxa" w:w="3458"/>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连接中金独立交易，订阅账户交易主推</w:t>
            </w:r>
          </w:p>
        </w:tc>
      </w:tr>
      <w:tr>
        <w:trPr>
          <w:cantSplit/>
          <w:trHeight w:hRule="atLeast"/>
        </w:trPr>
        <w:tc>
          <w:tcPr>
            <w:tcW w:type="dxa" w:w="2268"/>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get_account</w:t>
            </w:r>
          </w:p>
        </w:tc>
        <w:tc>
          <w:tcPr>
            <w:tcW w:type="dxa" w:w="3175"/>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query_stock_asset</w:t>
            </w:r>
          </w:p>
        </w:tc>
        <w:tc>
          <w:tcPr>
            <w:tcW w:type="dxa" w:w="3458"/>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资金、总资产、可用现金</w:t>
            </w:r>
          </w:p>
        </w:tc>
      </w:tr>
      <w:tr>
        <w:trPr>
          <w:cantSplit/>
          <w:trHeight w:hRule="atLeast"/>
        </w:trPr>
        <w:tc>
          <w:tcPr>
            <w:tcW w:type="dxa" w:w="2268"/>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get_positions</w:t>
            </w:r>
          </w:p>
        </w:tc>
        <w:tc>
          <w:tcPr>
            <w:tcW w:type="dxa" w:w="3175"/>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query_stock_positions</w:t>
            </w:r>
          </w:p>
        </w:tc>
        <w:tc>
          <w:tcPr>
            <w:tcW w:type="dxa" w:w="3458"/>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真实持仓与可卖数量</w:t>
            </w:r>
          </w:p>
        </w:tc>
      </w:tr>
      <w:tr>
        <w:trPr>
          <w:cantSplit/>
          <w:trHeight w:hRule="atLeast"/>
        </w:trPr>
        <w:tc>
          <w:tcPr>
            <w:tcW w:type="dxa" w:w="2268"/>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get_orders</w:t>
            </w:r>
          </w:p>
        </w:tc>
        <w:tc>
          <w:tcPr>
            <w:tcW w:type="dxa" w:w="3175"/>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query_stock_orders</w:t>
            </w:r>
          </w:p>
        </w:tc>
        <w:tc>
          <w:tcPr>
            <w:tcW w:type="dxa" w:w="3458"/>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当日委托与恢复</w:t>
            </w:r>
          </w:p>
        </w:tc>
      </w:tr>
      <w:tr>
        <w:trPr>
          <w:cantSplit/>
          <w:trHeight w:hRule="atLeast"/>
        </w:trPr>
        <w:tc>
          <w:tcPr>
            <w:tcW w:type="dxa" w:w="2268"/>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get_trades</w:t>
            </w:r>
          </w:p>
        </w:tc>
        <w:tc>
          <w:tcPr>
            <w:tcW w:type="dxa" w:w="3175"/>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query_stock_trades</w:t>
            </w:r>
          </w:p>
        </w:tc>
        <w:tc>
          <w:tcPr>
            <w:tcW w:type="dxa" w:w="3458"/>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当日成交与恢复</w:t>
            </w:r>
          </w:p>
        </w:tc>
      </w:tr>
      <w:tr>
        <w:trPr>
          <w:cantSplit/>
          <w:trHeight w:hRule="atLeast"/>
        </w:trPr>
        <w:tc>
          <w:tcPr>
            <w:tcW w:type="dxa" w:w="2268"/>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place_order</w:t>
            </w:r>
          </w:p>
        </w:tc>
        <w:tc>
          <w:tcPr>
            <w:tcW w:type="dxa" w:w="3175"/>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order_stock / order_stock_async</w:t>
            </w:r>
          </w:p>
        </w:tc>
        <w:tc>
          <w:tcPr>
            <w:tcW w:type="dxa" w:w="3458"/>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同步/异步报单；正式版优先异步</w:t>
            </w:r>
          </w:p>
        </w:tc>
      </w:tr>
      <w:tr>
        <w:trPr>
          <w:cantSplit/>
          <w:trHeight w:hRule="atLeast"/>
        </w:trPr>
        <w:tc>
          <w:tcPr>
            <w:tcW w:type="dxa" w:w="2268"/>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cancel_order</w:t>
            </w:r>
          </w:p>
        </w:tc>
        <w:tc>
          <w:tcPr>
            <w:tcW w:type="dxa" w:w="3175"/>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cancel_order_stock / async variant</w:t>
            </w:r>
          </w:p>
        </w:tc>
        <w:tc>
          <w:tcPr>
            <w:tcW w:type="dxa" w:w="3458"/>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撤单与重新报价</w:t>
            </w:r>
          </w:p>
        </w:tc>
      </w:tr>
      <w:tr>
        <w:trPr>
          <w:cantSplit/>
          <w:trHeight w:hRule="atLeast"/>
        </w:trPr>
        <w:tc>
          <w:tcPr>
            <w:tcW w:type="dxa" w:w="2268"/>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on_order / on_trade / on_error</w:t>
            </w:r>
          </w:p>
        </w:tc>
        <w:tc>
          <w:tcPr>
            <w:tcW w:type="dxa" w:w="3175"/>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XtQuantTraderCallback</w:t>
            </w:r>
          </w:p>
        </w:tc>
        <w:tc>
          <w:tcPr>
            <w:tcW w:type="dxa" w:w="3458"/>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订单生命周期实时更新</w:t>
            </w:r>
          </w:p>
        </w:tc>
      </w:tr>
    </w:tbl>
    <w:p>
      <w:pPr>
        <w:spacing w:after="40"/>
      </w:pPr>
    </w:p>
    <w:p>
      <w:pPr>
        <w:pStyle w:val="Heading2"/>
        <w:keepNext/>
      </w:pPr>
      <w:r>
        <w:rPr>
          <w:rFonts w:ascii="Noto Sans CJK SC" w:hAnsi="Noto Sans CJK SC" w:eastAsia="Noto Sans CJK SC"/>
          <w:b/>
          <w:color w:val="1F4E79"/>
          <w:sz w:val="26"/>
        </w:rPr>
        <w:t>8.2 Market Gateway</w:t>
      </w:r>
    </w:p>
    <w:tbl>
      <w:tblPr>
        <w:tblStyle w:val="TableGrid"/>
        <w:tblW w:type="auto" w:w="0"/>
        <w:jc w:val="center"/>
        <w:tblLayout w:type="fixed"/>
        <w:tblLook w:firstColumn="1" w:firstRow="1" w:lastColumn="0" w:lastRow="0" w:noHBand="0" w:noVBand="1" w:val="04A0"/>
      </w:tblPr>
      <w:tblGrid>
        <w:gridCol w:w="3324"/>
        <w:gridCol w:w="3324"/>
        <w:gridCol w:w="3324"/>
      </w:tblGrid>
      <w:tr>
        <w:trPr>
          <w:trHeight w:hRule="atLeast"/>
          <w:tblHeader w:val="true"/>
          <w:cantSplit/>
        </w:trPr>
        <w:tc>
          <w:tcPr>
            <w:tcW w:type="dxa" w:w="2041"/>
            <w:shd w:fill="1F4E78"/>
            <w:tcMar>
              <w:top w:w="90" w:type="dxa"/>
              <w:start w:w="90" w:type="dxa"/>
              <w:bottom w:w="90" w:type="dxa"/>
              <w:end w:w="90" w:type="dxa"/>
            </w:tcMar>
            <w:vAlign w:val="center"/>
          </w:tcPr>
          <w:p>
            <w:pPr>
              <w:spacing w:before="0" w:after="0" w:line="240" w:lineRule="auto"/>
              <w:jc w:val="center"/>
            </w:pPr>
            <w:r>
              <w:rPr>
                <w:rFonts w:ascii="Noto Sans CJK SC" w:hAnsi="Noto Sans CJK SC" w:eastAsia="Noto Sans CJK SC"/>
                <w:b/>
                <w:color w:val="FFFFFF"/>
                <w:sz w:val="18"/>
              </w:rPr>
              <w:t>数据</w:t>
            </w:r>
          </w:p>
        </w:tc>
        <w:tc>
          <w:tcPr>
            <w:tcW w:type="dxa" w:w="2041"/>
            <w:shd w:fill="1F4E78"/>
            <w:tcMar>
              <w:top w:w="90" w:type="dxa"/>
              <w:start w:w="90" w:type="dxa"/>
              <w:bottom w:w="90" w:type="dxa"/>
              <w:end w:w="90" w:type="dxa"/>
            </w:tcMar>
            <w:vAlign w:val="center"/>
          </w:tcPr>
          <w:p>
            <w:pPr>
              <w:spacing w:before="0" w:after="0" w:line="240" w:lineRule="auto"/>
              <w:jc w:val="center"/>
            </w:pPr>
            <w:r>
              <w:rPr>
                <w:rFonts w:ascii="Noto Sans CJK SC" w:hAnsi="Noto Sans CJK SC" w:eastAsia="Noto Sans CJK SC"/>
                <w:b/>
                <w:color w:val="FFFFFF"/>
                <w:sz w:val="18"/>
              </w:rPr>
              <w:t>V1要求</w:t>
            </w:r>
          </w:p>
        </w:tc>
        <w:tc>
          <w:tcPr>
            <w:tcW w:type="dxa" w:w="4819"/>
            <w:shd w:fill="1F4E78"/>
            <w:tcMar>
              <w:top w:w="90" w:type="dxa"/>
              <w:start w:w="90" w:type="dxa"/>
              <w:bottom w:w="90" w:type="dxa"/>
              <w:end w:w="90" w:type="dxa"/>
            </w:tcMar>
            <w:vAlign w:val="center"/>
          </w:tcPr>
          <w:p>
            <w:pPr>
              <w:spacing w:before="0" w:after="0" w:line="240" w:lineRule="auto"/>
              <w:jc w:val="center"/>
            </w:pPr>
            <w:r>
              <w:rPr>
                <w:rFonts w:ascii="Noto Sans CJK SC" w:hAnsi="Noto Sans CJK SC" w:eastAsia="Noto Sans CJK SC"/>
                <w:b/>
                <w:color w:val="FFFFFF"/>
                <w:sz w:val="18"/>
              </w:rPr>
              <w:t>用途</w:t>
            </w:r>
          </w:p>
        </w:tc>
      </w:tr>
      <w:tr>
        <w:trPr>
          <w:cantSplit/>
          <w:trHeight w:hRule="atLeast"/>
        </w:trPr>
        <w:tc>
          <w:tcPr>
            <w:tcW w:type="dxa" w:w="2041"/>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普通Tick</w:t>
            </w:r>
          </w:p>
        </w:tc>
        <w:tc>
          <w:tcPr>
            <w:tcW w:type="dxa" w:w="2041"/>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必须</w:t>
            </w:r>
          </w:p>
        </w:tc>
        <w:tc>
          <w:tcPr>
            <w:tcW w:type="dxa" w:w="4819"/>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最新价、开高低、昨收、累计量额、买卖档位、盘中峰值</w:t>
            </w:r>
          </w:p>
        </w:tc>
      </w:tr>
      <w:tr>
        <w:trPr>
          <w:cantSplit/>
          <w:trHeight w:hRule="atLeast"/>
        </w:trPr>
        <w:tc>
          <w:tcPr>
            <w:tcW w:type="dxa" w:w="2041"/>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1分钟行情</w:t>
            </w:r>
          </w:p>
        </w:tc>
        <w:tc>
          <w:tcPr>
            <w:tcW w:type="dxa" w:w="2041"/>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必须</w:t>
            </w:r>
          </w:p>
        </w:tc>
        <w:tc>
          <w:tcPr>
            <w:tcW w:type="dxa" w:w="4819"/>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同期成交额、分时趋势、历史比较、辅助指标</w:t>
            </w:r>
          </w:p>
        </w:tc>
      </w:tr>
      <w:tr>
        <w:trPr>
          <w:cantSplit/>
          <w:trHeight w:hRule="atLeast"/>
        </w:trPr>
        <w:tc>
          <w:tcPr>
            <w:tcW w:type="dxa" w:w="2041"/>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买卖五档</w:t>
            </w:r>
          </w:p>
        </w:tc>
        <w:tc>
          <w:tcPr>
            <w:tcW w:type="dxa" w:w="2041"/>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建议必须</w:t>
            </w:r>
          </w:p>
        </w:tc>
        <w:tc>
          <w:tcPr>
            <w:tcW w:type="dxa" w:w="4819"/>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报单定价、spread、基础流动性</w:t>
            </w:r>
          </w:p>
        </w:tc>
      </w:tr>
      <w:tr>
        <w:trPr>
          <w:cantSplit/>
          <w:trHeight w:hRule="atLeast"/>
        </w:trPr>
        <w:tc>
          <w:tcPr>
            <w:tcW w:type="dxa" w:w="2041"/>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Level-2逐笔成交</w:t>
            </w:r>
          </w:p>
        </w:tc>
        <w:tc>
          <w:tcPr>
            <w:tcW w:type="dxa" w:w="2041"/>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V2增强</w:t>
            </w:r>
          </w:p>
        </w:tc>
        <w:tc>
          <w:tcPr>
            <w:tcW w:type="dxa" w:w="4819"/>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主动成交方向、抛压与冲高回落确认</w:t>
            </w:r>
          </w:p>
        </w:tc>
      </w:tr>
      <w:tr>
        <w:trPr>
          <w:cantSplit/>
          <w:trHeight w:hRule="atLeast"/>
        </w:trPr>
        <w:tc>
          <w:tcPr>
            <w:tcW w:type="dxa" w:w="2041"/>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Level-2逐笔委托/队列</w:t>
            </w:r>
          </w:p>
        </w:tc>
        <w:tc>
          <w:tcPr>
            <w:tcW w:type="dxa" w:w="2041"/>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后续研究</w:t>
            </w:r>
          </w:p>
        </w:tc>
        <w:tc>
          <w:tcPr>
            <w:tcW w:type="dxa" w:w="4819"/>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撤单、盘口微观结构；噪声较大，不做V1唯一触发</w:t>
            </w:r>
          </w:p>
        </w:tc>
      </w:tr>
    </w:tbl>
    <w:p>
      <w:pPr>
        <w:spacing w:after="40"/>
      </w:pPr>
    </w:p>
    <w:p>
      <w:pPr>
        <w:spacing w:before="0" w:after="100" w:line="300" w:lineRule="auto"/>
      </w:pPr>
      <w:r>
        <w:rPr>
          <w:rFonts w:ascii="Noto Sans CJK SC" w:hAnsi="Noto Sans CJK SC" w:eastAsia="Noto Sans CJK SC"/>
        </w:rPr>
        <w:t>迅投文档将普通tick与l2quote、l2transaction、l2order、l2orderqueue等数据类型分开定义。因此系统MarketDataProvider从第一天就预留Level1Provider与Level2Provider，但V1交易核心不能依赖尚未验收的Level-2权限。</w:t>
      </w:r>
    </w:p>
    <w:p>
      <w:pPr>
        <w:pStyle w:val="Heading2"/>
        <w:keepNext/>
      </w:pPr>
      <w:r>
        <w:rPr>
          <w:rFonts w:ascii="Noto Sans CJK SC" w:hAnsi="Noto Sans CJK SC" w:eastAsia="Noto Sans CJK SC"/>
          <w:b/>
          <w:color w:val="1F4E79"/>
          <w:sz w:val="26"/>
        </w:rPr>
        <w:t>8.3 订阅范围</w:t>
      </w:r>
    </w:p>
    <w:p>
      <w:pPr>
        <w:pStyle w:val="ListBullet"/>
        <w:spacing w:before="0" w:after="40" w:line="300" w:lineRule="auto"/>
      </w:pPr>
      <w:r>
        <w:rPr>
          <w:rFonts w:ascii="Noto Sans CJK SC" w:hAnsi="Noto Sans CJK SC" w:eastAsia="Noto Sans CJK SC"/>
          <w:sz w:val="21"/>
        </w:rPr>
        <w:t>Windows交易节点只订阅“今日候选 + 当前持仓 + 必要指数”，最大15只股票的规模非常轻。</w:t>
      </w:r>
    </w:p>
    <w:p>
      <w:pPr>
        <w:pStyle w:val="ListBullet"/>
        <w:spacing w:before="0" w:after="40" w:line="300" w:lineRule="auto"/>
      </w:pPr>
      <w:r>
        <w:rPr>
          <w:rFonts w:ascii="Noto Sans CJK SC" w:hAnsi="Noto Sans CJK SC" w:eastAsia="Noto Sans CJK SC"/>
          <w:sz w:val="21"/>
        </w:rPr>
        <w:t>全市场行情用于现有量化选股系统时，可单独构建行情网关并同步到CentOS；不建议让交易回调承担全市场重型转发。</w:t>
      </w:r>
    </w:p>
    <w:p>
      <w:pPr>
        <w:pStyle w:val="ListBullet"/>
        <w:spacing w:before="0" w:after="40" w:line="300" w:lineRule="auto"/>
      </w:pPr>
      <w:r>
        <w:rPr>
          <w:rFonts w:ascii="Noto Sans CJK SC" w:hAnsi="Noto Sans CJK SC" w:eastAsia="Noto Sans CJK SC"/>
          <w:sz w:val="21"/>
        </w:rPr>
        <w:t>交易节点对每条Tick记录exchange_time与receive_time，用于监控行情陈旧和内部延迟。</w:t>
      </w:r>
    </w:p>
    <w:p>
      <w:pPr>
        <w:pStyle w:val="Heading1"/>
        <w:keepNext/>
        <w:pageBreakBefore w:val="0"/>
      </w:pPr>
      <w:r>
        <w:rPr>
          <w:rFonts w:ascii="Noto Sans CJK SC" w:hAnsi="Noto Sans CJK SC" w:eastAsia="Noto Sans CJK SC"/>
          <w:b/>
          <w:color w:val="143A5F"/>
          <w:sz w:val="32"/>
        </w:rPr>
        <w:t>9. 自动买入执行体系</w:t>
      </w:r>
    </w:p>
    <w:p>
      <w:pPr>
        <w:pStyle w:val="Heading2"/>
        <w:keepNext/>
      </w:pPr>
      <w:r>
        <w:rPr>
          <w:rFonts w:ascii="Noto Sans CJK SC" w:hAnsi="Noto Sans CJK SC" w:eastAsia="Noto Sans CJK SC"/>
          <w:b/>
          <w:color w:val="1F4E79"/>
          <w:sz w:val="26"/>
        </w:rPr>
        <w:t>9.1 买入流程</w:t>
      </w:r>
    </w:p>
    <w:tbl>
      <w:tblPr>
        <w:tblW w:type="auto" w:w="0"/>
        <w:jc w:val="center"/>
        <w:tblLook w:firstColumn="1" w:firstRow="1" w:lastColumn="0" w:lastRow="0" w:noHBand="0" w:noVBand="1" w:val="04A0"/>
      </w:tblPr>
      <w:tblGrid>
        <w:gridCol w:w="9972"/>
      </w:tblGrid>
      <w:tr>
        <w:trPr>
          <w:trHeight w:hRule="atLeast"/>
        </w:trPr>
        <w:tc>
          <w:tcPr>
            <w:tcW w:type="dxa" w:w="9972"/>
            <w:shd w:fill="F5F6F7"/>
            <w:tcMar>
              <w:top w:w="100" w:type="dxa"/>
              <w:start w:w="140" w:type="dxa"/>
              <w:bottom w:w="100" w:type="dxa"/>
              <w:end w:w="140" w:type="dxa"/>
            </w:tcMar>
          </w:tcPr>
          <w:p>
            <w:pPr>
              <w:spacing w:before="0" w:after="0" w:line="252" w:lineRule="auto"/>
            </w:pPr>
            <w:r>
              <w:rPr>
                <w:rFonts w:ascii="Noto Sans Mono CJK SC" w:hAnsi="Noto Sans Mono CJK SC" w:eastAsia="Noto Sans Mono CJK SC"/>
                <w:color w:val="2D3741"/>
                <w:sz w:val="17"/>
              </w:rPr>
              <w:t>READY TradePlan</w:t>
            </w:r>
            <w:r>
              <w:rPr>
                <w:rFonts w:ascii="Noto Sans CJK SC" w:hAnsi="Noto Sans CJK SC" w:eastAsia="Noto Sans CJK SC"/>
              </w:rPr>
              <w:br/>
            </w:r>
            <w:r>
              <w:rPr>
                <w:rFonts w:ascii="Noto Sans Mono CJK SC" w:hAnsi="Noto Sans Mono CJK SC" w:eastAsia="Noto Sans Mono CJK SC"/>
                <w:color w:val="2D3741"/>
                <w:sz w:val="17"/>
              </w:rPr>
              <w:t xml:space="preserve">  ↓</w:t>
            </w:r>
            <w:r>
              <w:rPr>
                <w:rFonts w:ascii="Noto Sans CJK SC" w:hAnsi="Noto Sans CJK SC" w:eastAsia="Noto Sans CJK SC"/>
              </w:rPr>
              <w:br/>
            </w:r>
            <w:r>
              <w:rPr>
                <w:rFonts w:ascii="Noto Sans Mono CJK SC" w:hAnsi="Noto Sans Mono CJK SC" w:eastAsia="Noto Sans Mono CJK SC"/>
                <w:color w:val="2D3741"/>
                <w:sz w:val="17"/>
              </w:rPr>
              <w:t>资金/持仓/行情/控制状态预检查</w:t>
            </w:r>
            <w:r>
              <w:rPr>
                <w:rFonts w:ascii="Noto Sans CJK SC" w:hAnsi="Noto Sans CJK SC" w:eastAsia="Noto Sans CJK SC"/>
              </w:rPr>
              <w:br/>
            </w:r>
            <w:r>
              <w:rPr>
                <w:rFonts w:ascii="Noto Sans Mono CJK SC" w:hAnsi="Noto Sans Mono CJK SC" w:eastAsia="Noto Sans Mono CJK SC"/>
                <w:color w:val="2D3741"/>
                <w:sz w:val="17"/>
              </w:rPr>
              <w:t xml:space="preserve">  ↓</w:t>
            </w:r>
            <w:r>
              <w:rPr>
                <w:rFonts w:ascii="Noto Sans CJK SC" w:hAnsi="Noto Sans CJK SC" w:eastAsia="Noto Sans CJK SC"/>
              </w:rPr>
              <w:br/>
            </w:r>
            <w:r>
              <w:rPr>
                <w:rFonts w:ascii="Noto Sans Mono CJK SC" w:hAnsi="Noto Sans Mono CJK SC" w:eastAsia="Noto Sans Mono CJK SC"/>
                <w:color w:val="2D3741"/>
                <w:sz w:val="17"/>
              </w:rPr>
              <w:t>Portfolio Allocator 计算目标金额</w:t>
            </w:r>
            <w:r>
              <w:rPr>
                <w:rFonts w:ascii="Noto Sans CJK SC" w:hAnsi="Noto Sans CJK SC" w:eastAsia="Noto Sans CJK SC"/>
              </w:rPr>
              <w:br/>
            </w:r>
            <w:r>
              <w:rPr>
                <w:rFonts w:ascii="Noto Sans Mono CJK SC" w:hAnsi="Noto Sans Mono CJK SC" w:eastAsia="Noto Sans Mono CJK SC"/>
                <w:color w:val="2D3741"/>
                <w:sz w:val="17"/>
              </w:rPr>
              <w:t xml:space="preserve">  ↓</w:t>
            </w:r>
            <w:r>
              <w:rPr>
                <w:rFonts w:ascii="Noto Sans CJK SC" w:hAnsi="Noto Sans CJK SC" w:eastAsia="Noto Sans CJK SC"/>
              </w:rPr>
              <w:br/>
            </w:r>
            <w:r>
              <w:rPr>
                <w:rFonts w:ascii="Noto Sans Mono CJK SC" w:hAnsi="Noto Sans Mono CJK SC" w:eastAsia="Noto Sans Mono CJK SC"/>
                <w:color w:val="2D3741"/>
                <w:sz w:val="17"/>
              </w:rPr>
              <w:t>Capacity Engine 计算可执行容量</w:t>
            </w:r>
            <w:r>
              <w:rPr>
                <w:rFonts w:ascii="Noto Sans CJK SC" w:hAnsi="Noto Sans CJK SC" w:eastAsia="Noto Sans CJK SC"/>
              </w:rPr>
              <w:br/>
            </w:r>
            <w:r>
              <w:rPr>
                <w:rFonts w:ascii="Noto Sans Mono CJK SC" w:hAnsi="Noto Sans Mono CJK SC" w:eastAsia="Noto Sans Mono CJK SC"/>
                <w:color w:val="2D3741"/>
                <w:sz w:val="17"/>
              </w:rPr>
              <w:t xml:space="preserve">  ↓</w:t>
            </w:r>
            <w:r>
              <w:rPr>
                <w:rFonts w:ascii="Noto Sans CJK SC" w:hAnsi="Noto Sans CJK SC" w:eastAsia="Noto Sans CJK SC"/>
              </w:rPr>
              <w:br/>
            </w:r>
            <w:r>
              <w:rPr>
                <w:rFonts w:ascii="Noto Sans Mono CJK SC" w:hAnsi="Noto Sans Mono CJK SC" w:eastAsia="Noto Sans Mono CJK SC"/>
                <w:color w:val="2D3741"/>
                <w:sz w:val="17"/>
              </w:rPr>
              <w:t>Risk Engine 限制</w:t>
            </w:r>
            <w:r>
              <w:rPr>
                <w:rFonts w:ascii="Noto Sans CJK SC" w:hAnsi="Noto Sans CJK SC" w:eastAsia="Noto Sans CJK SC"/>
              </w:rPr>
              <w:br/>
            </w:r>
            <w:r>
              <w:rPr>
                <w:rFonts w:ascii="Noto Sans Mono CJK SC" w:hAnsi="Noto Sans Mono CJK SC" w:eastAsia="Noto Sans Mono CJK SC"/>
                <w:color w:val="2D3741"/>
                <w:sz w:val="17"/>
              </w:rPr>
              <w:t xml:space="preserve">  ↓</w:t>
            </w:r>
            <w:r>
              <w:rPr>
                <w:rFonts w:ascii="Noto Sans CJK SC" w:hAnsi="Noto Sans CJK SC" w:eastAsia="Noto Sans CJK SC"/>
              </w:rPr>
              <w:br/>
            </w:r>
            <w:r>
              <w:rPr>
                <w:rFonts w:ascii="Noto Sans Mono CJK SC" w:hAnsi="Noto Sans Mono CJK SC" w:eastAsia="Noto Sans Mono CJK SC"/>
                <w:color w:val="2D3741"/>
                <w:sz w:val="17"/>
              </w:rPr>
              <w:t>Execution Engine 生成Child Orders</w:t>
            </w:r>
            <w:r>
              <w:rPr>
                <w:rFonts w:ascii="Noto Sans CJK SC" w:hAnsi="Noto Sans CJK SC" w:eastAsia="Noto Sans CJK SC"/>
              </w:rPr>
              <w:br/>
            </w:r>
            <w:r>
              <w:rPr>
                <w:rFonts w:ascii="Noto Sans Mono CJK SC" w:hAnsi="Noto Sans Mono CJK SC" w:eastAsia="Noto Sans Mono CJK SC"/>
                <w:color w:val="2D3741"/>
                <w:sz w:val="17"/>
              </w:rPr>
              <w:t xml:space="preserve">  ↓</w:t>
            </w:r>
            <w:r>
              <w:rPr>
                <w:rFonts w:ascii="Noto Sans CJK SC" w:hAnsi="Noto Sans CJK SC" w:eastAsia="Noto Sans CJK SC"/>
              </w:rPr>
              <w:br/>
            </w:r>
            <w:r>
              <w:rPr>
                <w:rFonts w:ascii="Noto Sans Mono CJK SC" w:hAnsi="Noto Sans Mono CJK SC" w:eastAsia="Noto Sans Mono CJK SC"/>
                <w:color w:val="2D3741"/>
                <w:sz w:val="17"/>
              </w:rPr>
              <w:t>Order Manager → QMT</w:t>
            </w:r>
            <w:r>
              <w:rPr>
                <w:rFonts w:ascii="Noto Sans CJK SC" w:hAnsi="Noto Sans CJK SC" w:eastAsia="Noto Sans CJK SC"/>
              </w:rPr>
              <w:br/>
            </w:r>
            <w:r>
              <w:rPr>
                <w:rFonts w:ascii="Noto Sans Mono CJK SC" w:hAnsi="Noto Sans Mono CJK SC" w:eastAsia="Noto Sans Mono CJK SC"/>
                <w:color w:val="2D3741"/>
                <w:sz w:val="17"/>
              </w:rPr>
              <w:t xml:space="preserve">  ↓</w:t>
            </w:r>
            <w:r>
              <w:rPr>
                <w:rFonts w:ascii="Noto Sans CJK SC" w:hAnsi="Noto Sans CJK SC" w:eastAsia="Noto Sans CJK SC"/>
              </w:rPr>
              <w:br/>
            </w:r>
            <w:r>
              <w:rPr>
                <w:rFonts w:ascii="Noto Sans Mono CJK SC" w:hAnsi="Noto Sans Mono CJK SC" w:eastAsia="Noto Sans Mono CJK SC"/>
                <w:color w:val="2D3741"/>
                <w:sz w:val="17"/>
              </w:rPr>
              <w:t>回调 / 部分成交 / 撤单重报</w:t>
            </w:r>
            <w:r>
              <w:rPr>
                <w:rFonts w:ascii="Noto Sans CJK SC" w:hAnsi="Noto Sans CJK SC" w:eastAsia="Noto Sans CJK SC"/>
              </w:rPr>
              <w:br/>
            </w:r>
            <w:r>
              <w:rPr>
                <w:rFonts w:ascii="Noto Sans Mono CJK SC" w:hAnsi="Noto Sans Mono CJK SC" w:eastAsia="Noto Sans Mono CJK SC"/>
                <w:color w:val="2D3741"/>
                <w:sz w:val="17"/>
              </w:rPr>
              <w:t xml:space="preserve">  ↓</w:t>
            </w:r>
            <w:r>
              <w:rPr>
                <w:rFonts w:ascii="Noto Sans CJK SC" w:hAnsi="Noto Sans CJK SC" w:eastAsia="Noto Sans CJK SC"/>
              </w:rPr>
              <w:br/>
            </w:r>
            <w:r>
              <w:rPr>
                <w:rFonts w:ascii="Noto Sans Mono CJK SC" w:hAnsi="Noto Sans Mono CJK SC" w:eastAsia="Noto Sans Mono CJK SC"/>
                <w:color w:val="2D3741"/>
                <w:sz w:val="17"/>
              </w:rPr>
              <w:t>完成 / 超时 / 达到滑点上限 / 放弃剩余</w:t>
            </w:r>
          </w:p>
        </w:tc>
      </w:tr>
    </w:tbl>
    <w:p>
      <w:pPr>
        <w:spacing w:after="20"/>
      </w:pPr>
    </w:p>
    <w:p>
      <w:pPr>
        <w:pStyle w:val="Heading2"/>
        <w:keepNext/>
      </w:pPr>
      <w:r>
        <w:rPr>
          <w:rFonts w:ascii="Noto Sans CJK SC" w:hAnsi="Noto Sans CJK SC" w:eastAsia="Noto Sans CJK SC"/>
          <w:b/>
          <w:color w:val="1F4E79"/>
          <w:sz w:val="26"/>
        </w:rPr>
        <w:t>9.2 目标仓位与单票金额</w:t>
      </w:r>
    </w:p>
    <w:p>
      <w:pPr>
        <w:spacing w:before="0" w:after="100" w:line="300" w:lineRule="auto"/>
      </w:pPr>
      <w:r>
        <w:rPr>
          <w:rFonts w:ascii="Noto Sans CJK SC" w:hAnsi="Noto Sans CJK SC" w:eastAsia="Noto Sans CJK SC"/>
        </w:rPr>
        <w:t>单票实际可执行金额不是“目标金额”直接下单，而是三者取最小值：策略目标金额、市场流动性容量、风险上限。</w:t>
      </w:r>
    </w:p>
    <w:tbl>
      <w:tblPr>
        <w:tblW w:type="auto" w:w="0"/>
        <w:jc w:val="center"/>
        <w:tblLook w:firstColumn="1" w:firstRow="1" w:lastColumn="0" w:lastRow="0" w:noHBand="0" w:noVBand="1" w:val="04A0"/>
      </w:tblPr>
      <w:tblGrid>
        <w:gridCol w:w="9972"/>
      </w:tblGrid>
      <w:tr>
        <w:trPr>
          <w:trHeight w:hRule="atLeast"/>
        </w:trPr>
        <w:tc>
          <w:tcPr>
            <w:tcW w:type="dxa" w:w="9972"/>
            <w:shd w:fill="F5F6F7"/>
            <w:tcMar>
              <w:top w:w="100" w:type="dxa"/>
              <w:start w:w="140" w:type="dxa"/>
              <w:bottom w:w="100" w:type="dxa"/>
              <w:end w:w="140" w:type="dxa"/>
            </w:tcMar>
          </w:tcPr>
          <w:p>
            <w:pPr>
              <w:spacing w:before="0" w:after="0" w:line="252" w:lineRule="auto"/>
            </w:pPr>
            <w:r>
              <w:rPr>
                <w:rFonts w:ascii="Noto Sans Mono CJK SC" w:hAnsi="Noto Sans Mono CJK SC" w:eastAsia="Noto Sans Mono CJK SC"/>
                <w:color w:val="2D3741"/>
                <w:sz w:val="17"/>
              </w:rPr>
              <w:t>Executable Amount = min(Target Amount, Liquidity Capacity, Risk Limit)</w:t>
            </w:r>
          </w:p>
        </w:tc>
      </w:tr>
    </w:tbl>
    <w:p>
      <w:pPr>
        <w:spacing w:after="20"/>
      </w:pPr>
    </w:p>
    <w:tbl>
      <w:tblPr>
        <w:tblStyle w:val="TableGrid"/>
        <w:tblW w:type="auto" w:w="0"/>
        <w:jc w:val="center"/>
        <w:tblLayout w:type="fixed"/>
        <w:tblLook w:firstColumn="1" w:firstRow="1" w:lastColumn="0" w:lastRow="0" w:noHBand="0" w:noVBand="1" w:val="04A0"/>
      </w:tblPr>
      <w:tblGrid>
        <w:gridCol w:w="4986"/>
        <w:gridCol w:w="4986"/>
      </w:tblGrid>
      <w:tr>
        <w:trPr>
          <w:trHeight w:hRule="atLeast"/>
          <w:tblHeader w:val="true"/>
          <w:cantSplit/>
        </w:trPr>
        <w:tc>
          <w:tcPr>
            <w:tcW w:type="dxa" w:w="2268"/>
            <w:shd w:fill="1F4E78"/>
            <w:tcMar>
              <w:top w:w="90" w:type="dxa"/>
              <w:start w:w="90" w:type="dxa"/>
              <w:bottom w:w="90" w:type="dxa"/>
              <w:end w:w="90" w:type="dxa"/>
            </w:tcMar>
            <w:vAlign w:val="center"/>
          </w:tcPr>
          <w:p>
            <w:pPr>
              <w:spacing w:before="0" w:after="0" w:line="240" w:lineRule="auto"/>
              <w:jc w:val="center"/>
            </w:pPr>
            <w:r>
              <w:rPr>
                <w:rFonts w:ascii="Noto Sans CJK SC" w:hAnsi="Noto Sans CJK SC" w:eastAsia="Noto Sans CJK SC"/>
                <w:b/>
                <w:color w:val="FFFFFF"/>
                <w:sz w:val="18"/>
              </w:rPr>
              <w:t>维度</w:t>
            </w:r>
          </w:p>
        </w:tc>
        <w:tc>
          <w:tcPr>
            <w:tcW w:type="dxa" w:w="6633"/>
            <w:shd w:fill="1F4E78"/>
            <w:tcMar>
              <w:top w:w="90" w:type="dxa"/>
              <w:start w:w="90" w:type="dxa"/>
              <w:bottom w:w="90" w:type="dxa"/>
              <w:end w:w="90" w:type="dxa"/>
            </w:tcMar>
            <w:vAlign w:val="center"/>
          </w:tcPr>
          <w:p>
            <w:pPr>
              <w:spacing w:before="0" w:after="0" w:line="240" w:lineRule="auto"/>
              <w:jc w:val="center"/>
            </w:pPr>
            <w:r>
              <w:rPr>
                <w:rFonts w:ascii="Noto Sans CJK SC" w:hAnsi="Noto Sans CJK SC" w:eastAsia="Noto Sans CJK SC"/>
                <w:b/>
                <w:color w:val="FFFFFF"/>
                <w:sz w:val="18"/>
              </w:rPr>
              <w:t>V1处理</w:t>
            </w:r>
          </w:p>
        </w:tc>
      </w:tr>
      <w:tr>
        <w:trPr>
          <w:cantSplit/>
          <w:trHeight w:hRule="atLeast"/>
        </w:trPr>
        <w:tc>
          <w:tcPr>
            <w:tcW w:type="dxa" w:w="2268"/>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总目标仓位</w:t>
            </w:r>
          </w:p>
        </w:tc>
        <w:tc>
          <w:tcPr>
            <w:tcW w:type="dxa" w:w="6633"/>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后台TradePlan配置，如50% / 60% / 70%</w:t>
            </w:r>
          </w:p>
        </w:tc>
      </w:tr>
      <w:tr>
        <w:trPr>
          <w:cantSplit/>
          <w:trHeight w:hRule="atLeast"/>
        </w:trPr>
        <w:tc>
          <w:tcPr>
            <w:tcW w:type="dxa" w:w="2268"/>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最大股票数</w:t>
            </w:r>
          </w:p>
        </w:tc>
        <w:tc>
          <w:tcPr>
            <w:tcW w:type="dxa" w:w="6633"/>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后台策略值 + Windows硬上限15只</w:t>
            </w:r>
          </w:p>
        </w:tc>
      </w:tr>
      <w:tr>
        <w:trPr>
          <w:cantSplit/>
          <w:trHeight w:hRule="atLeast"/>
        </w:trPr>
        <w:tc>
          <w:tcPr>
            <w:tcW w:type="dxa" w:w="2268"/>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单票目标权重</w:t>
            </w:r>
          </w:p>
        </w:tc>
        <w:tc>
          <w:tcPr>
            <w:tcW w:type="dxa" w:w="6633"/>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后台Portfolio配置</w:t>
            </w:r>
          </w:p>
        </w:tc>
      </w:tr>
      <w:tr>
        <w:trPr>
          <w:cantSplit/>
          <w:trHeight w:hRule="atLeast"/>
        </w:trPr>
        <w:tc>
          <w:tcPr>
            <w:tcW w:type="dxa" w:w="2268"/>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单票绝对上限</w:t>
            </w:r>
          </w:p>
        </w:tc>
        <w:tc>
          <w:tcPr>
            <w:tcW w:type="dxa" w:w="6633"/>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Windows Hard Safety，例如不得超过总资产某一固定百分比</w:t>
            </w:r>
          </w:p>
        </w:tc>
      </w:tr>
      <w:tr>
        <w:trPr>
          <w:cantSplit/>
          <w:trHeight w:hRule="atLeast"/>
        </w:trPr>
        <w:tc>
          <w:tcPr>
            <w:tcW w:type="dxa" w:w="2268"/>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现金安全垫</w:t>
            </w:r>
          </w:p>
        </w:tc>
        <w:tc>
          <w:tcPr>
            <w:tcW w:type="dxa" w:w="6633"/>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后台配置，Windows校验</w:t>
            </w:r>
          </w:p>
        </w:tc>
      </w:tr>
      <w:tr>
        <w:trPr>
          <w:cantSplit/>
          <w:trHeight w:hRule="atLeast"/>
        </w:trPr>
        <w:tc>
          <w:tcPr>
            <w:tcW w:type="dxa" w:w="2268"/>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流动性参与率</w:t>
            </w:r>
          </w:p>
        </w:tc>
        <w:tc>
          <w:tcPr>
            <w:tcW w:type="dxa" w:w="6633"/>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Entry/Execution Policy版本化</w:t>
            </w:r>
          </w:p>
        </w:tc>
      </w:tr>
    </w:tbl>
    <w:p>
      <w:pPr>
        <w:spacing w:after="40"/>
      </w:pPr>
    </w:p>
    <w:p>
      <w:pPr>
        <w:pStyle w:val="Heading2"/>
        <w:keepNext/>
      </w:pPr>
      <w:r>
        <w:rPr>
          <w:rFonts w:ascii="Noto Sans CJK SC" w:hAnsi="Noto Sans CJK SC" w:eastAsia="Noto Sans CJK SC"/>
          <w:b/>
          <w:color w:val="1F4E79"/>
          <w:sz w:val="26"/>
        </w:rPr>
        <w:t>9.3 尾盘V1执行窗口（可配置默认值）</w:t>
      </w:r>
    </w:p>
    <w:tbl>
      <w:tblPr>
        <w:tblStyle w:val="TableGrid"/>
        <w:tblW w:type="auto" w:w="0"/>
        <w:jc w:val="center"/>
        <w:tblLayout w:type="fixed"/>
        <w:tblLook w:firstColumn="1" w:firstRow="1" w:lastColumn="0" w:lastRow="0" w:noHBand="0" w:noVBand="1" w:val="04A0"/>
      </w:tblPr>
      <w:tblGrid>
        <w:gridCol w:w="3324"/>
        <w:gridCol w:w="3324"/>
        <w:gridCol w:w="3324"/>
      </w:tblGrid>
      <w:tr>
        <w:trPr>
          <w:trHeight w:hRule="atLeast"/>
          <w:tblHeader w:val="true"/>
          <w:cantSplit/>
        </w:trPr>
        <w:tc>
          <w:tcPr>
            <w:tcW w:type="dxa" w:w="1814"/>
            <w:shd w:fill="1F4E78"/>
            <w:tcMar>
              <w:top w:w="90" w:type="dxa"/>
              <w:start w:w="90" w:type="dxa"/>
              <w:bottom w:w="90" w:type="dxa"/>
              <w:end w:w="90" w:type="dxa"/>
            </w:tcMar>
            <w:vAlign w:val="center"/>
          </w:tcPr>
          <w:p>
            <w:pPr>
              <w:spacing w:before="0" w:after="0" w:line="240" w:lineRule="auto"/>
              <w:jc w:val="center"/>
            </w:pPr>
            <w:r>
              <w:rPr>
                <w:rFonts w:ascii="Noto Sans CJK SC" w:hAnsi="Noto Sans CJK SC" w:eastAsia="Noto Sans CJK SC"/>
                <w:b/>
                <w:color w:val="FFFFFF"/>
                <w:sz w:val="18"/>
              </w:rPr>
              <w:t>阶段</w:t>
            </w:r>
          </w:p>
        </w:tc>
        <w:tc>
          <w:tcPr>
            <w:tcW w:type="dxa" w:w="2551"/>
            <w:shd w:fill="1F4E78"/>
            <w:tcMar>
              <w:top w:w="90" w:type="dxa"/>
              <w:start w:w="90" w:type="dxa"/>
              <w:bottom w:w="90" w:type="dxa"/>
              <w:end w:w="90" w:type="dxa"/>
            </w:tcMar>
            <w:vAlign w:val="center"/>
          </w:tcPr>
          <w:p>
            <w:pPr>
              <w:spacing w:before="0" w:after="0" w:line="240" w:lineRule="auto"/>
              <w:jc w:val="center"/>
            </w:pPr>
            <w:r>
              <w:rPr>
                <w:rFonts w:ascii="Noto Sans CJK SC" w:hAnsi="Noto Sans CJK SC" w:eastAsia="Noto Sans CJK SC"/>
                <w:b/>
                <w:color w:val="FFFFFF"/>
                <w:sz w:val="18"/>
              </w:rPr>
              <w:t>默认窗口</w:t>
            </w:r>
          </w:p>
        </w:tc>
        <w:tc>
          <w:tcPr>
            <w:tcW w:type="dxa" w:w="4535"/>
            <w:shd w:fill="1F4E78"/>
            <w:tcMar>
              <w:top w:w="90" w:type="dxa"/>
              <w:start w:w="90" w:type="dxa"/>
              <w:bottom w:w="90" w:type="dxa"/>
              <w:end w:w="90" w:type="dxa"/>
            </w:tcMar>
            <w:vAlign w:val="center"/>
          </w:tcPr>
          <w:p>
            <w:pPr>
              <w:spacing w:before="0" w:after="0" w:line="240" w:lineRule="auto"/>
              <w:jc w:val="center"/>
            </w:pPr>
            <w:r>
              <w:rPr>
                <w:rFonts w:ascii="Noto Sans CJK SC" w:hAnsi="Noto Sans CJK SC" w:eastAsia="Noto Sans CJK SC"/>
                <w:b/>
                <w:color w:val="FFFFFF"/>
                <w:sz w:val="18"/>
              </w:rPr>
              <w:t>执行倾向</w:t>
            </w:r>
          </w:p>
        </w:tc>
      </w:tr>
      <w:tr>
        <w:trPr>
          <w:cantSplit/>
          <w:trHeight w:hRule="atLeast"/>
        </w:trPr>
        <w:tc>
          <w:tcPr>
            <w:tcW w:type="dxa" w:w="1814"/>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信号冻结</w:t>
            </w:r>
          </w:p>
        </w:tc>
        <w:tc>
          <w:tcPr>
            <w:tcW w:type="dxa" w:w="2551"/>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14:34:30-14:34:50</w:t>
            </w:r>
          </w:p>
        </w:tc>
        <w:tc>
          <w:tcPr>
            <w:tcW w:type="dxa" w:w="4535"/>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只接受READY计划，完成账户/行情预检查</w:t>
            </w:r>
          </w:p>
        </w:tc>
      </w:tr>
      <w:tr>
        <w:trPr>
          <w:cantSplit/>
          <w:trHeight w:hRule="atLeast"/>
        </w:trPr>
        <w:tc>
          <w:tcPr>
            <w:tcW w:type="dxa" w:w="1814"/>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正常执行</w:t>
            </w:r>
          </w:p>
        </w:tc>
        <w:tc>
          <w:tcPr>
            <w:tcW w:type="dxa" w:w="2551"/>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14:35:00-14:52:00</w:t>
            </w:r>
          </w:p>
        </w:tc>
        <w:tc>
          <w:tcPr>
            <w:tcW w:type="dxa" w:w="4535"/>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价格与滑点优先，分批委托</w:t>
            </w:r>
          </w:p>
        </w:tc>
      </w:tr>
      <w:tr>
        <w:trPr>
          <w:cantSplit/>
          <w:trHeight w:hRule="atLeast"/>
        </w:trPr>
        <w:tc>
          <w:tcPr>
            <w:tcW w:type="dxa" w:w="1814"/>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加速完成</w:t>
            </w:r>
          </w:p>
        </w:tc>
        <w:tc>
          <w:tcPr>
            <w:tcW w:type="dxa" w:w="2551"/>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14:52:00-14:55:30</w:t>
            </w:r>
          </w:p>
        </w:tc>
        <w:tc>
          <w:tcPr>
            <w:tcW w:type="dxa" w:w="4535"/>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提高成交优先级但不突破最大追价</w:t>
            </w:r>
          </w:p>
        </w:tc>
      </w:tr>
      <w:tr>
        <w:trPr>
          <w:cantSplit/>
          <w:trHeight w:hRule="atLeast"/>
        </w:trPr>
        <w:tc>
          <w:tcPr>
            <w:tcW w:type="dxa" w:w="1814"/>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收尾</w:t>
            </w:r>
          </w:p>
        </w:tc>
        <w:tc>
          <w:tcPr>
            <w:tcW w:type="dxa" w:w="2551"/>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14:55:30-14:56:30</w:t>
            </w:r>
          </w:p>
        </w:tc>
        <w:tc>
          <w:tcPr>
            <w:tcW w:type="dxa" w:w="4535"/>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处理剩余目标；不追求100%完成</w:t>
            </w:r>
          </w:p>
        </w:tc>
      </w:tr>
      <w:tr>
        <w:trPr>
          <w:cantSplit/>
          <w:trHeight w:hRule="atLeast"/>
        </w:trPr>
        <w:tc>
          <w:tcPr>
            <w:tcW w:type="dxa" w:w="1814"/>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停止新增</w:t>
            </w:r>
          </w:p>
        </w:tc>
        <w:tc>
          <w:tcPr>
            <w:tcW w:type="dxa" w:w="2551"/>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约14:56:30后</w:t>
            </w:r>
          </w:p>
        </w:tc>
        <w:tc>
          <w:tcPr>
            <w:tcW w:type="dxa" w:w="4535"/>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撤销或管理未成交订单；V1不把收盘集合竞价作为常规补单</w:t>
            </w:r>
          </w:p>
        </w:tc>
      </w:tr>
    </w:tbl>
    <w:p>
      <w:pPr>
        <w:spacing w:after="40"/>
      </w:pPr>
    </w:p>
    <w:tbl>
      <w:tblPr>
        <w:tblW w:type="auto" w:w="0"/>
        <w:jc w:val="center"/>
        <w:tblLayout w:type="autofit"/>
        <w:tblLook w:firstColumn="1" w:firstRow="1" w:lastColumn="0" w:lastRow="0" w:noHBand="0" w:noVBand="1" w:val="04A0"/>
      </w:tblPr>
      <w:tblGrid>
        <w:gridCol w:w="9972"/>
      </w:tblGrid>
      <w:tr>
        <w:trPr>
          <w:trHeight w:hRule="atLeast"/>
        </w:trPr>
        <w:tc>
          <w:tcPr>
            <w:tcW w:type="dxa" w:w="9972"/>
            <w:shd w:fill="FFF2CC"/>
            <w:tcMar>
              <w:top w:w="140" w:type="dxa"/>
              <w:start w:w="180" w:type="dxa"/>
              <w:bottom w:w="140" w:type="dxa"/>
              <w:end w:w="180" w:type="dxa"/>
            </w:tcMar>
          </w:tcPr>
          <w:p>
            <w:pPr>
              <w:spacing w:before="0" w:after="60" w:line="300" w:lineRule="auto"/>
            </w:pPr>
            <w:r>
              <w:rPr>
                <w:rFonts w:ascii="Noto Sans CJK SC" w:hAnsi="Noto Sans CJK SC" w:eastAsia="Noto Sans CJK SC"/>
                <w:b/>
                <w:color w:val="194367"/>
                <w:sz w:val="21"/>
              </w:rPr>
              <w:t>执行纪律</w:t>
            </w:r>
          </w:p>
          <w:p>
            <w:pPr>
              <w:spacing w:before="0" w:after="0" w:line="300" w:lineRule="auto"/>
            </w:pPr>
            <w:r>
              <w:rPr>
                <w:rFonts w:ascii="Noto Sans CJK SC" w:hAnsi="Noto Sans CJK SC" w:eastAsia="Noto Sans CJK SC"/>
                <w:sz w:val="20"/>
              </w:rPr>
              <w:t>完成仓位不是最高目标。若价格已经突破最大追价/滑点或流动性不足，应允许“目标60%，实际完成55%”，而不是为了买满强行追价。</w:t>
            </w:r>
          </w:p>
        </w:tc>
      </w:tr>
    </w:tbl>
    <w:p>
      <w:pPr>
        <w:spacing w:after="20"/>
      </w:pPr>
    </w:p>
    <w:p>
      <w:pPr>
        <w:pStyle w:val="Heading2"/>
        <w:keepNext/>
      </w:pPr>
      <w:r>
        <w:rPr>
          <w:rFonts w:ascii="Noto Sans CJK SC" w:hAnsi="Noto Sans CJK SC" w:eastAsia="Noto Sans CJK SC"/>
          <w:b/>
          <w:color w:val="1F4E79"/>
          <w:sz w:val="26"/>
        </w:rPr>
        <w:t>9.4 拆单与价格引擎</w:t>
      </w:r>
    </w:p>
    <w:p>
      <w:pPr>
        <w:pStyle w:val="ListBullet"/>
        <w:spacing w:before="0" w:after="40" w:line="300" w:lineRule="auto"/>
      </w:pPr>
      <w:r>
        <w:rPr>
          <w:rFonts w:ascii="Noto Sans CJK SC" w:hAnsi="Noto Sans CJK SC" w:eastAsia="Noto Sans CJK SC"/>
          <w:sz w:val="21"/>
        </w:rPr>
        <w:t>使用有价格保护的限价执行；报价策略由Execution Policy决定，可基于卖一/卖二或相对Arrival Price。</w:t>
      </w:r>
    </w:p>
    <w:p>
      <w:pPr>
        <w:pStyle w:val="ListBullet"/>
        <w:spacing w:before="0" w:after="40" w:line="300" w:lineRule="auto"/>
      </w:pPr>
      <w:r>
        <w:rPr>
          <w:rFonts w:ascii="Noto Sans CJK SC" w:hAnsi="Noto Sans CJK SC" w:eastAsia="Noto Sans CJK SC"/>
          <w:sz w:val="21"/>
        </w:rPr>
        <w:t>Child Order大小受单笔金额、最近1分钟/5分钟成交、盘口、最大市场参与率和剩余时间共同限制。</w:t>
      </w:r>
    </w:p>
    <w:p>
      <w:pPr>
        <w:pStyle w:val="ListBullet"/>
        <w:spacing w:before="0" w:after="40" w:line="300" w:lineRule="auto"/>
      </w:pPr>
      <w:r>
        <w:rPr>
          <w:rFonts w:ascii="Noto Sans CJK SC" w:hAnsi="Noto Sans CJK SC" w:eastAsia="Noto Sans CJK SC"/>
          <w:sz w:val="21"/>
        </w:rPr>
        <w:t>订单超时后先读取最新盘口再决定撤单重报；禁止固定频率无脑撤单。</w:t>
      </w:r>
    </w:p>
    <w:p>
      <w:pPr>
        <w:pStyle w:val="ListBullet"/>
        <w:spacing w:before="0" w:after="40" w:line="300" w:lineRule="auto"/>
      </w:pPr>
      <w:r>
        <w:rPr>
          <w:rFonts w:ascii="Noto Sans CJK SC" w:hAnsi="Noto Sans CJK SC" w:eastAsia="Noto Sans CJK SC"/>
          <w:sz w:val="21"/>
        </w:rPr>
        <w:t>每只股票同方向原则上最多一个活动订单，避免多个Child Order互相抢状态。</w:t>
      </w:r>
    </w:p>
    <w:p>
      <w:pPr>
        <w:pStyle w:val="Heading1"/>
        <w:keepNext/>
        <w:pageBreakBefore w:val="0"/>
      </w:pPr>
      <w:r>
        <w:rPr>
          <w:rFonts w:ascii="Noto Sans CJK SC" w:hAnsi="Noto Sans CJK SC" w:eastAsia="Noto Sans CJK SC"/>
          <w:b/>
          <w:color w:val="143A5F"/>
          <w:sz w:val="32"/>
        </w:rPr>
        <w:t>10. T+1 自动卖出体系</w:t>
      </w:r>
    </w:p>
    <w:p>
      <w:pPr>
        <w:pStyle w:val="Heading2"/>
        <w:keepNext/>
      </w:pPr>
      <w:r>
        <w:rPr>
          <w:rFonts w:ascii="Noto Sans CJK SC" w:hAnsi="Noto Sans CJK SC" w:eastAsia="Noto Sans CJK SC"/>
          <w:b/>
          <w:color w:val="1F4E79"/>
          <w:sz w:val="26"/>
        </w:rPr>
        <w:t>10.1 Exit Policy架构</w:t>
      </w:r>
    </w:p>
    <w:p>
      <w:pPr>
        <w:spacing w:before="0" w:after="100" w:line="300" w:lineRule="auto"/>
      </w:pPr>
      <w:r>
        <w:rPr>
          <w:rFonts w:ascii="Noto Sans CJK SC" w:hAnsi="Noto Sans CJK SC" w:eastAsia="Noto Sans CJK SC"/>
        </w:rPr>
        <w:t>卖出规则不是写死在Trading Runtime中的if/else，而是独立版本化Exit Policy。Windows加载T1_EXIT_V1/V2/V3并运行，后台保存规则、版本和回测结果。</w:t>
      </w:r>
    </w:p>
    <w:tbl>
      <w:tblPr>
        <w:tblStyle w:val="TableGrid"/>
        <w:tblW w:type="auto" w:w="0"/>
        <w:jc w:val="center"/>
        <w:tblLayout w:type="fixed"/>
        <w:tblLook w:firstColumn="1" w:firstRow="1" w:lastColumn="0" w:lastRow="0" w:noHBand="0" w:noVBand="1" w:val="04A0"/>
      </w:tblPr>
      <w:tblGrid>
        <w:gridCol w:w="4986"/>
        <w:gridCol w:w="4986"/>
      </w:tblGrid>
      <w:tr>
        <w:trPr>
          <w:trHeight w:hRule="atLeast"/>
          <w:tblHeader w:val="true"/>
          <w:cantSplit/>
        </w:trPr>
        <w:tc>
          <w:tcPr>
            <w:tcW w:type="dxa" w:w="3288"/>
            <w:shd w:fill="1F4E78"/>
            <w:tcMar>
              <w:top w:w="90" w:type="dxa"/>
              <w:start w:w="90" w:type="dxa"/>
              <w:bottom w:w="90" w:type="dxa"/>
              <w:end w:w="90" w:type="dxa"/>
            </w:tcMar>
            <w:vAlign w:val="center"/>
          </w:tcPr>
          <w:p>
            <w:pPr>
              <w:spacing w:before="0" w:after="0" w:line="240" w:lineRule="auto"/>
              <w:jc w:val="center"/>
            </w:pPr>
            <w:r>
              <w:rPr>
                <w:rFonts w:ascii="Noto Sans CJK SC" w:hAnsi="Noto Sans CJK SC" w:eastAsia="Noto Sans CJK SC"/>
                <w:b/>
                <w:color w:val="FFFFFF"/>
                <w:sz w:val="18"/>
              </w:rPr>
              <w:t>当前V1基线规则</w:t>
            </w:r>
          </w:p>
        </w:tc>
        <w:tc>
          <w:tcPr>
            <w:tcW w:type="dxa" w:w="5613"/>
            <w:shd w:fill="1F4E78"/>
            <w:tcMar>
              <w:top w:w="90" w:type="dxa"/>
              <w:start w:w="90" w:type="dxa"/>
              <w:bottom w:w="90" w:type="dxa"/>
              <w:end w:w="90" w:type="dxa"/>
            </w:tcMar>
            <w:vAlign w:val="center"/>
          </w:tcPr>
          <w:p>
            <w:pPr>
              <w:spacing w:before="0" w:after="0" w:line="240" w:lineRule="auto"/>
              <w:jc w:val="center"/>
            </w:pPr>
            <w:r>
              <w:rPr>
                <w:rFonts w:ascii="Noto Sans CJK SC" w:hAnsi="Noto Sans CJK SC" w:eastAsia="Noto Sans CJK SC"/>
                <w:b/>
                <w:color w:val="FFFFFF"/>
                <w:sz w:val="18"/>
              </w:rPr>
              <w:t>建议系统表达</w:t>
            </w:r>
          </w:p>
        </w:tc>
      </w:tr>
      <w:tr>
        <w:trPr>
          <w:cantSplit/>
          <w:trHeight w:hRule="atLeast"/>
        </w:trPr>
        <w:tc>
          <w:tcPr>
            <w:tcW w:type="dxa" w:w="3288"/>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高开3%以上卖一半</w:t>
            </w:r>
          </w:p>
        </w:tc>
        <w:tc>
          <w:tcPr>
            <w:tcW w:type="dxa" w:w="5613"/>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OpenProfitRule：threshold=3%，sell_ratio=50%；只触发一次</w:t>
            </w:r>
          </w:p>
        </w:tc>
      </w:tr>
      <w:tr>
        <w:trPr>
          <w:cantSplit/>
          <w:trHeight w:hRule="atLeast"/>
        </w:trPr>
        <w:tc>
          <w:tcPr>
            <w:tcW w:type="dxa" w:w="3288"/>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涨幅达到3.5%后关注拐头</w:t>
            </w:r>
          </w:p>
        </w:tc>
        <w:tc>
          <w:tcPr>
            <w:tcW w:type="dxa" w:w="5613"/>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ProfitProtectionRule：arm_gain=3.5%，进入PROFIT_ARMED</w:t>
            </w:r>
          </w:p>
        </w:tc>
      </w:tr>
      <w:tr>
        <w:trPr>
          <w:cantSplit/>
          <w:trHeight w:hRule="atLeast"/>
        </w:trPr>
        <w:tc>
          <w:tcPr>
            <w:tcW w:type="dxa" w:w="3288"/>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拐头卖出</w:t>
            </w:r>
          </w:p>
        </w:tc>
        <w:tc>
          <w:tcPr>
            <w:tcW w:type="dxa" w:w="5613"/>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PeakDrawdownRule：峰值回撤 + 可选VWAP/成交压力确认；阈值版本化</w:t>
            </w:r>
          </w:p>
        </w:tc>
      </w:tr>
      <w:tr>
        <w:trPr>
          <w:cantSplit/>
          <w:trHeight w:hRule="atLeast"/>
        </w:trPr>
        <w:tc>
          <w:tcPr>
            <w:tcW w:type="dxa" w:w="3288"/>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涨幅达到7%全部卖</w:t>
            </w:r>
          </w:p>
        </w:tc>
        <w:tc>
          <w:tcPr>
            <w:tcW w:type="dxa" w:w="5613"/>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TakeProfitRule：gain&gt;=7%，卖出剩余全部可卖数量</w:t>
            </w:r>
          </w:p>
        </w:tc>
      </w:tr>
      <w:tr>
        <w:trPr>
          <w:cantSplit/>
          <w:trHeight w:hRule="atLeast"/>
        </w:trPr>
        <w:tc>
          <w:tcPr>
            <w:tcW w:type="dxa" w:w="3288"/>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10:30涨幅不足3.5%卖</w:t>
            </w:r>
          </w:p>
        </w:tc>
        <w:tc>
          <w:tcPr>
            <w:tcW w:type="dxa" w:w="5613"/>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TimedWeaknessRule：支持STRICT与CONFIRM两种模式</w:t>
            </w:r>
          </w:p>
        </w:tc>
      </w:tr>
      <w:tr>
        <w:trPr>
          <w:cantSplit/>
          <w:trHeight w:hRule="atLeast"/>
        </w:trPr>
        <w:tc>
          <w:tcPr>
            <w:tcW w:type="dxa" w:w="3288"/>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11:00亏损2%以下卖</w:t>
            </w:r>
          </w:p>
        </w:tc>
        <w:tc>
          <w:tcPr>
            <w:tcW w:type="dxa" w:w="5613"/>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TimedLossRule：可叠加VWAP、反弹失败等确认条件</w:t>
            </w:r>
          </w:p>
        </w:tc>
      </w:tr>
      <w:tr>
        <w:trPr>
          <w:cantSplit/>
          <w:trHeight w:hRule="atLeast"/>
        </w:trPr>
        <w:tc>
          <w:tcPr>
            <w:tcW w:type="dxa" w:w="3288"/>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次日必须卖完</w:t>
            </w:r>
          </w:p>
        </w:tc>
        <w:tc>
          <w:tcPr>
            <w:tcW w:type="dxa" w:w="5613"/>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FinalExitRule：下午启动最终退出，但跌停/停牌等不可保证成交</w:t>
            </w:r>
          </w:p>
        </w:tc>
      </w:tr>
    </w:tbl>
    <w:p>
      <w:pPr>
        <w:spacing w:after="40"/>
      </w:pPr>
    </w:p>
    <w:p>
      <w:pPr>
        <w:pStyle w:val="Heading2"/>
        <w:keepNext/>
      </w:pPr>
      <w:r>
        <w:rPr>
          <w:rFonts w:ascii="Noto Sans CJK SC" w:hAnsi="Noto Sans CJK SC" w:eastAsia="Noto Sans CJK SC"/>
          <w:b/>
          <w:color w:val="1F4E79"/>
          <w:sz w:val="26"/>
        </w:rPr>
        <w:t>10.2 卖出状态机</w:t>
      </w:r>
    </w:p>
    <w:tbl>
      <w:tblPr>
        <w:tblW w:type="auto" w:w="0"/>
        <w:jc w:val="center"/>
        <w:tblLook w:firstColumn="1" w:firstRow="1" w:lastColumn="0" w:lastRow="0" w:noHBand="0" w:noVBand="1" w:val="04A0"/>
      </w:tblPr>
      <w:tblGrid>
        <w:gridCol w:w="9972"/>
      </w:tblGrid>
      <w:tr>
        <w:trPr>
          <w:trHeight w:hRule="atLeast"/>
        </w:trPr>
        <w:tc>
          <w:tcPr>
            <w:tcW w:type="dxa" w:w="9972"/>
            <w:shd w:fill="F5F6F7"/>
            <w:tcMar>
              <w:top w:w="100" w:type="dxa"/>
              <w:start w:w="140" w:type="dxa"/>
              <w:bottom w:w="100" w:type="dxa"/>
              <w:end w:w="140" w:type="dxa"/>
            </w:tcMar>
          </w:tcPr>
          <w:p>
            <w:pPr>
              <w:spacing w:before="0" w:after="0" w:line="252" w:lineRule="auto"/>
            </w:pPr>
            <w:r>
              <w:rPr>
                <w:rFonts w:ascii="Noto Sans Mono CJK SC" w:hAnsi="Noto Sans Mono CJK SC" w:eastAsia="Noto Sans Mono CJK SC"/>
                <w:color w:val="2D3741"/>
                <w:sz w:val="17"/>
              </w:rPr>
              <w:t>WAIT_OPEN</w:t>
            </w:r>
            <w:r>
              <w:rPr>
                <w:rFonts w:ascii="Noto Sans CJK SC" w:hAnsi="Noto Sans CJK SC" w:eastAsia="Noto Sans CJK SC"/>
              </w:rPr>
              <w:br/>
            </w:r>
            <w:r>
              <w:rPr>
                <w:rFonts w:ascii="Noto Sans Mono CJK SC" w:hAnsi="Noto Sans Mono CJK SC" w:eastAsia="Noto Sans Mono CJK SC"/>
                <w:color w:val="2D3741"/>
                <w:sz w:val="17"/>
              </w:rPr>
              <w:t xml:space="preserve">  ↓</w:t>
            </w:r>
            <w:r>
              <w:rPr>
                <w:rFonts w:ascii="Noto Sans CJK SC" w:hAnsi="Noto Sans CJK SC" w:eastAsia="Noto Sans CJK SC"/>
              </w:rPr>
              <w:br/>
            </w:r>
            <w:r>
              <w:rPr>
                <w:rFonts w:ascii="Noto Sans Mono CJK SC" w:hAnsi="Noto Sans Mono CJK SC" w:eastAsia="Noto Sans Mono CJK SC"/>
                <w:color w:val="2D3741"/>
                <w:sz w:val="17"/>
              </w:rPr>
              <w:t>FULL_POSITION</w:t>
            </w:r>
            <w:r>
              <w:rPr>
                <w:rFonts w:ascii="Noto Sans CJK SC" w:hAnsi="Noto Sans CJK SC" w:eastAsia="Noto Sans CJK SC"/>
              </w:rPr>
              <w:br/>
            </w:r>
            <w:r>
              <w:rPr>
                <w:rFonts w:ascii="Noto Sans Mono CJK SC" w:hAnsi="Noto Sans Mono CJK SC" w:eastAsia="Noto Sans Mono CJK SC"/>
                <w:color w:val="2D3741"/>
                <w:sz w:val="17"/>
              </w:rPr>
              <w:t xml:space="preserve">  ├─ 高开规则 → HALF_SELL_PENDING → HALF_POSITION</w:t>
            </w:r>
            <w:r>
              <w:rPr>
                <w:rFonts w:ascii="Noto Sans CJK SC" w:hAnsi="Noto Sans CJK SC" w:eastAsia="Noto Sans CJK SC"/>
              </w:rPr>
              <w:br/>
            </w:r>
            <w:r>
              <w:rPr>
                <w:rFonts w:ascii="Noto Sans Mono CJK SC" w:hAnsi="Noto Sans Mono CJK SC" w:eastAsia="Noto Sans Mono CJK SC"/>
                <w:color w:val="2D3741"/>
                <w:sz w:val="17"/>
              </w:rPr>
              <w:t xml:space="preserve">  ├─ peak_gain &gt;= arm_gain → PROFIT_ARMED</w:t>
            </w:r>
            <w:r>
              <w:rPr>
                <w:rFonts w:ascii="Noto Sans CJK SC" w:hAnsi="Noto Sans CJK SC" w:eastAsia="Noto Sans CJK SC"/>
              </w:rPr>
              <w:br/>
            </w:r>
            <w:r>
              <w:rPr>
                <w:rFonts w:ascii="Noto Sans Mono CJK SC" w:hAnsi="Noto Sans Mono CJK SC" w:eastAsia="Noto Sans Mono CJK SC"/>
                <w:color w:val="2D3741"/>
                <w:sz w:val="17"/>
              </w:rPr>
              <w:t xml:space="preserve">  ├─ 回撤/确认触发 → FULL_SELL_PENDING</w:t>
            </w:r>
            <w:r>
              <w:rPr>
                <w:rFonts w:ascii="Noto Sans CJK SC" w:hAnsi="Noto Sans CJK SC" w:eastAsia="Noto Sans CJK SC"/>
              </w:rPr>
              <w:br/>
            </w:r>
            <w:r>
              <w:rPr>
                <w:rFonts w:ascii="Noto Sans Mono CJK SC" w:hAnsi="Noto Sans Mono CJK SC" w:eastAsia="Noto Sans Mono CJK SC"/>
                <w:color w:val="2D3741"/>
                <w:sz w:val="17"/>
              </w:rPr>
              <w:t xml:space="preserve">  ├─ 7%止盈 → FULL_SELL_PENDING</w:t>
            </w:r>
            <w:r>
              <w:rPr>
                <w:rFonts w:ascii="Noto Sans CJK SC" w:hAnsi="Noto Sans CJK SC" w:eastAsia="Noto Sans CJK SC"/>
              </w:rPr>
              <w:br/>
            </w:r>
            <w:r>
              <w:rPr>
                <w:rFonts w:ascii="Noto Sans Mono CJK SC" w:hAnsi="Noto Sans Mono CJK SC" w:eastAsia="Noto Sans Mono CJK SC"/>
                <w:color w:val="2D3741"/>
                <w:sz w:val="17"/>
              </w:rPr>
              <w:t xml:space="preserve">  ├─ 时间规则 → FULL_SELL_PENDING</w:t>
            </w:r>
            <w:r>
              <w:rPr>
                <w:rFonts w:ascii="Noto Sans CJK SC" w:hAnsi="Noto Sans CJK SC" w:eastAsia="Noto Sans CJK SC"/>
              </w:rPr>
              <w:br/>
            </w:r>
            <w:r>
              <w:rPr>
                <w:rFonts w:ascii="Noto Sans Mono CJK SC" w:hAnsi="Noto Sans Mono CJK SC" w:eastAsia="Noto Sans Mono CJK SC"/>
                <w:color w:val="2D3741"/>
                <w:sz w:val="17"/>
              </w:rPr>
              <w:t xml:space="preserve">  └─ 人工接管 → MANUAL</w:t>
            </w:r>
            <w:r>
              <w:rPr>
                <w:rFonts w:ascii="Noto Sans CJK SC" w:hAnsi="Noto Sans CJK SC" w:eastAsia="Noto Sans CJK SC"/>
              </w:rPr>
              <w:br/>
            </w:r>
            <w:r>
              <w:rPr>
                <w:rFonts w:ascii="Noto Sans Mono CJK SC" w:hAnsi="Noto Sans Mono CJK SC" w:eastAsia="Noto Sans Mono CJK SC"/>
                <w:color w:val="2D3741"/>
                <w:sz w:val="17"/>
              </w:rPr>
            </w:r>
            <w:r>
              <w:rPr>
                <w:rFonts w:ascii="Noto Sans CJK SC" w:hAnsi="Noto Sans CJK SC" w:eastAsia="Noto Sans CJK SC"/>
              </w:rPr>
              <w:br/>
            </w:r>
            <w:r>
              <w:rPr>
                <w:rFonts w:ascii="Noto Sans Mono CJK SC" w:hAnsi="Noto Sans Mono CJK SC" w:eastAsia="Noto Sans Mono CJK SC"/>
                <w:color w:val="2D3741"/>
                <w:sz w:val="17"/>
              </w:rPr>
              <w:t>FULL_SELL_PENDING</w:t>
            </w:r>
            <w:r>
              <w:rPr>
                <w:rFonts w:ascii="Noto Sans CJK SC" w:hAnsi="Noto Sans CJK SC" w:eastAsia="Noto Sans CJK SC"/>
              </w:rPr>
              <w:br/>
            </w:r>
            <w:r>
              <w:rPr>
                <w:rFonts w:ascii="Noto Sans Mono CJK SC" w:hAnsi="Noto Sans Mono CJK SC" w:eastAsia="Noto Sans Mono CJK SC"/>
                <w:color w:val="2D3741"/>
                <w:sz w:val="17"/>
              </w:rPr>
              <w:t xml:space="preserve">  ├─ PARTIAL_FILLED → 继续管理剩余数量</w:t>
            </w:r>
            <w:r>
              <w:rPr>
                <w:rFonts w:ascii="Noto Sans CJK SC" w:hAnsi="Noto Sans CJK SC" w:eastAsia="Noto Sans CJK SC"/>
              </w:rPr>
              <w:br/>
            </w:r>
            <w:r>
              <w:rPr>
                <w:rFonts w:ascii="Noto Sans Mono CJK SC" w:hAnsi="Noto Sans Mono CJK SC" w:eastAsia="Noto Sans Mono CJK SC"/>
                <w:color w:val="2D3741"/>
                <w:sz w:val="17"/>
              </w:rPr>
              <w:t xml:space="preserve">  ├─ FILLED → EXITED</w:t>
            </w:r>
            <w:r>
              <w:rPr>
                <w:rFonts w:ascii="Noto Sans CJK SC" w:hAnsi="Noto Sans CJK SC" w:eastAsia="Noto Sans CJK SC"/>
              </w:rPr>
              <w:br/>
            </w:r>
            <w:r>
              <w:rPr>
                <w:rFonts w:ascii="Noto Sans Mono CJK SC" w:hAnsi="Noto Sans Mono CJK SC" w:eastAsia="Noto Sans Mono CJK SC"/>
                <w:color w:val="2D3741"/>
                <w:sz w:val="17"/>
              </w:rPr>
              <w:t xml:space="preserve">  ├─ CANCELLED → 根据Policy重报/等待</w:t>
            </w:r>
            <w:r>
              <w:rPr>
                <w:rFonts w:ascii="Noto Sans CJK SC" w:hAnsi="Noto Sans CJK SC" w:eastAsia="Noto Sans CJK SC"/>
              </w:rPr>
              <w:br/>
            </w:r>
            <w:r>
              <w:rPr>
                <w:rFonts w:ascii="Noto Sans Mono CJK SC" w:hAnsi="Noto Sans Mono CJK SC" w:eastAsia="Noto Sans Mono CJK SC"/>
                <w:color w:val="2D3741"/>
                <w:sz w:val="17"/>
              </w:rPr>
              <w:t xml:space="preserve">  ├─ REJECTED/UNKNOWN → SAFE_MODE / 人工处理</w:t>
            </w:r>
            <w:r>
              <w:rPr>
                <w:rFonts w:ascii="Noto Sans CJK SC" w:hAnsi="Noto Sans CJK SC" w:eastAsia="Noto Sans CJK SC"/>
              </w:rPr>
              <w:br/>
            </w:r>
            <w:r>
              <w:rPr>
                <w:rFonts w:ascii="Noto Sans Mono CJK SC" w:hAnsi="Noto Sans Mono CJK SC" w:eastAsia="Noto Sans Mono CJK SC"/>
                <w:color w:val="2D3741"/>
                <w:sz w:val="17"/>
              </w:rPr>
              <w:t xml:space="preserve">  └─ 无买盘/跌停/停牌 → UNSELLABLE + CRITICAL</w:t>
            </w:r>
          </w:p>
        </w:tc>
      </w:tr>
    </w:tbl>
    <w:p>
      <w:pPr>
        <w:spacing w:after="20"/>
      </w:pPr>
    </w:p>
    <w:p>
      <w:pPr>
        <w:pStyle w:val="Heading2"/>
        <w:keepNext/>
      </w:pPr>
      <w:r>
        <w:rPr>
          <w:rFonts w:ascii="Noto Sans CJK SC" w:hAnsi="Noto Sans CJK SC" w:eastAsia="Noto Sans CJK SC"/>
          <w:b/>
          <w:color w:val="1F4E79"/>
          <w:sz w:val="26"/>
        </w:rPr>
        <w:t>10.3 早盘风险退出原则</w:t>
      </w:r>
    </w:p>
    <w:p>
      <w:pPr>
        <w:spacing w:before="0" w:after="100" w:line="300" w:lineRule="auto"/>
      </w:pPr>
      <w:r>
        <w:rPr>
          <w:rFonts w:ascii="Noto Sans CJK SC" w:hAnsi="Noto Sans CJK SC" w:eastAsia="Noto Sans CJK SC"/>
        </w:rPr>
        <w:t>不建议使用“跌到-4%立即无条件止损”的硬规则，因为尾盘策略次日可能出现低开/快速下探后修复。早盘退出应结合时间、价格路径、VWAP、成交额/量、板块环境等条件，通过Exit Policy版本比较后决定。固定绝对跌幅只适合作为极端风险规则，而不是普通卖出主逻辑。</w:t>
      </w:r>
    </w:p>
    <w:p>
      <w:pPr>
        <w:pStyle w:val="Heading2"/>
        <w:keepNext/>
      </w:pPr>
      <w:r>
        <w:rPr>
          <w:rFonts w:ascii="Noto Sans CJK SC" w:hAnsi="Noto Sans CJK SC" w:eastAsia="Noto Sans CJK SC"/>
          <w:b/>
          <w:color w:val="1F4E79"/>
          <w:sz w:val="26"/>
        </w:rPr>
        <w:t>10.4 Shadow Exit Policy</w:t>
      </w:r>
    </w:p>
    <w:p>
      <w:pPr>
        <w:spacing w:before="0" w:after="100" w:line="300" w:lineRule="auto"/>
      </w:pPr>
      <w:r>
        <w:rPr>
          <w:rFonts w:ascii="Noto Sans CJK SC" w:hAnsi="Noto Sans CJK SC" w:eastAsia="Noto Sans CJK SC"/>
        </w:rPr>
        <w:t>建议支持一个Active Exit Policy真实交易，同时运行一个或多个Shadow Policy仅记录“如果采用该规则会在哪里卖”。这样可以在不冒实盘风险的情况下比较卖出策略。</w:t>
      </w:r>
    </w:p>
    <w:p>
      <w:pPr>
        <w:pStyle w:val="Heading1"/>
        <w:keepNext/>
        <w:pageBreakBefore w:val="0"/>
      </w:pPr>
      <w:r>
        <w:rPr>
          <w:rFonts w:ascii="Noto Sans CJK SC" w:hAnsi="Noto Sans CJK SC" w:eastAsia="Noto Sans CJK SC"/>
          <w:b/>
          <w:color w:val="143A5F"/>
          <w:sz w:val="32"/>
        </w:rPr>
        <w:t>11. 订单生命周期、幂等与部分成交</w:t>
      </w:r>
    </w:p>
    <w:p>
      <w:pPr>
        <w:pStyle w:val="Heading2"/>
        <w:keepNext/>
      </w:pPr>
      <w:r>
        <w:rPr>
          <w:rFonts w:ascii="Noto Sans CJK SC" w:hAnsi="Noto Sans CJK SC" w:eastAsia="Noto Sans CJK SC"/>
          <w:b/>
          <w:color w:val="1F4E79"/>
          <w:sz w:val="26"/>
        </w:rPr>
        <w:t>11.1 Order State Machine</w:t>
      </w:r>
    </w:p>
    <w:tbl>
      <w:tblPr>
        <w:tblW w:type="auto" w:w="0"/>
        <w:jc w:val="center"/>
        <w:tblLook w:firstColumn="1" w:firstRow="1" w:lastColumn="0" w:lastRow="0" w:noHBand="0" w:noVBand="1" w:val="04A0"/>
      </w:tblPr>
      <w:tblGrid>
        <w:gridCol w:w="9972"/>
      </w:tblGrid>
      <w:tr>
        <w:trPr>
          <w:trHeight w:hRule="atLeast"/>
        </w:trPr>
        <w:tc>
          <w:tcPr>
            <w:tcW w:type="dxa" w:w="9972"/>
            <w:shd w:fill="F5F6F7"/>
            <w:tcMar>
              <w:top w:w="100" w:type="dxa"/>
              <w:start w:w="140" w:type="dxa"/>
              <w:bottom w:w="100" w:type="dxa"/>
              <w:end w:w="140" w:type="dxa"/>
            </w:tcMar>
          </w:tcPr>
          <w:p>
            <w:pPr>
              <w:spacing w:before="0" w:after="0" w:line="252" w:lineRule="auto"/>
            </w:pPr>
            <w:r>
              <w:rPr>
                <w:rFonts w:ascii="Noto Sans Mono CJK SC" w:hAnsi="Noto Sans Mono CJK SC" w:eastAsia="Noto Sans Mono CJK SC"/>
                <w:color w:val="2D3741"/>
                <w:sz w:val="17"/>
              </w:rPr>
              <w:t>CREATED → VALIDATED → SUBMITTING → SUBMITTED → ACKED</w:t>
            </w:r>
            <w:r>
              <w:rPr>
                <w:rFonts w:ascii="Noto Sans CJK SC" w:hAnsi="Noto Sans CJK SC" w:eastAsia="Noto Sans CJK SC"/>
              </w:rPr>
              <w:br/>
            </w:r>
            <w:r>
              <w:rPr>
                <w:rFonts w:ascii="Noto Sans Mono CJK SC" w:hAnsi="Noto Sans Mono CJK SC" w:eastAsia="Noto Sans Mono CJK SC"/>
                <w:color w:val="2D3741"/>
                <w:sz w:val="17"/>
              </w:rPr>
              <w:t xml:space="preserve">                                         ├→ PARTIAL_FILLED → FILLED</w:t>
            </w:r>
            <w:r>
              <w:rPr>
                <w:rFonts w:ascii="Noto Sans CJK SC" w:hAnsi="Noto Sans CJK SC" w:eastAsia="Noto Sans CJK SC"/>
              </w:rPr>
              <w:br/>
            </w:r>
            <w:r>
              <w:rPr>
                <w:rFonts w:ascii="Noto Sans Mono CJK SC" w:hAnsi="Noto Sans Mono CJK SC" w:eastAsia="Noto Sans Mono CJK SC"/>
                <w:color w:val="2D3741"/>
                <w:sz w:val="17"/>
              </w:rPr>
              <w:t xml:space="preserve">                                         ├→ CANCEL_PENDING → CANCELLED</w:t>
            </w:r>
            <w:r>
              <w:rPr>
                <w:rFonts w:ascii="Noto Sans CJK SC" w:hAnsi="Noto Sans CJK SC" w:eastAsia="Noto Sans CJK SC"/>
              </w:rPr>
              <w:br/>
            </w:r>
            <w:r>
              <w:rPr>
                <w:rFonts w:ascii="Noto Sans Mono CJK SC" w:hAnsi="Noto Sans Mono CJK SC" w:eastAsia="Noto Sans Mono CJK SC"/>
                <w:color w:val="2D3741"/>
                <w:sz w:val="17"/>
              </w:rPr>
              <w:t xml:space="preserve">                                         ├→ REJECTED</w:t>
            </w:r>
            <w:r>
              <w:rPr>
                <w:rFonts w:ascii="Noto Sans CJK SC" w:hAnsi="Noto Sans CJK SC" w:eastAsia="Noto Sans CJK SC"/>
              </w:rPr>
              <w:br/>
            </w:r>
            <w:r>
              <w:rPr>
                <w:rFonts w:ascii="Noto Sans Mono CJK SC" w:hAnsi="Noto Sans Mono CJK SC" w:eastAsia="Noto Sans Mono CJK SC"/>
                <w:color w:val="2D3741"/>
                <w:sz w:val="17"/>
              </w:rPr>
              <w:t xml:space="preserve">                                         ├→ EXPIRED</w:t>
            </w:r>
            <w:r>
              <w:rPr>
                <w:rFonts w:ascii="Noto Sans CJK SC" w:hAnsi="Noto Sans CJK SC" w:eastAsia="Noto Sans CJK SC"/>
              </w:rPr>
              <w:br/>
            </w:r>
            <w:r>
              <w:rPr>
                <w:rFonts w:ascii="Noto Sans Mono CJK SC" w:hAnsi="Noto Sans Mono CJK SC" w:eastAsia="Noto Sans Mono CJK SC"/>
                <w:color w:val="2D3741"/>
                <w:sz w:val="17"/>
              </w:rPr>
              <w:t xml:space="preserve">                                         └→ UNKNOWN → SAFE_MODE</w:t>
            </w:r>
          </w:p>
        </w:tc>
      </w:tr>
    </w:tbl>
    <w:p>
      <w:pPr>
        <w:spacing w:after="20"/>
      </w:pPr>
    </w:p>
    <w:p>
      <w:pPr>
        <w:pStyle w:val="Heading2"/>
        <w:keepNext/>
      </w:pPr>
      <w:r>
        <w:rPr>
          <w:rFonts w:ascii="Noto Sans CJK SC" w:hAnsi="Noto Sans CJK SC" w:eastAsia="Noto Sans CJK SC"/>
          <w:b/>
          <w:color w:val="1F4E79"/>
          <w:sz w:val="26"/>
        </w:rPr>
        <w:t>11.2 client_order_id与幂等</w:t>
      </w:r>
    </w:p>
    <w:p>
      <w:pPr>
        <w:spacing w:before="0" w:after="100" w:line="300" w:lineRule="auto"/>
      </w:pPr>
      <w:r>
        <w:rPr>
          <w:rFonts w:ascii="Noto Sans CJK SC" w:hAnsi="Noto Sans CJK SC" w:eastAsia="Noto Sans CJK SC"/>
        </w:rPr>
        <w:t>每笔业务订单生成唯一client_order_id；QMT备注只保存短ID，详细策略和原因保存中央账本。系统在发单前必须检查该ID是否已提交、该股票是否存在活动订单以及本次计划的剩余目标。</w:t>
      </w:r>
    </w:p>
    <w:tbl>
      <w:tblPr>
        <w:tblStyle w:val="TableGrid"/>
        <w:tblW w:type="auto" w:w="0"/>
        <w:jc w:val="center"/>
        <w:tblLayout w:type="fixed"/>
        <w:tblLook w:firstColumn="1" w:firstRow="1" w:lastColumn="0" w:lastRow="0" w:noHBand="0" w:noVBand="1" w:val="04A0"/>
      </w:tblPr>
      <w:tblGrid>
        <w:gridCol w:w="4986"/>
        <w:gridCol w:w="4986"/>
      </w:tblGrid>
      <w:tr>
        <w:trPr>
          <w:trHeight w:hRule="atLeast"/>
          <w:tblHeader w:val="true"/>
          <w:cantSplit/>
        </w:trPr>
        <w:tc>
          <w:tcPr>
            <w:tcW w:type="dxa" w:w="2551"/>
            <w:shd w:fill="1F4E78"/>
            <w:tcMar>
              <w:top w:w="90" w:type="dxa"/>
              <w:start w:w="90" w:type="dxa"/>
              <w:bottom w:w="90" w:type="dxa"/>
              <w:end w:w="90" w:type="dxa"/>
            </w:tcMar>
            <w:vAlign w:val="center"/>
          </w:tcPr>
          <w:p>
            <w:pPr>
              <w:spacing w:before="0" w:after="0" w:line="240" w:lineRule="auto"/>
              <w:jc w:val="center"/>
            </w:pPr>
            <w:r>
              <w:rPr>
                <w:rFonts w:ascii="Noto Sans CJK SC" w:hAnsi="Noto Sans CJK SC" w:eastAsia="Noto Sans CJK SC"/>
                <w:b/>
                <w:color w:val="FFFFFF"/>
                <w:sz w:val="18"/>
              </w:rPr>
              <w:t>异常</w:t>
            </w:r>
          </w:p>
        </w:tc>
        <w:tc>
          <w:tcPr>
            <w:tcW w:type="dxa" w:w="6350"/>
            <w:shd w:fill="1F4E78"/>
            <w:tcMar>
              <w:top w:w="90" w:type="dxa"/>
              <w:start w:w="90" w:type="dxa"/>
              <w:bottom w:w="90" w:type="dxa"/>
              <w:end w:w="90" w:type="dxa"/>
            </w:tcMar>
            <w:vAlign w:val="center"/>
          </w:tcPr>
          <w:p>
            <w:pPr>
              <w:spacing w:before="0" w:after="0" w:line="240" w:lineRule="auto"/>
              <w:jc w:val="center"/>
            </w:pPr>
            <w:r>
              <w:rPr>
                <w:rFonts w:ascii="Noto Sans CJK SC" w:hAnsi="Noto Sans CJK SC" w:eastAsia="Noto Sans CJK SC"/>
                <w:b/>
                <w:color w:val="FFFFFF"/>
                <w:sz w:val="18"/>
              </w:rPr>
              <w:t>处理原则</w:t>
            </w:r>
          </w:p>
        </w:tc>
      </w:tr>
      <w:tr>
        <w:trPr>
          <w:cantSplit/>
          <w:trHeight w:hRule="atLeast"/>
        </w:trPr>
        <w:tc>
          <w:tcPr>
            <w:tcW w:type="dxa" w:w="2551"/>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重复Tick重复触发</w:t>
            </w:r>
          </w:p>
        </w:tc>
        <w:tc>
          <w:tcPr>
            <w:tcW w:type="dxa" w:w="6350"/>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同一规则/股票/阶段使用幂等锁，不重复创建订单</w:t>
            </w:r>
          </w:p>
        </w:tc>
      </w:tr>
      <w:tr>
        <w:trPr>
          <w:cantSplit/>
          <w:trHeight w:hRule="atLeast"/>
        </w:trPr>
        <w:tc>
          <w:tcPr>
            <w:tcW w:type="dxa" w:w="2551"/>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异步下单返回seq</w:t>
            </w:r>
          </w:p>
        </w:tc>
        <w:tc>
          <w:tcPr>
            <w:tcW w:type="dxa" w:w="6350"/>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仅表示请求已提交，不能认为已经成交；等待订单/成交回调</w:t>
            </w:r>
          </w:p>
        </w:tc>
      </w:tr>
      <w:tr>
        <w:trPr>
          <w:cantSplit/>
          <w:trHeight w:hRule="atLeast"/>
        </w:trPr>
        <w:tc>
          <w:tcPr>
            <w:tcW w:type="dxa" w:w="2551"/>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部分成交</w:t>
            </w:r>
          </w:p>
        </w:tc>
        <w:tc>
          <w:tcPr>
            <w:tcW w:type="dxa" w:w="6350"/>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只针对remaining_qty继续管理，绝不能再次提交原始总数量</w:t>
            </w:r>
          </w:p>
        </w:tc>
      </w:tr>
      <w:tr>
        <w:trPr>
          <w:cantSplit/>
          <w:trHeight w:hRule="atLeast"/>
        </w:trPr>
        <w:tc>
          <w:tcPr>
            <w:tcW w:type="dxa" w:w="2551"/>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撤单回调延迟</w:t>
            </w:r>
          </w:p>
        </w:tc>
        <w:tc>
          <w:tcPr>
            <w:tcW w:type="dxa" w:w="6350"/>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订单在确认取消前仍视为活动订单，不允许并行新单</w:t>
            </w:r>
          </w:p>
        </w:tc>
      </w:tr>
      <w:tr>
        <w:trPr>
          <w:cantSplit/>
          <w:trHeight w:hRule="atLeast"/>
        </w:trPr>
        <w:tc>
          <w:tcPr>
            <w:tcW w:type="dxa" w:w="2551"/>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订单UNKNOWN</w:t>
            </w:r>
          </w:p>
        </w:tc>
        <w:tc>
          <w:tcPr>
            <w:tcW w:type="dxa" w:w="6350"/>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冻结该股票自动交易，主动查询QMT并Reconcile</w:t>
            </w:r>
          </w:p>
        </w:tc>
      </w:tr>
      <w:tr>
        <w:trPr>
          <w:cantSplit/>
          <w:trHeight w:hRule="atLeast"/>
        </w:trPr>
        <w:tc>
          <w:tcPr>
            <w:tcW w:type="dxa" w:w="2551"/>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手工QMT订单</w:t>
            </w:r>
          </w:p>
        </w:tc>
        <w:tc>
          <w:tcPr>
            <w:tcW w:type="dxa" w:w="6350"/>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识别为EXTERNAL_MANUAL_ORDER，写中央账本并重建状态</w:t>
            </w:r>
          </w:p>
        </w:tc>
      </w:tr>
    </w:tbl>
    <w:p>
      <w:pPr>
        <w:spacing w:after="40"/>
      </w:pPr>
    </w:p>
    <w:p>
      <w:pPr>
        <w:pStyle w:val="Heading1"/>
        <w:keepNext/>
        <w:pageBreakBefore w:val="0"/>
      </w:pPr>
      <w:r>
        <w:rPr>
          <w:rFonts w:ascii="Noto Sans CJK SC" w:hAnsi="Noto Sans CJK SC" w:eastAsia="Noto Sans CJK SC"/>
          <w:b/>
          <w:color w:val="143A5F"/>
          <w:sz w:val="32"/>
        </w:rPr>
        <w:t>12. 滑点、流动性容量与资金放大</w:t>
      </w:r>
    </w:p>
    <w:p>
      <w:pPr>
        <w:pStyle w:val="Heading2"/>
        <w:keepNext/>
      </w:pPr>
      <w:r>
        <w:rPr>
          <w:rFonts w:ascii="Noto Sans CJK SC" w:hAnsi="Noto Sans CJK SC" w:eastAsia="Noto Sans CJK SC"/>
          <w:b/>
          <w:color w:val="1F4E79"/>
          <w:sz w:val="26"/>
        </w:rPr>
        <w:t>12.1 四个价格</w:t>
      </w:r>
    </w:p>
    <w:tbl>
      <w:tblPr>
        <w:tblStyle w:val="TableGrid"/>
        <w:tblW w:type="auto" w:w="0"/>
        <w:jc w:val="center"/>
        <w:tblLayout w:type="fixed"/>
        <w:tblLook w:firstColumn="1" w:firstRow="1" w:lastColumn="0" w:lastRow="0" w:noHBand="0" w:noVBand="1" w:val="04A0"/>
      </w:tblPr>
      <w:tblGrid>
        <w:gridCol w:w="3324"/>
        <w:gridCol w:w="3324"/>
        <w:gridCol w:w="3324"/>
      </w:tblGrid>
      <w:tr>
        <w:trPr>
          <w:trHeight w:hRule="atLeast"/>
          <w:tblHeader w:val="true"/>
          <w:cantSplit/>
        </w:trPr>
        <w:tc>
          <w:tcPr>
            <w:tcW w:type="dxa" w:w="1928"/>
            <w:shd w:fill="1F4E78"/>
            <w:tcMar>
              <w:top w:w="90" w:type="dxa"/>
              <w:start w:w="90" w:type="dxa"/>
              <w:bottom w:w="90" w:type="dxa"/>
              <w:end w:w="90" w:type="dxa"/>
            </w:tcMar>
            <w:vAlign w:val="center"/>
          </w:tcPr>
          <w:p>
            <w:pPr>
              <w:spacing w:before="0" w:after="0" w:line="240" w:lineRule="auto"/>
              <w:jc w:val="center"/>
            </w:pPr>
            <w:r>
              <w:rPr>
                <w:rFonts w:ascii="Noto Sans CJK SC" w:hAnsi="Noto Sans CJK SC" w:eastAsia="Noto Sans CJK SC"/>
                <w:b/>
                <w:color w:val="FFFFFF"/>
                <w:sz w:val="18"/>
              </w:rPr>
              <w:t>价格</w:t>
            </w:r>
          </w:p>
        </w:tc>
        <w:tc>
          <w:tcPr>
            <w:tcW w:type="dxa" w:w="3572"/>
            <w:shd w:fill="1F4E78"/>
            <w:tcMar>
              <w:top w:w="90" w:type="dxa"/>
              <w:start w:w="90" w:type="dxa"/>
              <w:bottom w:w="90" w:type="dxa"/>
              <w:end w:w="90" w:type="dxa"/>
            </w:tcMar>
            <w:vAlign w:val="center"/>
          </w:tcPr>
          <w:p>
            <w:pPr>
              <w:spacing w:before="0" w:after="0" w:line="240" w:lineRule="auto"/>
              <w:jc w:val="center"/>
            </w:pPr>
            <w:r>
              <w:rPr>
                <w:rFonts w:ascii="Noto Sans CJK SC" w:hAnsi="Noto Sans CJK SC" w:eastAsia="Noto Sans CJK SC"/>
                <w:b/>
                <w:color w:val="FFFFFF"/>
                <w:sz w:val="18"/>
              </w:rPr>
              <w:t>定义</w:t>
            </w:r>
          </w:p>
        </w:tc>
        <w:tc>
          <w:tcPr>
            <w:tcW w:type="dxa" w:w="3402"/>
            <w:shd w:fill="1F4E78"/>
            <w:tcMar>
              <w:top w:w="90" w:type="dxa"/>
              <w:start w:w="90" w:type="dxa"/>
              <w:bottom w:w="90" w:type="dxa"/>
              <w:end w:w="90" w:type="dxa"/>
            </w:tcMar>
            <w:vAlign w:val="center"/>
          </w:tcPr>
          <w:p>
            <w:pPr>
              <w:spacing w:before="0" w:after="0" w:line="240" w:lineRule="auto"/>
              <w:jc w:val="center"/>
            </w:pPr>
            <w:r>
              <w:rPr>
                <w:rFonts w:ascii="Noto Sans CJK SC" w:hAnsi="Noto Sans CJK SC" w:eastAsia="Noto Sans CJK SC"/>
                <w:b/>
                <w:color w:val="FFFFFF"/>
                <w:sz w:val="18"/>
              </w:rPr>
              <w:t>用途</w:t>
            </w:r>
          </w:p>
        </w:tc>
      </w:tr>
      <w:tr>
        <w:trPr>
          <w:cantSplit/>
          <w:trHeight w:hRule="atLeast"/>
        </w:trPr>
        <w:tc>
          <w:tcPr>
            <w:tcW w:type="dxa" w:w="1928"/>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Decision Price</w:t>
            </w:r>
          </w:p>
        </w:tc>
        <w:tc>
          <w:tcPr>
            <w:tcW w:type="dxa" w:w="3572"/>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后台冻结信号时价格</w:t>
            </w:r>
          </w:p>
        </w:tc>
        <w:tc>
          <w:tcPr>
            <w:tcW w:type="dxa" w:w="3402"/>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衡量完整策略实现偏差</w:t>
            </w:r>
          </w:p>
        </w:tc>
      </w:tr>
      <w:tr>
        <w:trPr>
          <w:cantSplit/>
          <w:trHeight w:hRule="atLeast"/>
        </w:trPr>
        <w:tc>
          <w:tcPr>
            <w:tcW w:type="dxa" w:w="1928"/>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Arrival Price</w:t>
            </w:r>
          </w:p>
        </w:tc>
        <w:tc>
          <w:tcPr>
            <w:tcW w:type="dxa" w:w="3572"/>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Windows收到并准备执行时可交易价格</w:t>
            </w:r>
          </w:p>
        </w:tc>
        <w:tc>
          <w:tcPr>
            <w:tcW w:type="dxa" w:w="3402"/>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区分网络/决策延迟</w:t>
            </w:r>
          </w:p>
        </w:tc>
      </w:tr>
      <w:tr>
        <w:trPr>
          <w:cantSplit/>
          <w:trHeight w:hRule="atLeast"/>
        </w:trPr>
        <w:tc>
          <w:tcPr>
            <w:tcW w:type="dxa" w:w="1928"/>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Order Price</w:t>
            </w:r>
          </w:p>
        </w:tc>
        <w:tc>
          <w:tcPr>
            <w:tcW w:type="dxa" w:w="3572"/>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实际委托价格</w:t>
            </w:r>
          </w:p>
        </w:tc>
        <w:tc>
          <w:tcPr>
            <w:tcW w:type="dxa" w:w="3402"/>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执行策略记录</w:t>
            </w:r>
          </w:p>
        </w:tc>
      </w:tr>
      <w:tr>
        <w:trPr>
          <w:cantSplit/>
          <w:trHeight w:hRule="atLeast"/>
        </w:trPr>
        <w:tc>
          <w:tcPr>
            <w:tcW w:type="dxa" w:w="1928"/>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Execution VWAP</w:t>
            </w:r>
          </w:p>
        </w:tc>
        <w:tc>
          <w:tcPr>
            <w:tcW w:type="dxa" w:w="3572"/>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实际多笔成交的加权均价</w:t>
            </w:r>
          </w:p>
        </w:tc>
        <w:tc>
          <w:tcPr>
            <w:tcW w:type="dxa" w:w="3402"/>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计算真实滑点与冲击成本</w:t>
            </w:r>
          </w:p>
        </w:tc>
      </w:tr>
    </w:tbl>
    <w:p>
      <w:pPr>
        <w:spacing w:after="40"/>
      </w:pPr>
    </w:p>
    <w:p>
      <w:pPr>
        <w:spacing w:before="0" w:after="100" w:line="300" w:lineRule="auto"/>
      </w:pPr>
      <w:r>
        <w:rPr>
          <w:rFonts w:ascii="Noto Sans CJK SC" w:hAnsi="Noto Sans CJK SC" w:eastAsia="Noto Sans CJK SC"/>
        </w:rPr>
        <w:t>买入总滑点可拆成“Decision→Arrival延迟成本”和“Arrival→Execution执行成本”。卖出同理。这样可以区分是选股/信号太晚、交易节点传输慢，还是拆单/报价策略导致的成本。</w:t>
      </w:r>
    </w:p>
    <w:p>
      <w:pPr>
        <w:pStyle w:val="Heading2"/>
        <w:keepNext/>
      </w:pPr>
      <w:r>
        <w:rPr>
          <w:rFonts w:ascii="Noto Sans CJK SC" w:hAnsi="Noto Sans CJK SC" w:eastAsia="Noto Sans CJK SC"/>
          <w:b/>
          <w:color w:val="1F4E79"/>
          <w:sz w:val="26"/>
        </w:rPr>
        <w:t>12.2 Capacity Engine</w:t>
      </w:r>
    </w:p>
    <w:p>
      <w:pPr>
        <w:pStyle w:val="ListBullet"/>
        <w:spacing w:before="0" w:after="40" w:line="300" w:lineRule="auto"/>
      </w:pPr>
      <w:r>
        <w:rPr>
          <w:rFonts w:ascii="Noto Sans CJK SC" w:hAnsi="Noto Sans CJK SC" w:eastAsia="Noto Sans CJK SC"/>
          <w:sz w:val="21"/>
        </w:rPr>
        <w:t>目标金额不能超过单票Risk Limit。</w:t>
      </w:r>
    </w:p>
    <w:p>
      <w:pPr>
        <w:pStyle w:val="ListBullet"/>
        <w:spacing w:before="0" w:after="40" w:line="300" w:lineRule="auto"/>
      </w:pPr>
      <w:r>
        <w:rPr>
          <w:rFonts w:ascii="Noto Sans CJK SC" w:hAnsi="Noto Sans CJK SC" w:eastAsia="Noto Sans CJK SC"/>
          <w:sz w:val="21"/>
        </w:rPr>
        <w:t>目标金额不能突破策略规定的最大市场参与率。</w:t>
      </w:r>
    </w:p>
    <w:p>
      <w:pPr>
        <w:pStyle w:val="ListBullet"/>
        <w:spacing w:before="0" w:after="40" w:line="300" w:lineRule="auto"/>
      </w:pPr>
      <w:r>
        <w:rPr>
          <w:rFonts w:ascii="Noto Sans CJK SC" w:hAnsi="Noto Sans CJK SC" w:eastAsia="Noto Sans CJK SC"/>
          <w:sz w:val="21"/>
        </w:rPr>
        <w:t>尾盘剩余成交容量必须进入估计；资金从100万以上开始，执行容量比代码性能更重要。</w:t>
      </w:r>
    </w:p>
    <w:p>
      <w:pPr>
        <w:pStyle w:val="ListBullet"/>
        <w:spacing w:before="0" w:after="40" w:line="300" w:lineRule="auto"/>
      </w:pPr>
      <w:r>
        <w:rPr>
          <w:rFonts w:ascii="Noto Sans CJK SC" w:hAnsi="Noto Sans CJK SC" w:eastAsia="Noto Sans CJK SC"/>
          <w:sz w:val="21"/>
        </w:rPr>
        <w:t>盘中动态缩减Target是正常行为：流动性不足时系统宁可少买，也不能因“完成率”制造异常滑点。</w:t>
      </w:r>
    </w:p>
    <w:p>
      <w:pPr>
        <w:pStyle w:val="Heading2"/>
        <w:keepNext/>
      </w:pPr>
      <w:r>
        <w:rPr>
          <w:rFonts w:ascii="Noto Sans CJK SC" w:hAnsi="Noto Sans CJK SC" w:eastAsia="Noto Sans CJK SC"/>
          <w:b/>
          <w:color w:val="1F4E79"/>
          <w:sz w:val="26"/>
        </w:rPr>
        <w:t>12.3 资金规模演进关注点</w:t>
      </w:r>
    </w:p>
    <w:tbl>
      <w:tblPr>
        <w:tblStyle w:val="TableGrid"/>
        <w:tblW w:type="auto" w:w="0"/>
        <w:jc w:val="center"/>
        <w:tblLayout w:type="fixed"/>
        <w:tblLook w:firstColumn="1" w:firstRow="1" w:lastColumn="0" w:lastRow="0" w:noHBand="0" w:noVBand="1" w:val="04A0"/>
      </w:tblPr>
      <w:tblGrid>
        <w:gridCol w:w="4986"/>
        <w:gridCol w:w="4986"/>
      </w:tblGrid>
      <w:tr>
        <w:trPr>
          <w:trHeight w:hRule="atLeast"/>
          <w:tblHeader w:val="true"/>
          <w:cantSplit/>
        </w:trPr>
        <w:tc>
          <w:tcPr>
            <w:tcW w:type="dxa" w:w="2268"/>
            <w:shd w:fill="1F4E78"/>
            <w:tcMar>
              <w:top w:w="90" w:type="dxa"/>
              <w:start w:w="90" w:type="dxa"/>
              <w:bottom w:w="90" w:type="dxa"/>
              <w:end w:w="90" w:type="dxa"/>
            </w:tcMar>
            <w:vAlign w:val="center"/>
          </w:tcPr>
          <w:p>
            <w:pPr>
              <w:spacing w:before="0" w:after="0" w:line="240" w:lineRule="auto"/>
              <w:jc w:val="center"/>
            </w:pPr>
            <w:r>
              <w:rPr>
                <w:rFonts w:ascii="Noto Sans CJK SC" w:hAnsi="Noto Sans CJK SC" w:eastAsia="Noto Sans CJK SC"/>
                <w:b/>
                <w:color w:val="FFFFFF"/>
                <w:sz w:val="18"/>
              </w:rPr>
              <w:t>资金规模</w:t>
            </w:r>
          </w:p>
        </w:tc>
        <w:tc>
          <w:tcPr>
            <w:tcW w:type="dxa" w:w="6633"/>
            <w:shd w:fill="1F4E78"/>
            <w:tcMar>
              <w:top w:w="90" w:type="dxa"/>
              <w:start w:w="90" w:type="dxa"/>
              <w:bottom w:w="90" w:type="dxa"/>
              <w:end w:w="90" w:type="dxa"/>
            </w:tcMar>
            <w:vAlign w:val="center"/>
          </w:tcPr>
          <w:p>
            <w:pPr>
              <w:spacing w:before="0" w:after="0" w:line="240" w:lineRule="auto"/>
              <w:jc w:val="center"/>
            </w:pPr>
            <w:r>
              <w:rPr>
                <w:rFonts w:ascii="Noto Sans CJK SC" w:hAnsi="Noto Sans CJK SC" w:eastAsia="Noto Sans CJK SC"/>
                <w:b/>
                <w:color w:val="FFFFFF"/>
                <w:sz w:val="18"/>
              </w:rPr>
              <w:t>系统重点</w:t>
            </w:r>
          </w:p>
        </w:tc>
      </w:tr>
      <w:tr>
        <w:trPr>
          <w:cantSplit/>
          <w:trHeight w:hRule="atLeast"/>
        </w:trPr>
        <w:tc>
          <w:tcPr>
            <w:tcW w:type="dxa" w:w="2268"/>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约10万元</w:t>
            </w:r>
          </w:p>
        </w:tc>
        <w:tc>
          <w:tcPr>
            <w:tcW w:type="dxa" w:w="6633"/>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接口正确、订单状态、自动卖出、无重复委托</w:t>
            </w:r>
          </w:p>
        </w:tc>
      </w:tr>
      <w:tr>
        <w:trPr>
          <w:cantSplit/>
          <w:trHeight w:hRule="atLeast"/>
        </w:trPr>
        <w:tc>
          <w:tcPr>
            <w:tcW w:type="dxa" w:w="2268"/>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30-100万元</w:t>
            </w:r>
          </w:p>
        </w:tc>
        <w:tc>
          <w:tcPr>
            <w:tcW w:type="dxa" w:w="6633"/>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真实滑点、买卖完成率、基本拆单</w:t>
            </w:r>
          </w:p>
        </w:tc>
      </w:tr>
      <w:tr>
        <w:trPr>
          <w:cantSplit/>
          <w:trHeight w:hRule="atLeast"/>
        </w:trPr>
        <w:tc>
          <w:tcPr>
            <w:tcW w:type="dxa" w:w="2268"/>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100-300万元</w:t>
            </w:r>
          </w:p>
        </w:tc>
        <w:tc>
          <w:tcPr>
            <w:tcW w:type="dxa" w:w="6633"/>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参与率、盘口容量、动态撤单重报、行业/板块集中</w:t>
            </w:r>
          </w:p>
        </w:tc>
      </w:tr>
      <w:tr>
        <w:trPr>
          <w:cantSplit/>
          <w:trHeight w:hRule="atLeast"/>
        </w:trPr>
        <w:tc>
          <w:tcPr>
            <w:tcW w:type="dxa" w:w="2268"/>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300-500万元</w:t>
            </w:r>
          </w:p>
        </w:tc>
        <w:tc>
          <w:tcPr>
            <w:tcW w:type="dxa" w:w="6633"/>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冲击成本、尾盘可执行容量、子单调度、按流动性动态降低目标</w:t>
            </w:r>
          </w:p>
        </w:tc>
      </w:tr>
    </w:tbl>
    <w:p>
      <w:pPr>
        <w:spacing w:after="40"/>
      </w:pPr>
    </w:p>
    <w:p>
      <w:pPr>
        <w:pStyle w:val="Heading1"/>
        <w:keepNext/>
        <w:pageBreakBefore w:val="0"/>
      </w:pPr>
      <w:r>
        <w:rPr>
          <w:rFonts w:ascii="Noto Sans CJK SC" w:hAnsi="Noto Sans CJK SC" w:eastAsia="Noto Sans CJK SC"/>
          <w:b/>
          <w:color w:val="143A5F"/>
          <w:sz w:val="32"/>
        </w:rPr>
        <w:t>13. Risk Engine 与 Hard Safety Limits</w:t>
      </w:r>
    </w:p>
    <w:p>
      <w:pPr>
        <w:pStyle w:val="Heading2"/>
        <w:keepNext/>
      </w:pPr>
      <w:r>
        <w:rPr>
          <w:rFonts w:ascii="Noto Sans CJK SC" w:hAnsi="Noto Sans CJK SC" w:eastAsia="Noto Sans CJK SC"/>
          <w:b/>
          <w:color w:val="1F4E79"/>
          <w:sz w:val="26"/>
        </w:rPr>
        <w:t>13.1 两层风险</w:t>
      </w:r>
    </w:p>
    <w:tbl>
      <w:tblPr>
        <w:tblStyle w:val="TableGrid"/>
        <w:tblW w:type="auto" w:w="0"/>
        <w:jc w:val="center"/>
        <w:tblLayout w:type="fixed"/>
        <w:tblLook w:firstColumn="1" w:firstRow="1" w:lastColumn="0" w:lastRow="0" w:noHBand="0" w:noVBand="1" w:val="04A0"/>
      </w:tblPr>
      <w:tblGrid>
        <w:gridCol w:w="3324"/>
        <w:gridCol w:w="3324"/>
        <w:gridCol w:w="3324"/>
      </w:tblGrid>
      <w:tr>
        <w:trPr>
          <w:trHeight w:hRule="atLeast"/>
          <w:tblHeader w:val="true"/>
          <w:cantSplit/>
        </w:trPr>
        <w:tc>
          <w:tcPr>
            <w:tcW w:type="dxa" w:w="2268"/>
            <w:shd w:fill="1F4E78"/>
            <w:tcMar>
              <w:top w:w="90" w:type="dxa"/>
              <w:start w:w="90" w:type="dxa"/>
              <w:bottom w:w="90" w:type="dxa"/>
              <w:end w:w="90" w:type="dxa"/>
            </w:tcMar>
            <w:vAlign w:val="center"/>
          </w:tcPr>
          <w:p>
            <w:pPr>
              <w:spacing w:before="0" w:after="0" w:line="240" w:lineRule="auto"/>
              <w:jc w:val="center"/>
            </w:pPr>
            <w:r>
              <w:rPr>
                <w:rFonts w:ascii="Noto Sans CJK SC" w:hAnsi="Noto Sans CJK SC" w:eastAsia="Noto Sans CJK SC"/>
                <w:b/>
                <w:color w:val="FFFFFF"/>
                <w:sz w:val="18"/>
              </w:rPr>
              <w:t>层级</w:t>
            </w:r>
          </w:p>
        </w:tc>
        <w:tc>
          <w:tcPr>
            <w:tcW w:type="dxa" w:w="2835"/>
            <w:shd w:fill="1F4E78"/>
            <w:tcMar>
              <w:top w:w="90" w:type="dxa"/>
              <w:start w:w="90" w:type="dxa"/>
              <w:bottom w:w="90" w:type="dxa"/>
              <w:end w:w="90" w:type="dxa"/>
            </w:tcMar>
            <w:vAlign w:val="center"/>
          </w:tcPr>
          <w:p>
            <w:pPr>
              <w:spacing w:before="0" w:after="0" w:line="240" w:lineRule="auto"/>
              <w:jc w:val="center"/>
            </w:pPr>
            <w:r>
              <w:rPr>
                <w:rFonts w:ascii="Noto Sans CJK SC" w:hAnsi="Noto Sans CJK SC" w:eastAsia="Noto Sans CJK SC"/>
                <w:b/>
                <w:color w:val="FFFFFF"/>
                <w:sz w:val="18"/>
              </w:rPr>
              <w:t>配置位置</w:t>
            </w:r>
          </w:p>
        </w:tc>
        <w:tc>
          <w:tcPr>
            <w:tcW w:type="dxa" w:w="3798"/>
            <w:shd w:fill="1F4E78"/>
            <w:tcMar>
              <w:top w:w="90" w:type="dxa"/>
              <w:start w:w="90" w:type="dxa"/>
              <w:bottom w:w="90" w:type="dxa"/>
              <w:end w:w="90" w:type="dxa"/>
            </w:tcMar>
            <w:vAlign w:val="center"/>
          </w:tcPr>
          <w:p>
            <w:pPr>
              <w:spacing w:before="0" w:after="0" w:line="240" w:lineRule="auto"/>
              <w:jc w:val="center"/>
            </w:pPr>
            <w:r>
              <w:rPr>
                <w:rFonts w:ascii="Noto Sans CJK SC" w:hAnsi="Noto Sans CJK SC" w:eastAsia="Noto Sans CJK SC"/>
                <w:b/>
                <w:color w:val="FFFFFF"/>
                <w:sz w:val="18"/>
              </w:rPr>
              <w:t>作用</w:t>
            </w:r>
          </w:p>
        </w:tc>
      </w:tr>
      <w:tr>
        <w:trPr>
          <w:cantSplit/>
          <w:trHeight w:hRule="atLeast"/>
        </w:trPr>
        <w:tc>
          <w:tcPr>
            <w:tcW w:type="dxa" w:w="2268"/>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策略Risk Policy</w:t>
            </w:r>
          </w:p>
        </w:tc>
        <w:tc>
          <w:tcPr>
            <w:tcW w:type="dxa" w:w="2835"/>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量化后台</w:t>
            </w:r>
          </w:p>
        </w:tc>
        <w:tc>
          <w:tcPr>
            <w:tcW w:type="dxa" w:w="3798"/>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可版本化、可回测：总目标仓位、单票目标、参与率、策略特有风险</w:t>
            </w:r>
          </w:p>
        </w:tc>
      </w:tr>
      <w:tr>
        <w:trPr>
          <w:cantSplit/>
          <w:trHeight w:hRule="atLeast"/>
        </w:trPr>
        <w:tc>
          <w:tcPr>
            <w:tcW w:type="dxa" w:w="2268"/>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Windows Hard Safety</w:t>
            </w:r>
          </w:p>
        </w:tc>
        <w:tc>
          <w:tcPr>
            <w:tcW w:type="dxa" w:w="2835"/>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Windows本地</w:t>
            </w:r>
          </w:p>
        </w:tc>
        <w:tc>
          <w:tcPr>
            <w:tcW w:type="dxa" w:w="3798"/>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不可突破的物理上限：最大总仓位、最大15只、单票绝对上限、最大单笔、拒单/未知订单保护</w:t>
            </w:r>
          </w:p>
        </w:tc>
      </w:tr>
    </w:tbl>
    <w:p>
      <w:pPr>
        <w:spacing w:after="40"/>
      </w:pPr>
    </w:p>
    <w:p>
      <w:pPr>
        <w:pStyle w:val="Heading2"/>
        <w:keepNext/>
      </w:pPr>
      <w:r>
        <w:rPr>
          <w:rFonts w:ascii="Noto Sans CJK SC" w:hAnsi="Noto Sans CJK SC" w:eastAsia="Noto Sans CJK SC"/>
          <w:b/>
          <w:color w:val="1F4E79"/>
          <w:sz w:val="26"/>
        </w:rPr>
        <w:t>13.2 必须具备的风控</w:t>
      </w:r>
    </w:p>
    <w:tbl>
      <w:tblPr>
        <w:tblStyle w:val="TableGrid"/>
        <w:tblW w:type="auto" w:w="0"/>
        <w:jc w:val="center"/>
        <w:tblLayout w:type="fixed"/>
        <w:tblLook w:firstColumn="1" w:firstRow="1" w:lastColumn="0" w:lastRow="0" w:noHBand="0" w:noVBand="1" w:val="04A0"/>
      </w:tblPr>
      <w:tblGrid>
        <w:gridCol w:w="4986"/>
        <w:gridCol w:w="4986"/>
      </w:tblGrid>
      <w:tr>
        <w:trPr>
          <w:trHeight w:hRule="atLeast"/>
          <w:tblHeader w:val="true"/>
          <w:cantSplit/>
        </w:trPr>
        <w:tc>
          <w:tcPr>
            <w:tcW w:type="dxa" w:w="1871"/>
            <w:shd w:fill="1F4E78"/>
            <w:tcMar>
              <w:top w:w="90" w:type="dxa"/>
              <w:start w:w="90" w:type="dxa"/>
              <w:bottom w:w="90" w:type="dxa"/>
              <w:end w:w="90" w:type="dxa"/>
            </w:tcMar>
            <w:vAlign w:val="center"/>
          </w:tcPr>
          <w:p>
            <w:pPr>
              <w:spacing w:before="0" w:after="0" w:line="240" w:lineRule="auto"/>
              <w:jc w:val="center"/>
            </w:pPr>
            <w:r>
              <w:rPr>
                <w:rFonts w:ascii="Noto Sans CJK SC" w:hAnsi="Noto Sans CJK SC" w:eastAsia="Noto Sans CJK SC"/>
                <w:b/>
                <w:color w:val="FFFFFF"/>
                <w:sz w:val="18"/>
              </w:rPr>
              <w:t>类别</w:t>
            </w:r>
          </w:p>
        </w:tc>
        <w:tc>
          <w:tcPr>
            <w:tcW w:type="dxa" w:w="7030"/>
            <w:shd w:fill="1F4E78"/>
            <w:tcMar>
              <w:top w:w="90" w:type="dxa"/>
              <w:start w:w="90" w:type="dxa"/>
              <w:bottom w:w="90" w:type="dxa"/>
              <w:end w:w="90" w:type="dxa"/>
            </w:tcMar>
            <w:vAlign w:val="center"/>
          </w:tcPr>
          <w:p>
            <w:pPr>
              <w:spacing w:before="0" w:after="0" w:line="240" w:lineRule="auto"/>
              <w:jc w:val="center"/>
            </w:pPr>
            <w:r>
              <w:rPr>
                <w:rFonts w:ascii="Noto Sans CJK SC" w:hAnsi="Noto Sans CJK SC" w:eastAsia="Noto Sans CJK SC"/>
                <w:b/>
                <w:color w:val="FFFFFF"/>
                <w:sz w:val="18"/>
              </w:rPr>
              <w:t>典型检查</w:t>
            </w:r>
          </w:p>
        </w:tc>
      </w:tr>
      <w:tr>
        <w:trPr>
          <w:cantSplit/>
          <w:trHeight w:hRule="atLeast"/>
        </w:trPr>
        <w:tc>
          <w:tcPr>
            <w:tcW w:type="dxa" w:w="1871"/>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账户级</w:t>
            </w:r>
          </w:p>
        </w:tc>
        <w:tc>
          <w:tcPr>
            <w:tcW w:type="dxa" w:w="7030"/>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最大总仓位、最大股票数15、最大新增金额、可用资金、当日订单数</w:t>
            </w:r>
          </w:p>
        </w:tc>
      </w:tr>
      <w:tr>
        <w:trPr>
          <w:cantSplit/>
          <w:trHeight w:hRule="atLeast"/>
        </w:trPr>
        <w:tc>
          <w:tcPr>
            <w:tcW w:type="dxa" w:w="1871"/>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股票级</w:t>
            </w:r>
          </w:p>
        </w:tc>
        <w:tc>
          <w:tcPr>
            <w:tcW w:type="dxa" w:w="7030"/>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单票最大仓位、最大金额、最大参与率、最大滑点、涨跌停/状态校验</w:t>
            </w:r>
          </w:p>
        </w:tc>
      </w:tr>
      <w:tr>
        <w:trPr>
          <w:cantSplit/>
          <w:trHeight w:hRule="atLeast"/>
        </w:trPr>
        <w:tc>
          <w:tcPr>
            <w:tcW w:type="dxa" w:w="1871"/>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行情级</w:t>
            </w:r>
          </w:p>
        </w:tc>
        <w:tc>
          <w:tcPr>
            <w:tcW w:type="dxa" w:w="7030"/>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Tick过期、时间倒退、异常价格、指数行情异常、停牌状态</w:t>
            </w:r>
          </w:p>
        </w:tc>
      </w:tr>
      <w:tr>
        <w:trPr>
          <w:cantSplit/>
          <w:trHeight w:hRule="atLeast"/>
        </w:trPr>
        <w:tc>
          <w:tcPr>
            <w:tcW w:type="dxa" w:w="1871"/>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订单级</w:t>
            </w:r>
          </w:p>
        </w:tc>
        <w:tc>
          <w:tcPr>
            <w:tcW w:type="dxa" w:w="7030"/>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最大活动订单、连续拒单、重复client_order_id、UNKNOWN订单、撤单次数</w:t>
            </w:r>
          </w:p>
        </w:tc>
      </w:tr>
      <w:tr>
        <w:trPr>
          <w:cantSplit/>
          <w:trHeight w:hRule="atLeast"/>
        </w:trPr>
        <w:tc>
          <w:tcPr>
            <w:tcW w:type="dxa" w:w="1871"/>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系统级</w:t>
            </w:r>
          </w:p>
        </w:tc>
        <w:tc>
          <w:tcPr>
            <w:tcW w:type="dxa" w:w="7030"/>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QMT连接、后台Plan合法性、系统时间、Outbox积压、重启未对账</w:t>
            </w:r>
          </w:p>
        </w:tc>
      </w:tr>
      <w:tr>
        <w:trPr>
          <w:cantSplit/>
          <w:trHeight w:hRule="atLeast"/>
        </w:trPr>
        <w:tc>
          <w:tcPr>
            <w:tcW w:type="dxa" w:w="1871"/>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控制级</w:t>
            </w:r>
          </w:p>
        </w:tc>
        <w:tc>
          <w:tcPr>
            <w:tcW w:type="dxa" w:w="7030"/>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PAUSE BUY / PAUSE SELL / SELL ONLY / MANUAL / HALT</w:t>
            </w:r>
          </w:p>
        </w:tc>
      </w:tr>
    </w:tbl>
    <w:p>
      <w:pPr>
        <w:spacing w:after="40"/>
      </w:pPr>
    </w:p>
    <w:p>
      <w:pPr>
        <w:pStyle w:val="Heading1"/>
        <w:keepNext/>
        <w:pageBreakBefore w:val="0"/>
      </w:pPr>
      <w:r>
        <w:rPr>
          <w:rFonts w:ascii="Noto Sans CJK SC" w:hAnsi="Noto Sans CJK SC" w:eastAsia="Noto Sans CJK SC"/>
          <w:b/>
          <w:color w:val="143A5F"/>
          <w:sz w:val="32"/>
        </w:rPr>
        <w:t>14. Runtime Control：暂停、SELL ONLY 与人工接管</w:t>
      </w:r>
    </w:p>
    <w:tbl>
      <w:tblPr>
        <w:tblW w:type="auto" w:w="0"/>
        <w:jc w:val="center"/>
        <w:tblLayout w:type="autofit"/>
        <w:tblLook w:firstColumn="1" w:firstRow="1" w:lastColumn="0" w:lastRow="0" w:noHBand="0" w:noVBand="1" w:val="04A0"/>
      </w:tblPr>
      <w:tblGrid>
        <w:gridCol w:w="9972"/>
      </w:tblGrid>
      <w:tr>
        <w:trPr>
          <w:trHeight w:hRule="atLeast"/>
        </w:trPr>
        <w:tc>
          <w:tcPr>
            <w:tcW w:type="dxa" w:w="9972"/>
            <w:shd w:fill="FCE4D6"/>
            <w:tcMar>
              <w:top w:w="140" w:type="dxa"/>
              <w:start w:w="180" w:type="dxa"/>
              <w:bottom w:w="140" w:type="dxa"/>
              <w:end w:w="180" w:type="dxa"/>
            </w:tcMar>
          </w:tcPr>
          <w:p>
            <w:pPr>
              <w:spacing w:before="0" w:after="60" w:line="300" w:lineRule="auto"/>
            </w:pPr>
            <w:r>
              <w:rPr>
                <w:rFonts w:ascii="Noto Sans CJK SC" w:hAnsi="Noto Sans CJK SC" w:eastAsia="Noto Sans CJK SC"/>
                <w:b/>
                <w:color w:val="194367"/>
                <w:sz w:val="21"/>
              </w:rPr>
              <w:t>重要定义</w:t>
            </w:r>
          </w:p>
          <w:p>
            <w:pPr>
              <w:spacing w:before="0" w:after="0" w:line="300" w:lineRule="auto"/>
            </w:pPr>
            <w:r>
              <w:rPr>
                <w:rFonts w:ascii="Noto Sans CJK SC" w:hAnsi="Noto Sans CJK SC" w:eastAsia="Noto Sans CJK SC"/>
                <w:sz w:val="20"/>
              </w:rPr>
              <w:t>暂停买入、暂停卖出、人工接管、SELL ONLY和Emergency Halt不是普通策略参数，而是独立Control Plane。Windows本地拥有最高紧急优先级，后台可发远程控制指令，但不能自动覆盖本地紧急Override。</w:t>
            </w:r>
          </w:p>
        </w:tc>
      </w:tr>
    </w:tbl>
    <w:p>
      <w:pPr>
        <w:spacing w:after="20"/>
      </w:pPr>
    </w:p>
    <w:p>
      <w:pPr>
        <w:pStyle w:val="Heading2"/>
        <w:keepNext/>
      </w:pPr>
      <w:r>
        <w:rPr>
          <w:rFonts w:ascii="Noto Sans CJK SC" w:hAnsi="Noto Sans CJK SC" w:eastAsia="Noto Sans CJK SC"/>
          <w:b/>
          <w:color w:val="1F4E79"/>
          <w:sz w:val="26"/>
        </w:rPr>
        <w:t>14.1 控制层级</w:t>
      </w:r>
    </w:p>
    <w:tbl>
      <w:tblPr>
        <w:tblStyle w:val="TableGrid"/>
        <w:tblW w:type="auto" w:w="0"/>
        <w:jc w:val="center"/>
        <w:tblLayout w:type="fixed"/>
        <w:tblLook w:firstColumn="1" w:firstRow="1" w:lastColumn="0" w:lastRow="0" w:noHBand="0" w:noVBand="1" w:val="04A0"/>
      </w:tblPr>
      <w:tblGrid>
        <w:gridCol w:w="4986"/>
        <w:gridCol w:w="4986"/>
      </w:tblGrid>
      <w:tr>
        <w:trPr>
          <w:trHeight w:hRule="atLeast"/>
          <w:tblHeader w:val="true"/>
          <w:cantSplit/>
        </w:trPr>
        <w:tc>
          <w:tcPr>
            <w:tcW w:type="dxa" w:w="2041"/>
            <w:shd w:fill="1F4E78"/>
            <w:tcMar>
              <w:top w:w="90" w:type="dxa"/>
              <w:start w:w="90" w:type="dxa"/>
              <w:bottom w:w="90" w:type="dxa"/>
              <w:end w:w="90" w:type="dxa"/>
            </w:tcMar>
            <w:vAlign w:val="center"/>
          </w:tcPr>
          <w:p>
            <w:pPr>
              <w:spacing w:before="0" w:after="0" w:line="240" w:lineRule="auto"/>
              <w:jc w:val="center"/>
            </w:pPr>
            <w:r>
              <w:rPr>
                <w:rFonts w:ascii="Noto Sans CJK SC" w:hAnsi="Noto Sans CJK SC" w:eastAsia="Noto Sans CJK SC"/>
                <w:b/>
                <w:color w:val="FFFFFF"/>
                <w:sz w:val="18"/>
              </w:rPr>
              <w:t>Scope</w:t>
            </w:r>
          </w:p>
        </w:tc>
        <w:tc>
          <w:tcPr>
            <w:tcW w:type="dxa" w:w="6860"/>
            <w:shd w:fill="1F4E78"/>
            <w:tcMar>
              <w:top w:w="90" w:type="dxa"/>
              <w:start w:w="90" w:type="dxa"/>
              <w:bottom w:w="90" w:type="dxa"/>
              <w:end w:w="90" w:type="dxa"/>
            </w:tcMar>
            <w:vAlign w:val="center"/>
          </w:tcPr>
          <w:p>
            <w:pPr>
              <w:spacing w:before="0" w:after="0" w:line="240" w:lineRule="auto"/>
              <w:jc w:val="center"/>
            </w:pPr>
            <w:r>
              <w:rPr>
                <w:rFonts w:ascii="Noto Sans CJK SC" w:hAnsi="Noto Sans CJK SC" w:eastAsia="Noto Sans CJK SC"/>
                <w:b/>
                <w:color w:val="FFFFFF"/>
                <w:sz w:val="18"/>
              </w:rPr>
              <w:t>控制能力</w:t>
            </w:r>
          </w:p>
        </w:tc>
      </w:tr>
      <w:tr>
        <w:trPr>
          <w:cantSplit/>
          <w:trHeight w:hRule="atLeast"/>
        </w:trPr>
        <w:tc>
          <w:tcPr>
            <w:tcW w:type="dxa" w:w="2041"/>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股票级</w:t>
            </w:r>
          </w:p>
        </w:tc>
        <w:tc>
          <w:tcPr>
            <w:tcW w:type="dxa" w:w="6860"/>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暂停该股票自动买入 / 暂停策略卖出 / MANUAL TAKEOVER / 撤活动订单 / Reconcile &amp; Resume</w:t>
            </w:r>
          </w:p>
        </w:tc>
      </w:tr>
      <w:tr>
        <w:trPr>
          <w:cantSplit/>
          <w:trHeight w:hRule="atLeast"/>
        </w:trPr>
        <w:tc>
          <w:tcPr>
            <w:tcW w:type="dxa" w:w="2041"/>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策略级</w:t>
            </w:r>
          </w:p>
        </w:tc>
        <w:tc>
          <w:tcPr>
            <w:tcW w:type="dxa" w:w="6860"/>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暂停TAIL_CLOSE买入、暂停某策略卖出，不影响其他策略</w:t>
            </w:r>
          </w:p>
        </w:tc>
      </w:tr>
      <w:tr>
        <w:trPr>
          <w:cantSplit/>
          <w:trHeight w:hRule="atLeast"/>
        </w:trPr>
        <w:tc>
          <w:tcPr>
            <w:tcW w:type="dxa" w:w="2041"/>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账户级</w:t>
            </w:r>
          </w:p>
        </w:tc>
        <w:tc>
          <w:tcPr>
            <w:tcW w:type="dxa" w:w="6860"/>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STOP BUY、PAUSE STRATEGY SELL、SELL ONLY、MANUAL CONTROL</w:t>
            </w:r>
          </w:p>
        </w:tc>
      </w:tr>
      <w:tr>
        <w:trPr>
          <w:cantSplit/>
          <w:trHeight w:hRule="atLeast"/>
        </w:trPr>
        <w:tc>
          <w:tcPr>
            <w:tcW w:type="dxa" w:w="2041"/>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系统级</w:t>
            </w:r>
          </w:p>
        </w:tc>
        <w:tc>
          <w:tcPr>
            <w:tcW w:type="dxa" w:w="6860"/>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EMERGENCY HALT：停止所有自动下单；是否撤销活动订单由明确操作选项决定</w:t>
            </w:r>
          </w:p>
        </w:tc>
      </w:tr>
    </w:tbl>
    <w:p>
      <w:pPr>
        <w:spacing w:after="40"/>
      </w:pPr>
    </w:p>
    <w:p>
      <w:pPr>
        <w:pStyle w:val="Heading2"/>
        <w:keepNext/>
      </w:pPr>
      <w:r>
        <w:rPr>
          <w:rFonts w:ascii="Noto Sans CJK SC" w:hAnsi="Noto Sans CJK SC" w:eastAsia="Noto Sans CJK SC"/>
          <w:b/>
          <w:color w:val="1F4E79"/>
          <w:sz w:val="26"/>
        </w:rPr>
        <w:t>14.2 核心模式</w:t>
      </w:r>
    </w:p>
    <w:tbl>
      <w:tblPr>
        <w:tblStyle w:val="TableGrid"/>
        <w:tblW w:type="auto" w:w="0"/>
        <w:jc w:val="center"/>
        <w:tblLayout w:type="fixed"/>
        <w:tblLook w:firstColumn="1" w:firstRow="1" w:lastColumn="0" w:lastRow="0" w:noHBand="0" w:noVBand="1" w:val="04A0"/>
      </w:tblPr>
      <w:tblGrid>
        <w:gridCol w:w="1994"/>
        <w:gridCol w:w="1994"/>
        <w:gridCol w:w="1994"/>
        <w:gridCol w:w="1994"/>
        <w:gridCol w:w="1994"/>
      </w:tblGrid>
      <w:tr>
        <w:trPr>
          <w:trHeight w:hRule="atLeast"/>
          <w:tblHeader w:val="true"/>
          <w:cantSplit/>
        </w:trPr>
        <w:tc>
          <w:tcPr>
            <w:tcW w:type="dxa" w:w="1701"/>
            <w:shd w:fill="1F4E78"/>
            <w:tcMar>
              <w:top w:w="90" w:type="dxa"/>
              <w:start w:w="90" w:type="dxa"/>
              <w:bottom w:w="90" w:type="dxa"/>
              <w:end w:w="90" w:type="dxa"/>
            </w:tcMar>
            <w:vAlign w:val="center"/>
          </w:tcPr>
          <w:p>
            <w:pPr>
              <w:spacing w:before="0" w:after="0" w:line="240" w:lineRule="auto"/>
              <w:jc w:val="center"/>
            </w:pPr>
            <w:r>
              <w:rPr>
                <w:rFonts w:ascii="Noto Sans CJK SC" w:hAnsi="Noto Sans CJK SC" w:eastAsia="Noto Sans CJK SC"/>
                <w:b/>
                <w:color w:val="FFFFFF"/>
                <w:sz w:val="18"/>
              </w:rPr>
              <w:t>模式</w:t>
            </w:r>
          </w:p>
        </w:tc>
        <w:tc>
          <w:tcPr>
            <w:tcW w:type="dxa" w:w="1531"/>
            <w:shd w:fill="1F4E78"/>
            <w:tcMar>
              <w:top w:w="90" w:type="dxa"/>
              <w:start w:w="90" w:type="dxa"/>
              <w:bottom w:w="90" w:type="dxa"/>
              <w:end w:w="90" w:type="dxa"/>
            </w:tcMar>
            <w:vAlign w:val="center"/>
          </w:tcPr>
          <w:p>
            <w:pPr>
              <w:spacing w:before="0" w:after="0" w:line="240" w:lineRule="auto"/>
              <w:jc w:val="center"/>
            </w:pPr>
            <w:r>
              <w:rPr>
                <w:rFonts w:ascii="Noto Sans CJK SC" w:hAnsi="Noto Sans CJK SC" w:eastAsia="Noto Sans CJK SC"/>
                <w:b/>
                <w:color w:val="FFFFFF"/>
                <w:sz w:val="18"/>
              </w:rPr>
              <w:t>买入</w:t>
            </w:r>
          </w:p>
        </w:tc>
        <w:tc>
          <w:tcPr>
            <w:tcW w:type="dxa" w:w="1928"/>
            <w:shd w:fill="1F4E78"/>
            <w:tcMar>
              <w:top w:w="90" w:type="dxa"/>
              <w:start w:w="90" w:type="dxa"/>
              <w:bottom w:w="90" w:type="dxa"/>
              <w:end w:w="90" w:type="dxa"/>
            </w:tcMar>
            <w:vAlign w:val="center"/>
          </w:tcPr>
          <w:p>
            <w:pPr>
              <w:spacing w:before="0" w:after="0" w:line="240" w:lineRule="auto"/>
              <w:jc w:val="center"/>
            </w:pPr>
            <w:r>
              <w:rPr>
                <w:rFonts w:ascii="Noto Sans CJK SC" w:hAnsi="Noto Sans CJK SC" w:eastAsia="Noto Sans CJK SC"/>
                <w:b/>
                <w:color w:val="FFFFFF"/>
                <w:sz w:val="18"/>
              </w:rPr>
              <w:t>策略卖出</w:t>
            </w:r>
          </w:p>
        </w:tc>
        <w:tc>
          <w:tcPr>
            <w:tcW w:type="dxa" w:w="1928"/>
            <w:shd w:fill="1F4E78"/>
            <w:tcMar>
              <w:top w:w="90" w:type="dxa"/>
              <w:start w:w="90" w:type="dxa"/>
              <w:bottom w:w="90" w:type="dxa"/>
              <w:end w:w="90" w:type="dxa"/>
            </w:tcMar>
            <w:vAlign w:val="center"/>
          </w:tcPr>
          <w:p>
            <w:pPr>
              <w:spacing w:before="0" w:after="0" w:line="240" w:lineRule="auto"/>
              <w:jc w:val="center"/>
            </w:pPr>
            <w:r>
              <w:rPr>
                <w:rFonts w:ascii="Noto Sans CJK SC" w:hAnsi="Noto Sans CJK SC" w:eastAsia="Noto Sans CJK SC"/>
                <w:b/>
                <w:color w:val="FFFFFF"/>
                <w:sz w:val="18"/>
              </w:rPr>
              <w:t>风险退出</w:t>
            </w:r>
          </w:p>
        </w:tc>
        <w:tc>
          <w:tcPr>
            <w:tcW w:type="dxa" w:w="1701"/>
            <w:shd w:fill="1F4E78"/>
            <w:tcMar>
              <w:top w:w="90" w:type="dxa"/>
              <w:start w:w="90" w:type="dxa"/>
              <w:bottom w:w="90" w:type="dxa"/>
              <w:end w:w="90" w:type="dxa"/>
            </w:tcMar>
            <w:vAlign w:val="center"/>
          </w:tcPr>
          <w:p>
            <w:pPr>
              <w:spacing w:before="0" w:after="0" w:line="240" w:lineRule="auto"/>
              <w:jc w:val="center"/>
            </w:pPr>
            <w:r>
              <w:rPr>
                <w:rFonts w:ascii="Noto Sans CJK SC" w:hAnsi="Noto Sans CJK SC" w:eastAsia="Noto Sans CJK SC"/>
                <w:b/>
                <w:color w:val="FFFFFF"/>
                <w:sz w:val="18"/>
              </w:rPr>
              <w:t>监控/对账</w:t>
            </w:r>
          </w:p>
        </w:tc>
      </w:tr>
      <w:tr>
        <w:trPr>
          <w:cantSplit/>
          <w:trHeight w:hRule="atLeast"/>
        </w:trPr>
        <w:tc>
          <w:tcPr>
            <w:tcW w:type="dxa" w:w="1701"/>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AUTO</w:t>
            </w:r>
          </w:p>
        </w:tc>
        <w:tc>
          <w:tcPr>
            <w:tcW w:type="dxa" w:w="1531"/>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允许</w:t>
            </w:r>
          </w:p>
        </w:tc>
        <w:tc>
          <w:tcPr>
            <w:tcW w:type="dxa" w:w="1928"/>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允许</w:t>
            </w:r>
          </w:p>
        </w:tc>
        <w:tc>
          <w:tcPr>
            <w:tcW w:type="dxa" w:w="1928"/>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允许</w:t>
            </w:r>
          </w:p>
        </w:tc>
        <w:tc>
          <w:tcPr>
            <w:tcW w:type="dxa" w:w="1701"/>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继续</w:t>
            </w:r>
          </w:p>
        </w:tc>
      </w:tr>
      <w:tr>
        <w:trPr>
          <w:cantSplit/>
          <w:trHeight w:hRule="atLeast"/>
        </w:trPr>
        <w:tc>
          <w:tcPr>
            <w:tcW w:type="dxa" w:w="1701"/>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PAUSE BUY</w:t>
            </w:r>
          </w:p>
        </w:tc>
        <w:tc>
          <w:tcPr>
            <w:tcW w:type="dxa" w:w="1531"/>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禁止新买入</w:t>
            </w:r>
          </w:p>
        </w:tc>
        <w:tc>
          <w:tcPr>
            <w:tcW w:type="dxa" w:w="1928"/>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允许</w:t>
            </w:r>
          </w:p>
        </w:tc>
        <w:tc>
          <w:tcPr>
            <w:tcW w:type="dxa" w:w="1928"/>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允许</w:t>
            </w:r>
          </w:p>
        </w:tc>
        <w:tc>
          <w:tcPr>
            <w:tcW w:type="dxa" w:w="1701"/>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继续</w:t>
            </w:r>
          </w:p>
        </w:tc>
      </w:tr>
      <w:tr>
        <w:trPr>
          <w:cantSplit/>
          <w:trHeight w:hRule="atLeast"/>
        </w:trPr>
        <w:tc>
          <w:tcPr>
            <w:tcW w:type="dxa" w:w="1701"/>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PAUSE STRATEGY SELL</w:t>
            </w:r>
          </w:p>
        </w:tc>
        <w:tc>
          <w:tcPr>
            <w:tcW w:type="dxa" w:w="1531"/>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允许/按买入状态</w:t>
            </w:r>
          </w:p>
        </w:tc>
        <w:tc>
          <w:tcPr>
            <w:tcW w:type="dxa" w:w="1928"/>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禁止策略性卖出</w:t>
            </w:r>
          </w:p>
        </w:tc>
        <w:tc>
          <w:tcPr>
            <w:tcW w:type="dxa" w:w="1928"/>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保留极端风险保护</w:t>
            </w:r>
          </w:p>
        </w:tc>
        <w:tc>
          <w:tcPr>
            <w:tcW w:type="dxa" w:w="1701"/>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继续</w:t>
            </w:r>
          </w:p>
        </w:tc>
      </w:tr>
      <w:tr>
        <w:trPr>
          <w:cantSplit/>
          <w:trHeight w:hRule="atLeast"/>
        </w:trPr>
        <w:tc>
          <w:tcPr>
            <w:tcW w:type="dxa" w:w="1701"/>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SELL ONLY</w:t>
            </w:r>
          </w:p>
        </w:tc>
        <w:tc>
          <w:tcPr>
            <w:tcW w:type="dxa" w:w="1531"/>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禁止</w:t>
            </w:r>
          </w:p>
        </w:tc>
        <w:tc>
          <w:tcPr>
            <w:tcW w:type="dxa" w:w="1928"/>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允许</w:t>
            </w:r>
          </w:p>
        </w:tc>
        <w:tc>
          <w:tcPr>
            <w:tcW w:type="dxa" w:w="1928"/>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允许</w:t>
            </w:r>
          </w:p>
        </w:tc>
        <w:tc>
          <w:tcPr>
            <w:tcW w:type="dxa" w:w="1701"/>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继续</w:t>
            </w:r>
          </w:p>
        </w:tc>
      </w:tr>
      <w:tr>
        <w:trPr>
          <w:cantSplit/>
          <w:trHeight w:hRule="atLeast"/>
        </w:trPr>
        <w:tc>
          <w:tcPr>
            <w:tcW w:type="dxa" w:w="1701"/>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MANUAL</w:t>
            </w:r>
          </w:p>
        </w:tc>
        <w:tc>
          <w:tcPr>
            <w:tcW w:type="dxa" w:w="1531"/>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禁止自动</w:t>
            </w:r>
          </w:p>
        </w:tc>
        <w:tc>
          <w:tcPr>
            <w:tcW w:type="dxa" w:w="1928"/>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禁止自动</w:t>
            </w:r>
          </w:p>
        </w:tc>
        <w:tc>
          <w:tcPr>
            <w:tcW w:type="dxa" w:w="1928"/>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默认禁止自动下单</w:t>
            </w:r>
          </w:p>
        </w:tc>
        <w:tc>
          <w:tcPr>
            <w:tcW w:type="dxa" w:w="1701"/>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继续计算Shadow状态</w:t>
            </w:r>
          </w:p>
        </w:tc>
      </w:tr>
      <w:tr>
        <w:trPr>
          <w:cantSplit/>
          <w:trHeight w:hRule="atLeast"/>
        </w:trPr>
        <w:tc>
          <w:tcPr>
            <w:tcW w:type="dxa" w:w="1701"/>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HALT</w:t>
            </w:r>
          </w:p>
        </w:tc>
        <w:tc>
          <w:tcPr>
            <w:tcW w:type="dxa" w:w="1531"/>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禁止</w:t>
            </w:r>
          </w:p>
        </w:tc>
        <w:tc>
          <w:tcPr>
            <w:tcW w:type="dxa" w:w="1928"/>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禁止</w:t>
            </w:r>
          </w:p>
        </w:tc>
        <w:tc>
          <w:tcPr>
            <w:tcW w:type="dxa" w:w="1928"/>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禁止自动下单</w:t>
            </w:r>
          </w:p>
        </w:tc>
        <w:tc>
          <w:tcPr>
            <w:tcW w:type="dxa" w:w="1701"/>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继续监控；人工决定</w:t>
            </w:r>
          </w:p>
        </w:tc>
      </w:tr>
    </w:tbl>
    <w:p>
      <w:pPr>
        <w:spacing w:after="40"/>
      </w:pPr>
    </w:p>
    <w:p>
      <w:pPr>
        <w:pStyle w:val="Heading2"/>
        <w:keepNext/>
      </w:pPr>
      <w:r>
        <w:rPr>
          <w:rFonts w:ascii="Noto Sans CJK SC" w:hAnsi="Noto Sans CJK SC" w:eastAsia="Noto Sans CJK SC"/>
          <w:b/>
          <w:color w:val="1F4E79"/>
          <w:sz w:val="26"/>
        </w:rPr>
        <w:t>14.3 人工接管与恢复</w:t>
      </w:r>
    </w:p>
    <w:tbl>
      <w:tblPr>
        <w:tblW w:type="auto" w:w="0"/>
        <w:jc w:val="center"/>
        <w:tblLook w:firstColumn="1" w:firstRow="1" w:lastColumn="0" w:lastRow="0" w:noHBand="0" w:noVBand="1" w:val="04A0"/>
      </w:tblPr>
      <w:tblGrid>
        <w:gridCol w:w="9972"/>
      </w:tblGrid>
      <w:tr>
        <w:trPr>
          <w:trHeight w:hRule="atLeast"/>
        </w:trPr>
        <w:tc>
          <w:tcPr>
            <w:tcW w:type="dxa" w:w="9972"/>
            <w:shd w:fill="F5F6F7"/>
            <w:tcMar>
              <w:top w:w="100" w:type="dxa"/>
              <w:start w:w="140" w:type="dxa"/>
              <w:bottom w:w="100" w:type="dxa"/>
              <w:end w:w="140" w:type="dxa"/>
            </w:tcMar>
          </w:tcPr>
          <w:p>
            <w:pPr>
              <w:spacing w:before="0" w:after="0" w:line="252" w:lineRule="auto"/>
            </w:pPr>
            <w:r>
              <w:rPr>
                <w:rFonts w:ascii="Noto Sans Mono CJK SC" w:hAnsi="Noto Sans Mono CJK SC" w:eastAsia="Noto Sans Mono CJK SC"/>
                <w:color w:val="2D3741"/>
                <w:sz w:val="17"/>
              </w:rPr>
              <w:t>AUTO</w:t>
            </w:r>
            <w:r>
              <w:rPr>
                <w:rFonts w:ascii="Noto Sans CJK SC" w:hAnsi="Noto Sans CJK SC" w:eastAsia="Noto Sans CJK SC"/>
              </w:rPr>
              <w:br/>
            </w:r>
            <w:r>
              <w:rPr>
                <w:rFonts w:ascii="Noto Sans Mono CJK SC" w:hAnsi="Noto Sans Mono CJK SC" w:eastAsia="Noto Sans Mono CJK SC"/>
                <w:color w:val="2D3741"/>
                <w:sz w:val="17"/>
              </w:rPr>
              <w:t xml:space="preserve">  ↓ 用户点击 TAKE OVER</w:t>
            </w:r>
            <w:r>
              <w:rPr>
                <w:rFonts w:ascii="Noto Sans CJK SC" w:hAnsi="Noto Sans CJK SC" w:eastAsia="Noto Sans CJK SC"/>
              </w:rPr>
              <w:br/>
            </w:r>
            <w:r>
              <w:rPr>
                <w:rFonts w:ascii="Noto Sans Mono CJK SC" w:hAnsi="Noto Sans Mono CJK SC" w:eastAsia="Noto Sans Mono CJK SC"/>
                <w:color w:val="2D3741"/>
                <w:sz w:val="17"/>
              </w:rPr>
              <w:t>MANUAL</w:t>
            </w:r>
            <w:r>
              <w:rPr>
                <w:rFonts w:ascii="Noto Sans CJK SC" w:hAnsi="Noto Sans CJK SC" w:eastAsia="Noto Sans CJK SC"/>
              </w:rPr>
              <w:br/>
            </w:r>
            <w:r>
              <w:rPr>
                <w:rFonts w:ascii="Noto Sans Mono CJK SC" w:hAnsi="Noto Sans Mono CJK SC" w:eastAsia="Noto Sans Mono CJK SC"/>
                <w:color w:val="2D3741"/>
                <w:sz w:val="17"/>
              </w:rPr>
              <w:t xml:space="preserve">  - 行情继续</w:t>
            </w:r>
            <w:r>
              <w:rPr>
                <w:rFonts w:ascii="Noto Sans CJK SC" w:hAnsi="Noto Sans CJK SC" w:eastAsia="Noto Sans CJK SC"/>
              </w:rPr>
              <w:br/>
            </w:r>
            <w:r>
              <w:rPr>
                <w:rFonts w:ascii="Noto Sans Mono CJK SC" w:hAnsi="Noto Sans Mono CJK SC" w:eastAsia="Noto Sans Mono CJK SC"/>
                <w:color w:val="2D3741"/>
                <w:sz w:val="17"/>
              </w:rPr>
              <w:t xml:space="preserve">  - peak_gain / VWAP / 成交额继续更新</w:t>
            </w:r>
            <w:r>
              <w:rPr>
                <w:rFonts w:ascii="Noto Sans CJK SC" w:hAnsi="Noto Sans CJK SC" w:eastAsia="Noto Sans CJK SC"/>
              </w:rPr>
              <w:br/>
            </w:r>
            <w:r>
              <w:rPr>
                <w:rFonts w:ascii="Noto Sans Mono CJK SC" w:hAnsi="Noto Sans Mono CJK SC" w:eastAsia="Noto Sans Mono CJK SC"/>
                <w:color w:val="2D3741"/>
                <w:sz w:val="17"/>
              </w:rPr>
              <w:t xml:space="preserve">  - Policy可Shadow计算</w:t>
            </w:r>
            <w:r>
              <w:rPr>
                <w:rFonts w:ascii="Noto Sans CJK SC" w:hAnsi="Noto Sans CJK SC" w:eastAsia="Noto Sans CJK SC"/>
              </w:rPr>
              <w:br/>
            </w:r>
            <w:r>
              <w:rPr>
                <w:rFonts w:ascii="Noto Sans Mono CJK SC" w:hAnsi="Noto Sans Mono CJK SC" w:eastAsia="Noto Sans Mono CJK SC"/>
                <w:color w:val="2D3741"/>
                <w:sz w:val="17"/>
              </w:rPr>
              <w:t xml:space="preserve">  - 不发真实订单</w:t>
            </w:r>
            <w:r>
              <w:rPr>
                <w:rFonts w:ascii="Noto Sans CJK SC" w:hAnsi="Noto Sans CJK SC" w:eastAsia="Noto Sans CJK SC"/>
              </w:rPr>
              <w:br/>
            </w:r>
            <w:r>
              <w:rPr>
                <w:rFonts w:ascii="Noto Sans Mono CJK SC" w:hAnsi="Noto Sans Mono CJK SC" w:eastAsia="Noto Sans Mono CJK SC"/>
                <w:color w:val="2D3741"/>
                <w:sz w:val="17"/>
              </w:rPr>
              <w:t xml:space="preserve">  ↓ 用户完成人工交易</w:t>
            </w:r>
            <w:r>
              <w:rPr>
                <w:rFonts w:ascii="Noto Sans CJK SC" w:hAnsi="Noto Sans CJK SC" w:eastAsia="Noto Sans CJK SC"/>
              </w:rPr>
              <w:br/>
            </w:r>
            <w:r>
              <w:rPr>
                <w:rFonts w:ascii="Noto Sans Mono CJK SC" w:hAnsi="Noto Sans Mono CJK SC" w:eastAsia="Noto Sans Mono CJK SC"/>
                <w:color w:val="2D3741"/>
                <w:sz w:val="17"/>
              </w:rPr>
              <w:t>RECONCILE &amp; RESUME</w:t>
            </w:r>
            <w:r>
              <w:rPr>
                <w:rFonts w:ascii="Noto Sans CJK SC" w:hAnsi="Noto Sans CJK SC" w:eastAsia="Noto Sans CJK SC"/>
              </w:rPr>
              <w:br/>
            </w:r>
            <w:r>
              <w:rPr>
                <w:rFonts w:ascii="Noto Sans Mono CJK SC" w:hAnsi="Noto Sans Mono CJK SC" w:eastAsia="Noto Sans Mono CJK SC"/>
                <w:color w:val="2D3741"/>
                <w:sz w:val="17"/>
              </w:rPr>
              <w:t xml:space="preserve">  ↓ 查询资产/持仓/当日委托/成交</w:t>
            </w:r>
            <w:r>
              <w:rPr>
                <w:rFonts w:ascii="Noto Sans CJK SC" w:hAnsi="Noto Sans CJK SC" w:eastAsia="Noto Sans CJK SC"/>
              </w:rPr>
              <w:br/>
            </w:r>
            <w:r>
              <w:rPr>
                <w:rFonts w:ascii="Noto Sans Mono CJK SC" w:hAnsi="Noto Sans Mono CJK SC" w:eastAsia="Noto Sans Mono CJK SC"/>
                <w:color w:val="2D3741"/>
                <w:sz w:val="17"/>
              </w:rPr>
              <w:t xml:space="preserve">  ↓ 与Runtime和后台Ledger对账</w:t>
            </w:r>
            <w:r>
              <w:rPr>
                <w:rFonts w:ascii="Noto Sans CJK SC" w:hAnsi="Noto Sans CJK SC" w:eastAsia="Noto Sans CJK SC"/>
              </w:rPr>
              <w:br/>
            </w:r>
            <w:r>
              <w:rPr>
                <w:rFonts w:ascii="Noto Sans Mono CJK SC" w:hAnsi="Noto Sans Mono CJK SC" w:eastAsia="Noto Sans Mono CJK SC"/>
                <w:color w:val="2D3741"/>
                <w:sz w:val="17"/>
              </w:rPr>
              <w:t xml:space="preserve">  ↓ 重建状态</w:t>
            </w:r>
            <w:r>
              <w:rPr>
                <w:rFonts w:ascii="Noto Sans CJK SC" w:hAnsi="Noto Sans CJK SC" w:eastAsia="Noto Sans CJK SC"/>
              </w:rPr>
              <w:br/>
            </w:r>
            <w:r>
              <w:rPr>
                <w:rFonts w:ascii="Noto Sans Mono CJK SC" w:hAnsi="Noto Sans Mono CJK SC" w:eastAsia="Noto Sans Mono CJK SC"/>
                <w:color w:val="2D3741"/>
                <w:sz w:val="17"/>
              </w:rPr>
              <w:t>AUTO / SELL_ONLY / PAUSED</w:t>
            </w:r>
          </w:p>
        </w:tc>
      </w:tr>
    </w:tbl>
    <w:p>
      <w:pPr>
        <w:spacing w:after="20"/>
      </w:pPr>
    </w:p>
    <w:p>
      <w:pPr>
        <w:spacing w:before="0" w:after="100" w:line="300" w:lineRule="auto"/>
      </w:pPr>
      <w:r>
        <w:rPr>
          <w:rFonts w:ascii="Noto Sans CJK SC" w:hAnsi="Noto Sans CJK SC" w:eastAsia="Noto Sans CJK SC"/>
        </w:rPr>
        <w:t>若用户直接在QMT客户端或中金App手工交易，Broker Collector仍需发现并标记为EXTERNAL_MANUAL_ORDER，上传中央后台，避免收益和持仓账本失真。</w:t>
      </w:r>
    </w:p>
    <w:p>
      <w:pPr>
        <w:pStyle w:val="Heading1"/>
        <w:keepNext/>
        <w:pageBreakBefore w:val="0"/>
      </w:pPr>
      <w:r>
        <w:rPr>
          <w:rFonts w:ascii="Noto Sans CJK SC" w:hAnsi="Noto Sans CJK SC" w:eastAsia="Noto Sans CJK SC"/>
          <w:b/>
          <w:color w:val="143A5F"/>
          <w:sz w:val="32"/>
        </w:rPr>
        <w:t>15. 配置治理：量化后台 vs Windows 本地</w:t>
      </w:r>
    </w:p>
    <w:p>
      <w:pPr>
        <w:pStyle w:val="Heading2"/>
        <w:keepNext/>
      </w:pPr>
      <w:r>
        <w:rPr>
          <w:rFonts w:ascii="Noto Sans CJK SC" w:hAnsi="Noto Sans CJK SC" w:eastAsia="Noto Sans CJK SC"/>
          <w:b/>
          <w:color w:val="1F4E79"/>
          <w:sz w:val="26"/>
        </w:rPr>
        <w:t>15.1 配置归属总表</w:t>
      </w:r>
    </w:p>
    <w:tbl>
      <w:tblPr>
        <w:tblStyle w:val="TableGrid"/>
        <w:tblW w:type="auto" w:w="0"/>
        <w:jc w:val="center"/>
        <w:tblLayout w:type="fixed"/>
        <w:tblLook w:firstColumn="1" w:firstRow="1" w:lastColumn="0" w:lastRow="0" w:noHBand="0" w:noVBand="1" w:val="04A0"/>
      </w:tblPr>
      <w:tblGrid>
        <w:gridCol w:w="3324"/>
        <w:gridCol w:w="3324"/>
        <w:gridCol w:w="3324"/>
      </w:tblGrid>
      <w:tr>
        <w:trPr>
          <w:trHeight w:hRule="atLeast"/>
          <w:tblHeader w:val="true"/>
          <w:cantSplit/>
        </w:trPr>
        <w:tc>
          <w:tcPr>
            <w:tcW w:type="dxa" w:w="2948"/>
            <w:shd w:fill="1F4E78"/>
            <w:tcMar>
              <w:top w:w="90" w:type="dxa"/>
              <w:start w:w="90" w:type="dxa"/>
              <w:bottom w:w="90" w:type="dxa"/>
              <w:end w:w="90" w:type="dxa"/>
            </w:tcMar>
            <w:vAlign w:val="center"/>
          </w:tcPr>
          <w:p>
            <w:pPr>
              <w:spacing w:before="0" w:after="0" w:line="240" w:lineRule="auto"/>
              <w:jc w:val="center"/>
            </w:pPr>
            <w:r>
              <w:rPr>
                <w:rFonts w:ascii="Noto Sans CJK SC" w:hAnsi="Noto Sans CJK SC" w:eastAsia="Noto Sans CJK SC"/>
                <w:b/>
                <w:color w:val="FFFFFF"/>
                <w:sz w:val="18"/>
              </w:rPr>
              <w:t>配置</w:t>
            </w:r>
          </w:p>
        </w:tc>
        <w:tc>
          <w:tcPr>
            <w:tcW w:type="dxa" w:w="2381"/>
            <w:shd w:fill="1F4E78"/>
            <w:tcMar>
              <w:top w:w="90" w:type="dxa"/>
              <w:start w:w="90" w:type="dxa"/>
              <w:bottom w:w="90" w:type="dxa"/>
              <w:end w:w="90" w:type="dxa"/>
            </w:tcMar>
            <w:vAlign w:val="center"/>
          </w:tcPr>
          <w:p>
            <w:pPr>
              <w:spacing w:before="0" w:after="0" w:line="240" w:lineRule="auto"/>
              <w:jc w:val="center"/>
            </w:pPr>
            <w:r>
              <w:rPr>
                <w:rFonts w:ascii="Noto Sans CJK SC" w:hAnsi="Noto Sans CJK SC" w:eastAsia="Noto Sans CJK SC"/>
                <w:b/>
                <w:color w:val="FFFFFF"/>
                <w:sz w:val="18"/>
              </w:rPr>
              <w:t>正式来源</w:t>
            </w:r>
          </w:p>
        </w:tc>
        <w:tc>
          <w:tcPr>
            <w:tcW w:type="dxa" w:w="3572"/>
            <w:shd w:fill="1F4E78"/>
            <w:tcMar>
              <w:top w:w="90" w:type="dxa"/>
              <w:start w:w="90" w:type="dxa"/>
              <w:bottom w:w="90" w:type="dxa"/>
              <w:end w:w="90" w:type="dxa"/>
            </w:tcMar>
            <w:vAlign w:val="center"/>
          </w:tcPr>
          <w:p>
            <w:pPr>
              <w:spacing w:before="0" w:after="0" w:line="240" w:lineRule="auto"/>
              <w:jc w:val="center"/>
            </w:pPr>
            <w:r>
              <w:rPr>
                <w:rFonts w:ascii="Noto Sans CJK SC" w:hAnsi="Noto Sans CJK SC" w:eastAsia="Noto Sans CJK SC"/>
                <w:b/>
                <w:color w:val="FFFFFF"/>
                <w:sz w:val="18"/>
              </w:rPr>
              <w:t>说明</w:t>
            </w:r>
          </w:p>
        </w:tc>
      </w:tr>
      <w:tr>
        <w:trPr>
          <w:cantSplit/>
          <w:trHeight w:hRule="atLeast"/>
        </w:trPr>
        <w:tc>
          <w:tcPr>
            <w:tcW w:type="dxa" w:w="2948"/>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选股模型、评分、过滤</w:t>
            </w:r>
          </w:p>
        </w:tc>
        <w:tc>
          <w:tcPr>
            <w:tcW w:type="dxa" w:w="2381"/>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后台</w:t>
            </w:r>
          </w:p>
        </w:tc>
        <w:tc>
          <w:tcPr>
            <w:tcW w:type="dxa" w:w="3572"/>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Windows只接收结果</w:t>
            </w:r>
          </w:p>
        </w:tc>
      </w:tr>
      <w:tr>
        <w:trPr>
          <w:cantSplit/>
          <w:trHeight w:hRule="atLeast"/>
        </w:trPr>
        <w:tc>
          <w:tcPr>
            <w:tcW w:type="dxa" w:w="2948"/>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目标总仓位/目标权重</w:t>
            </w:r>
          </w:p>
        </w:tc>
        <w:tc>
          <w:tcPr>
            <w:tcW w:type="dxa" w:w="2381"/>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后台</w:t>
            </w:r>
          </w:p>
        </w:tc>
        <w:tc>
          <w:tcPr>
            <w:tcW w:type="dxa" w:w="3572"/>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TradePlan固化</w:t>
            </w:r>
          </w:p>
        </w:tc>
      </w:tr>
      <w:tr>
        <w:trPr>
          <w:cantSplit/>
          <w:trHeight w:hRule="atLeast"/>
        </w:trPr>
        <w:tc>
          <w:tcPr>
            <w:tcW w:type="dxa" w:w="2948"/>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Entry Policy</w:t>
            </w:r>
          </w:p>
        </w:tc>
        <w:tc>
          <w:tcPr>
            <w:tcW w:type="dxa" w:w="2381"/>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后台</w:t>
            </w:r>
          </w:p>
        </w:tc>
        <w:tc>
          <w:tcPr>
            <w:tcW w:type="dxa" w:w="3572"/>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版本化、回测、审计</w:t>
            </w:r>
          </w:p>
        </w:tc>
      </w:tr>
      <w:tr>
        <w:trPr>
          <w:cantSplit/>
          <w:trHeight w:hRule="atLeast"/>
        </w:trPr>
        <w:tc>
          <w:tcPr>
            <w:tcW w:type="dxa" w:w="2948"/>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Exit Policy</w:t>
            </w:r>
          </w:p>
        </w:tc>
        <w:tc>
          <w:tcPr>
            <w:tcW w:type="dxa" w:w="2381"/>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后台</w:t>
            </w:r>
          </w:p>
        </w:tc>
        <w:tc>
          <w:tcPr>
            <w:tcW w:type="dxa" w:w="3572"/>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版本化、Shadow对比</w:t>
            </w:r>
          </w:p>
        </w:tc>
      </w:tr>
      <w:tr>
        <w:trPr>
          <w:cantSplit/>
          <w:trHeight w:hRule="atLeast"/>
        </w:trPr>
        <w:tc>
          <w:tcPr>
            <w:tcW w:type="dxa" w:w="2948"/>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普通Risk Policy</w:t>
            </w:r>
          </w:p>
        </w:tc>
        <w:tc>
          <w:tcPr>
            <w:tcW w:type="dxa" w:w="2381"/>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后台</w:t>
            </w:r>
          </w:p>
        </w:tc>
        <w:tc>
          <w:tcPr>
            <w:tcW w:type="dxa" w:w="3572"/>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策略层风险</w:t>
            </w:r>
          </w:p>
        </w:tc>
      </w:tr>
      <w:tr>
        <w:trPr>
          <w:cantSplit/>
          <w:trHeight w:hRule="atLeast"/>
        </w:trPr>
        <w:tc>
          <w:tcPr>
            <w:tcW w:type="dxa" w:w="2948"/>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Execution Policy/滑点/参与率</w:t>
            </w:r>
          </w:p>
        </w:tc>
        <w:tc>
          <w:tcPr>
            <w:tcW w:type="dxa" w:w="2381"/>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后台</w:t>
            </w:r>
          </w:p>
        </w:tc>
        <w:tc>
          <w:tcPr>
            <w:tcW w:type="dxa" w:w="3572"/>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正式策略版本一部分</w:t>
            </w:r>
          </w:p>
        </w:tc>
      </w:tr>
      <w:tr>
        <w:trPr>
          <w:cantSplit/>
          <w:trHeight w:hRule="atLeast"/>
        </w:trPr>
        <w:tc>
          <w:tcPr>
            <w:tcW w:type="dxa" w:w="2948"/>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QMT路径/账号/连接</w:t>
            </w:r>
          </w:p>
        </w:tc>
        <w:tc>
          <w:tcPr>
            <w:tcW w:type="dxa" w:w="2381"/>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Windows</w:t>
            </w:r>
          </w:p>
        </w:tc>
        <w:tc>
          <w:tcPr>
            <w:tcW w:type="dxa" w:w="3572"/>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机器级配置</w:t>
            </w:r>
          </w:p>
        </w:tc>
      </w:tr>
      <w:tr>
        <w:trPr>
          <w:cantSplit/>
          <w:trHeight w:hRule="atLeast"/>
        </w:trPr>
        <w:tc>
          <w:tcPr>
            <w:tcW w:type="dxa" w:w="2948"/>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后台API/网络/Outbox路径</w:t>
            </w:r>
          </w:p>
        </w:tc>
        <w:tc>
          <w:tcPr>
            <w:tcW w:type="dxa" w:w="2381"/>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Windows</w:t>
            </w:r>
          </w:p>
        </w:tc>
        <w:tc>
          <w:tcPr>
            <w:tcW w:type="dxa" w:w="3572"/>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基础设施</w:t>
            </w:r>
          </w:p>
        </w:tc>
      </w:tr>
      <w:tr>
        <w:trPr>
          <w:cantSplit/>
          <w:trHeight w:hRule="atLeast"/>
        </w:trPr>
        <w:tc>
          <w:tcPr>
            <w:tcW w:type="dxa" w:w="2948"/>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Watchdog/自动启动/日志</w:t>
            </w:r>
          </w:p>
        </w:tc>
        <w:tc>
          <w:tcPr>
            <w:tcW w:type="dxa" w:w="2381"/>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Windows</w:t>
            </w:r>
          </w:p>
        </w:tc>
        <w:tc>
          <w:tcPr>
            <w:tcW w:type="dxa" w:w="3572"/>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基础设施</w:t>
            </w:r>
          </w:p>
        </w:tc>
      </w:tr>
      <w:tr>
        <w:trPr>
          <w:cantSplit/>
          <w:trHeight w:hRule="atLeast"/>
        </w:trPr>
        <w:tc>
          <w:tcPr>
            <w:tcW w:type="dxa" w:w="2948"/>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Hard Safety Limits</w:t>
            </w:r>
          </w:p>
        </w:tc>
        <w:tc>
          <w:tcPr>
            <w:tcW w:type="dxa" w:w="2381"/>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Windows</w:t>
            </w:r>
          </w:p>
        </w:tc>
        <w:tc>
          <w:tcPr>
            <w:tcW w:type="dxa" w:w="3572"/>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不可被后台突破</w:t>
            </w:r>
          </w:p>
        </w:tc>
      </w:tr>
      <w:tr>
        <w:trPr>
          <w:cantSplit/>
          <w:trHeight w:hRule="atLeast"/>
        </w:trPr>
        <w:tc>
          <w:tcPr>
            <w:tcW w:type="dxa" w:w="2948"/>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PAUSE BUY/SELL、SELL ONLY</w:t>
            </w:r>
          </w:p>
        </w:tc>
        <w:tc>
          <w:tcPr>
            <w:tcW w:type="dxa" w:w="2381"/>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Windows主控 + 后台同步</w:t>
            </w:r>
          </w:p>
        </w:tc>
        <w:tc>
          <w:tcPr>
            <w:tcW w:type="dxa" w:w="3572"/>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运行时控制</w:t>
            </w:r>
          </w:p>
        </w:tc>
      </w:tr>
      <w:tr>
        <w:trPr>
          <w:cantSplit/>
          <w:trHeight w:hRule="atLeast"/>
        </w:trPr>
        <w:tc>
          <w:tcPr>
            <w:tcW w:type="dxa" w:w="2948"/>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人工接管/HALT</w:t>
            </w:r>
          </w:p>
        </w:tc>
        <w:tc>
          <w:tcPr>
            <w:tcW w:type="dxa" w:w="2381"/>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Windows</w:t>
            </w:r>
          </w:p>
        </w:tc>
        <w:tc>
          <w:tcPr>
            <w:tcW w:type="dxa" w:w="3572"/>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本地最高优先级</w:t>
            </w:r>
          </w:p>
        </w:tc>
      </w:tr>
    </w:tbl>
    <w:p>
      <w:pPr>
        <w:spacing w:after="40"/>
      </w:pPr>
    </w:p>
    <w:p>
      <w:pPr>
        <w:pStyle w:val="Heading2"/>
        <w:keepNext/>
      </w:pPr>
      <w:r>
        <w:rPr>
          <w:rFonts w:ascii="Noto Sans CJK SC" w:hAnsi="Noto Sans CJK SC" w:eastAsia="Noto Sans CJK SC"/>
          <w:b/>
          <w:color w:val="1F4E79"/>
          <w:sz w:val="26"/>
        </w:rPr>
        <w:t>15.2 配置优先级</w:t>
      </w:r>
    </w:p>
    <w:tbl>
      <w:tblPr>
        <w:tblW w:type="auto" w:w="0"/>
        <w:jc w:val="center"/>
        <w:tblLook w:firstColumn="1" w:firstRow="1" w:lastColumn="0" w:lastRow="0" w:noHBand="0" w:noVBand="1" w:val="04A0"/>
      </w:tblPr>
      <w:tblGrid>
        <w:gridCol w:w="9972"/>
      </w:tblGrid>
      <w:tr>
        <w:trPr>
          <w:trHeight w:hRule="atLeast"/>
        </w:trPr>
        <w:tc>
          <w:tcPr>
            <w:tcW w:type="dxa" w:w="9972"/>
            <w:shd w:fill="F5F6F7"/>
            <w:tcMar>
              <w:top w:w="100" w:type="dxa"/>
              <w:start w:w="140" w:type="dxa"/>
              <w:bottom w:w="100" w:type="dxa"/>
              <w:end w:w="140" w:type="dxa"/>
            </w:tcMar>
          </w:tcPr>
          <w:p>
            <w:pPr>
              <w:spacing w:before="0" w:after="0" w:line="252" w:lineRule="auto"/>
            </w:pPr>
            <w:r>
              <w:rPr>
                <w:rFonts w:ascii="Noto Sans Mono CJK SC" w:hAnsi="Noto Sans Mono CJK SC" w:eastAsia="Noto Sans Mono CJK SC"/>
                <w:color w:val="2D3741"/>
                <w:sz w:val="17"/>
              </w:rPr>
              <w:t>1. Windows Hard Safety Limits</w:t>
            </w:r>
            <w:r>
              <w:rPr>
                <w:rFonts w:ascii="Noto Sans CJK SC" w:hAnsi="Noto Sans CJK SC" w:eastAsia="Noto Sans CJK SC"/>
              </w:rPr>
              <w:br/>
            </w:r>
            <w:r>
              <w:rPr>
                <w:rFonts w:ascii="Noto Sans Mono CJK SC" w:hAnsi="Noto Sans Mono CJK SC" w:eastAsia="Noto Sans Mono CJK SC"/>
                <w:color w:val="2D3741"/>
                <w:sz w:val="17"/>
              </w:rPr>
              <w:t>2. Windows Local Emergency / Manual Override</w:t>
            </w:r>
            <w:r>
              <w:rPr>
                <w:rFonts w:ascii="Noto Sans CJK SC" w:hAnsi="Noto Sans CJK SC" w:eastAsia="Noto Sans CJK SC"/>
              </w:rPr>
              <w:br/>
            </w:r>
            <w:r>
              <w:rPr>
                <w:rFonts w:ascii="Noto Sans Mono CJK SC" w:hAnsi="Noto Sans Mono CJK SC" w:eastAsia="Noto Sans Mono CJK SC"/>
                <w:color w:val="2D3741"/>
                <w:sz w:val="17"/>
              </w:rPr>
              <w:t>3. Backend Remote Runtime Command</w:t>
            </w:r>
            <w:r>
              <w:rPr>
                <w:rFonts w:ascii="Noto Sans CJK SC" w:hAnsi="Noto Sans CJK SC" w:eastAsia="Noto Sans CJK SC"/>
              </w:rPr>
              <w:br/>
            </w:r>
            <w:r>
              <w:rPr>
                <w:rFonts w:ascii="Noto Sans Mono CJK SC" w:hAnsi="Noto Sans Mono CJK SC" w:eastAsia="Noto Sans Mono CJK SC"/>
                <w:color w:val="2D3741"/>
                <w:sz w:val="17"/>
              </w:rPr>
              <w:t>4. TradePlan</w:t>
            </w:r>
            <w:r>
              <w:rPr>
                <w:rFonts w:ascii="Noto Sans CJK SC" w:hAnsi="Noto Sans CJK SC" w:eastAsia="Noto Sans CJK SC"/>
              </w:rPr>
              <w:br/>
            </w:r>
            <w:r>
              <w:rPr>
                <w:rFonts w:ascii="Noto Sans Mono CJK SC" w:hAnsi="Noto Sans Mono CJK SC" w:eastAsia="Noto Sans Mono CJK SC"/>
                <w:color w:val="2D3741"/>
                <w:sz w:val="17"/>
              </w:rPr>
              <w:t>5. Strategy / Policy Configuration</w:t>
            </w:r>
          </w:p>
        </w:tc>
      </w:tr>
    </w:tbl>
    <w:p>
      <w:pPr>
        <w:spacing w:after="20"/>
      </w:pPr>
    </w:p>
    <w:p>
      <w:pPr>
        <w:spacing w:before="0" w:after="100" w:line="300" w:lineRule="auto"/>
      </w:pPr>
      <w:r>
        <w:rPr>
          <w:rFonts w:ascii="Noto Sans CJK SC" w:hAnsi="Noto Sans CJK SC" w:eastAsia="Noto Sans CJK SC"/>
        </w:rPr>
        <w:t>例如后台Plan要求继续买入，但Windows本地已PAUSE BUY，则不得买入；必须显式CLEAR LOCAL OVERRIDE后才可恢复。</w:t>
      </w:r>
    </w:p>
    <w:p>
      <w:pPr>
        <w:pStyle w:val="Heading2"/>
        <w:keepNext/>
      </w:pPr>
      <w:r>
        <w:rPr>
          <w:rFonts w:ascii="Noto Sans CJK SC" w:hAnsi="Noto Sans CJK SC" w:eastAsia="Noto Sans CJK SC"/>
          <w:b/>
          <w:color w:val="1F4E79"/>
          <w:sz w:val="26"/>
        </w:rPr>
        <w:t>15.3 配置变更审计</w:t>
      </w:r>
    </w:p>
    <w:p>
      <w:pPr>
        <w:pStyle w:val="ListBullet"/>
        <w:spacing w:before="0" w:after="40" w:line="300" w:lineRule="auto"/>
      </w:pPr>
      <w:r>
        <w:rPr>
          <w:rFonts w:ascii="Noto Sans CJK SC" w:hAnsi="Noto Sans CJK SC" w:eastAsia="Noto Sans CJK SC"/>
          <w:sz w:val="21"/>
        </w:rPr>
        <w:t>所有后台策略Policy都有version、effective_at、author、change_note。</w:t>
      </w:r>
    </w:p>
    <w:p>
      <w:pPr>
        <w:pStyle w:val="ListBullet"/>
        <w:spacing w:before="0" w:after="40" w:line="300" w:lineRule="auto"/>
      </w:pPr>
      <w:r>
        <w:rPr>
          <w:rFonts w:ascii="Noto Sans CJK SC" w:hAnsi="Noto Sans CJK SC" w:eastAsia="Noto Sans CJK SC"/>
          <w:sz w:val="21"/>
        </w:rPr>
        <w:t>Windows基础设施配置修改采用Edit → Validate → Apply，关键项需重启runtime后生效。</w:t>
      </w:r>
    </w:p>
    <w:p>
      <w:pPr>
        <w:pStyle w:val="ListBullet"/>
        <w:spacing w:before="0" w:after="40" w:line="300" w:lineRule="auto"/>
      </w:pPr>
      <w:r>
        <w:rPr>
          <w:rFonts w:ascii="Noto Sans CJK SC" w:hAnsi="Noto Sans CJK SC" w:eastAsia="Noto Sans CJK SC"/>
          <w:sz w:val="21"/>
        </w:rPr>
        <w:t>任何运行时Override保存operator、old_state、new_state、reason、timestamp并同步后台。</w:t>
      </w:r>
    </w:p>
    <w:p>
      <w:pPr>
        <w:pStyle w:val="ListBullet"/>
        <w:spacing w:before="0" w:after="40" w:line="300" w:lineRule="auto"/>
      </w:pPr>
      <w:r>
        <w:rPr>
          <w:rFonts w:ascii="Noto Sans CJK SC" w:hAnsi="Noto Sans CJK SC" w:eastAsia="Noto Sans CJK SC"/>
          <w:sz w:val="21"/>
        </w:rPr>
        <w:t>实盘交易记录保存selection_version、entry_version、exit_version、risk_version、execution_version。</w:t>
      </w:r>
    </w:p>
    <w:p>
      <w:pPr>
        <w:pStyle w:val="Heading1"/>
        <w:keepNext/>
        <w:pageBreakBefore w:val="0"/>
      </w:pPr>
      <w:r>
        <w:rPr>
          <w:rFonts w:ascii="Noto Sans CJK SC" w:hAnsi="Noto Sans CJK SC" w:eastAsia="Noto Sans CJK SC"/>
          <w:b/>
          <w:color w:val="143A5F"/>
          <w:sz w:val="32"/>
        </w:rPr>
        <w:t>16. 状态、Outbox、中央交易账本与数据同步</w:t>
      </w:r>
    </w:p>
    <w:p>
      <w:pPr>
        <w:pStyle w:val="Heading2"/>
        <w:keepNext/>
      </w:pPr>
      <w:r>
        <w:rPr>
          <w:rFonts w:ascii="Noto Sans CJK SC" w:hAnsi="Noto Sans CJK SC" w:eastAsia="Noto Sans CJK SC"/>
          <w:b/>
          <w:color w:val="1F4E79"/>
          <w:sz w:val="26"/>
        </w:rPr>
        <w:t>16.1 Windows不使用完整业务数据库</w:t>
      </w:r>
    </w:p>
    <w:tbl>
      <w:tblPr>
        <w:tblStyle w:val="TableGrid"/>
        <w:tblW w:type="auto" w:w="0"/>
        <w:jc w:val="center"/>
        <w:tblLayout w:type="fixed"/>
        <w:tblLook w:firstColumn="1" w:firstRow="1" w:lastColumn="0" w:lastRow="0" w:noHBand="0" w:noVBand="1" w:val="04A0"/>
      </w:tblPr>
      <w:tblGrid>
        <w:gridCol w:w="3324"/>
        <w:gridCol w:w="3324"/>
        <w:gridCol w:w="3324"/>
      </w:tblGrid>
      <w:tr>
        <w:trPr>
          <w:trHeight w:hRule="atLeast"/>
          <w:tblHeader w:val="true"/>
          <w:cantSplit/>
        </w:trPr>
        <w:tc>
          <w:tcPr>
            <w:tcW w:type="dxa" w:w="2494"/>
            <w:shd w:fill="1F4E78"/>
            <w:tcMar>
              <w:top w:w="90" w:type="dxa"/>
              <w:start w:w="90" w:type="dxa"/>
              <w:bottom w:w="90" w:type="dxa"/>
              <w:end w:w="90" w:type="dxa"/>
            </w:tcMar>
            <w:vAlign w:val="center"/>
          </w:tcPr>
          <w:p>
            <w:pPr>
              <w:spacing w:before="0" w:after="0" w:line="240" w:lineRule="auto"/>
              <w:jc w:val="center"/>
            </w:pPr>
            <w:r>
              <w:rPr>
                <w:rFonts w:ascii="Noto Sans CJK SC" w:hAnsi="Noto Sans CJK SC" w:eastAsia="Noto Sans CJK SC"/>
                <w:b/>
                <w:color w:val="FFFFFF"/>
                <w:sz w:val="18"/>
              </w:rPr>
              <w:t>数据类型</w:t>
            </w:r>
          </w:p>
        </w:tc>
        <w:tc>
          <w:tcPr>
            <w:tcW w:type="dxa" w:w="3005"/>
            <w:shd w:fill="1F4E78"/>
            <w:tcMar>
              <w:top w:w="90" w:type="dxa"/>
              <w:start w:w="90" w:type="dxa"/>
              <w:bottom w:w="90" w:type="dxa"/>
              <w:end w:w="90" w:type="dxa"/>
            </w:tcMar>
            <w:vAlign w:val="center"/>
          </w:tcPr>
          <w:p>
            <w:pPr>
              <w:spacing w:before="0" w:after="0" w:line="240" w:lineRule="auto"/>
              <w:jc w:val="center"/>
            </w:pPr>
            <w:r>
              <w:rPr>
                <w:rFonts w:ascii="Noto Sans CJK SC" w:hAnsi="Noto Sans CJK SC" w:eastAsia="Noto Sans CJK SC"/>
                <w:b/>
                <w:color w:val="FFFFFF"/>
                <w:sz w:val="18"/>
              </w:rPr>
              <w:t>Windows</w:t>
            </w:r>
          </w:p>
        </w:tc>
        <w:tc>
          <w:tcPr>
            <w:tcW w:type="dxa" w:w="3345"/>
            <w:shd w:fill="1F4E78"/>
            <w:tcMar>
              <w:top w:w="90" w:type="dxa"/>
              <w:start w:w="90" w:type="dxa"/>
              <w:bottom w:w="90" w:type="dxa"/>
              <w:end w:w="90" w:type="dxa"/>
            </w:tcMar>
            <w:vAlign w:val="center"/>
          </w:tcPr>
          <w:p>
            <w:pPr>
              <w:spacing w:before="0" w:after="0" w:line="240" w:lineRule="auto"/>
              <w:jc w:val="center"/>
            </w:pPr>
            <w:r>
              <w:rPr>
                <w:rFonts w:ascii="Noto Sans CJK SC" w:hAnsi="Noto Sans CJK SC" w:eastAsia="Noto Sans CJK SC"/>
                <w:b/>
                <w:color w:val="FFFFFF"/>
                <w:sz w:val="18"/>
              </w:rPr>
              <w:t>中央后台</w:t>
            </w:r>
          </w:p>
        </w:tc>
      </w:tr>
      <w:tr>
        <w:trPr>
          <w:cantSplit/>
          <w:trHeight w:hRule="atLeast"/>
        </w:trPr>
        <w:tc>
          <w:tcPr>
            <w:tcW w:type="dxa" w:w="2494"/>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实时价格/峰值/VWAP</w:t>
            </w:r>
          </w:p>
        </w:tc>
        <w:tc>
          <w:tcPr>
            <w:tcW w:type="dxa" w:w="3005"/>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内存</w:t>
            </w:r>
          </w:p>
        </w:tc>
        <w:tc>
          <w:tcPr>
            <w:tcW w:type="dxa" w:w="3345"/>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可选镜像/行情中心</w:t>
            </w:r>
          </w:p>
        </w:tc>
      </w:tr>
      <w:tr>
        <w:trPr>
          <w:cantSplit/>
          <w:trHeight w:hRule="atLeast"/>
        </w:trPr>
        <w:tc>
          <w:tcPr>
            <w:tcW w:type="dxa" w:w="2494"/>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Runtime订单状态</w:t>
            </w:r>
          </w:p>
        </w:tc>
        <w:tc>
          <w:tcPr>
            <w:tcW w:type="dxa" w:w="3005"/>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内存 + checkpoint</w:t>
            </w:r>
          </w:p>
        </w:tc>
        <w:tc>
          <w:tcPr>
            <w:tcW w:type="dxa" w:w="3345"/>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中央订单事实</w:t>
            </w:r>
          </w:p>
        </w:tc>
      </w:tr>
      <w:tr>
        <w:trPr>
          <w:cantSplit/>
          <w:trHeight w:hRule="atLeast"/>
        </w:trPr>
        <w:tc>
          <w:tcPr>
            <w:tcW w:type="dxa" w:w="2494"/>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当前Plan</w:t>
            </w:r>
          </w:p>
        </w:tc>
        <w:tc>
          <w:tcPr>
            <w:tcW w:type="dxa" w:w="3005"/>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本地原子文件 + 内存</w:t>
            </w:r>
          </w:p>
        </w:tc>
        <w:tc>
          <w:tcPr>
            <w:tcW w:type="dxa" w:w="3345"/>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正式Plan源</w:t>
            </w:r>
          </w:p>
        </w:tc>
      </w:tr>
      <w:tr>
        <w:trPr>
          <w:cantSplit/>
          <w:trHeight w:hRule="atLeast"/>
        </w:trPr>
        <w:tc>
          <w:tcPr>
            <w:tcW w:type="dxa" w:w="2494"/>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未上传事件</w:t>
            </w:r>
          </w:p>
        </w:tc>
        <w:tc>
          <w:tcPr>
            <w:tcW w:type="dxa" w:w="3005"/>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Durable Outbox</w:t>
            </w:r>
          </w:p>
        </w:tc>
        <w:tc>
          <w:tcPr>
            <w:tcW w:type="dxa" w:w="3345"/>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ACK后入账</w:t>
            </w:r>
          </w:p>
        </w:tc>
      </w:tr>
      <w:tr>
        <w:trPr>
          <w:cantSplit/>
          <w:trHeight w:hRule="atLeast"/>
        </w:trPr>
        <w:tc>
          <w:tcPr>
            <w:tcW w:type="dxa" w:w="2494"/>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完整历史账本</w:t>
            </w:r>
          </w:p>
        </w:tc>
        <w:tc>
          <w:tcPr>
            <w:tcW w:type="dxa" w:w="3005"/>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不保存</w:t>
            </w:r>
          </w:p>
        </w:tc>
        <w:tc>
          <w:tcPr>
            <w:tcW w:type="dxa" w:w="3345"/>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MySQL</w:t>
            </w:r>
          </w:p>
        </w:tc>
      </w:tr>
      <w:tr>
        <w:trPr>
          <w:cantSplit/>
          <w:trHeight w:hRule="atLeast"/>
        </w:trPr>
        <w:tc>
          <w:tcPr>
            <w:tcW w:type="dxa" w:w="2494"/>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收益/净值/报表</w:t>
            </w:r>
          </w:p>
        </w:tc>
        <w:tc>
          <w:tcPr>
            <w:tcW w:type="dxa" w:w="3005"/>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不计算最终值</w:t>
            </w:r>
          </w:p>
        </w:tc>
        <w:tc>
          <w:tcPr>
            <w:tcW w:type="dxa" w:w="3345"/>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MySQL/后台服务</w:t>
            </w:r>
          </w:p>
        </w:tc>
      </w:tr>
    </w:tbl>
    <w:p>
      <w:pPr>
        <w:spacing w:after="40"/>
      </w:pPr>
    </w:p>
    <w:p>
      <w:pPr>
        <w:pStyle w:val="Heading2"/>
        <w:keepNext/>
      </w:pPr>
      <w:r>
        <w:rPr>
          <w:rFonts w:ascii="Noto Sans CJK SC" w:hAnsi="Noto Sans CJK SC" w:eastAsia="Noto Sans CJK SC"/>
          <w:b/>
          <w:color w:val="1F4E79"/>
          <w:sz w:val="26"/>
        </w:rPr>
        <w:t>16.2 Durable Outbox</w:t>
      </w:r>
    </w:p>
    <w:tbl>
      <w:tblPr>
        <w:tblW w:type="auto" w:w="0"/>
        <w:jc w:val="center"/>
        <w:tblLook w:firstColumn="1" w:firstRow="1" w:lastColumn="0" w:lastRow="0" w:noHBand="0" w:noVBand="1" w:val="04A0"/>
      </w:tblPr>
      <w:tblGrid>
        <w:gridCol w:w="9972"/>
      </w:tblGrid>
      <w:tr>
        <w:trPr>
          <w:trHeight w:hRule="atLeast"/>
        </w:trPr>
        <w:tc>
          <w:tcPr>
            <w:tcW w:type="dxa" w:w="9972"/>
            <w:shd w:fill="F5F6F7"/>
            <w:tcMar>
              <w:top w:w="100" w:type="dxa"/>
              <w:start w:w="140" w:type="dxa"/>
              <w:bottom w:w="100" w:type="dxa"/>
              <w:end w:w="140" w:type="dxa"/>
            </w:tcMar>
          </w:tcPr>
          <w:p>
            <w:pPr>
              <w:spacing w:before="0" w:after="0" w:line="252" w:lineRule="auto"/>
            </w:pPr>
            <w:r>
              <w:rPr>
                <w:rFonts w:ascii="Noto Sans Mono CJK SC" w:hAnsi="Noto Sans Mono CJK SC" w:eastAsia="Noto Sans Mono CJK SC"/>
                <w:color w:val="2D3741"/>
                <w:sz w:val="17"/>
              </w:rPr>
              <w:t>事件产生</w:t>
            </w:r>
            <w:r>
              <w:rPr>
                <w:rFonts w:ascii="Noto Sans CJK SC" w:hAnsi="Noto Sans CJK SC" w:eastAsia="Noto Sans CJK SC"/>
              </w:rPr>
              <w:br/>
            </w:r>
            <w:r>
              <w:rPr>
                <w:rFonts w:ascii="Noto Sans Mono CJK SC" w:hAnsi="Noto Sans Mono CJK SC" w:eastAsia="Noto Sans Mono CJK SC"/>
                <w:color w:val="2D3741"/>
                <w:sz w:val="17"/>
              </w:rPr>
              <w:t xml:space="preserve"> → 写 batch.tmp</w:t>
            </w:r>
            <w:r>
              <w:rPr>
                <w:rFonts w:ascii="Noto Sans CJK SC" w:hAnsi="Noto Sans CJK SC" w:eastAsia="Noto Sans CJK SC"/>
              </w:rPr>
              <w:br/>
            </w:r>
            <w:r>
              <w:rPr>
                <w:rFonts w:ascii="Noto Sans Mono CJK SC" w:hAnsi="Noto Sans Mono CJK SC" w:eastAsia="Noto Sans Mono CJK SC"/>
                <w:color w:val="2D3741"/>
                <w:sz w:val="17"/>
              </w:rPr>
              <w:t xml:space="preserve"> → fsync</w:t>
            </w:r>
            <w:r>
              <w:rPr>
                <w:rFonts w:ascii="Noto Sans CJK SC" w:hAnsi="Noto Sans CJK SC" w:eastAsia="Noto Sans CJK SC"/>
              </w:rPr>
              <w:br/>
            </w:r>
            <w:r>
              <w:rPr>
                <w:rFonts w:ascii="Noto Sans Mono CJK SC" w:hAnsi="Noto Sans Mono CJK SC" w:eastAsia="Noto Sans Mono CJK SC"/>
                <w:color w:val="2D3741"/>
                <w:sz w:val="17"/>
              </w:rPr>
              <w:t xml:space="preserve"> → atomic rename 到 spool/pending/</w:t>
            </w:r>
            <w:r>
              <w:rPr>
                <w:rFonts w:ascii="Noto Sans CJK SC" w:hAnsi="Noto Sans CJK SC" w:eastAsia="Noto Sans CJK SC"/>
              </w:rPr>
              <w:br/>
            </w:r>
            <w:r>
              <w:rPr>
                <w:rFonts w:ascii="Noto Sans Mono CJK SC" w:hAnsi="Noto Sans Mono CJK SC" w:eastAsia="Noto Sans Mono CJK SC"/>
                <w:color w:val="2D3741"/>
                <w:sz w:val="17"/>
              </w:rPr>
              <w:t xml:space="preserve"> → sync-agent批量上传</w:t>
            </w:r>
            <w:r>
              <w:rPr>
                <w:rFonts w:ascii="Noto Sans CJK SC" w:hAnsi="Noto Sans CJK SC" w:eastAsia="Noto Sans CJK SC"/>
              </w:rPr>
              <w:br/>
            </w:r>
            <w:r>
              <w:rPr>
                <w:rFonts w:ascii="Noto Sans Mono CJK SC" w:hAnsi="Noto Sans Mono CJK SC" w:eastAsia="Noto Sans Mono CJK SC"/>
                <w:color w:val="2D3741"/>
                <w:sz w:val="17"/>
              </w:rPr>
              <w:t xml:space="preserve"> → 后台按 event_id 幂等入库</w:t>
            </w:r>
            <w:r>
              <w:rPr>
                <w:rFonts w:ascii="Noto Sans CJK SC" w:hAnsi="Noto Sans CJK SC" w:eastAsia="Noto Sans CJK SC"/>
              </w:rPr>
              <w:br/>
            </w:r>
            <w:r>
              <w:rPr>
                <w:rFonts w:ascii="Noto Sans Mono CJK SC" w:hAnsi="Noto Sans Mono CJK SC" w:eastAsia="Noto Sans Mono CJK SC"/>
                <w:color w:val="2D3741"/>
                <w:sz w:val="17"/>
              </w:rPr>
              <w:t xml:space="preserve"> → 返回ACK</w:t>
            </w:r>
            <w:r>
              <w:rPr>
                <w:rFonts w:ascii="Noto Sans CJK SC" w:hAnsi="Noto Sans CJK SC" w:eastAsia="Noto Sans CJK SC"/>
              </w:rPr>
              <w:br/>
            </w:r>
            <w:r>
              <w:rPr>
                <w:rFonts w:ascii="Noto Sans Mono CJK SC" w:hAnsi="Noto Sans Mono CJK SC" w:eastAsia="Noto Sans Mono CJK SC"/>
                <w:color w:val="2D3741"/>
                <w:sz w:val="17"/>
              </w:rPr>
              <w:t xml:space="preserve"> → 移到acked/或删除</w:t>
            </w:r>
          </w:p>
        </w:tc>
      </w:tr>
    </w:tbl>
    <w:p>
      <w:pPr>
        <w:spacing w:after="20"/>
      </w:pPr>
    </w:p>
    <w:p>
      <w:pPr>
        <w:spacing w:before="0" w:after="100" w:line="300" w:lineRule="auto"/>
      </w:pPr>
      <w:r>
        <w:rPr>
          <w:rFonts w:ascii="Noto Sans CJK SC" w:hAnsi="Noto Sans CJK SC" w:eastAsia="Noto Sans CJK SC"/>
        </w:rPr>
        <w:t>Outbox的价值是保证“后台断网时真实成交事件不丢失”。即使Outbox也发生异常，重启后仍可通过QMT当日委托/成交查询进行最终Reconcile。</w:t>
      </w:r>
    </w:p>
    <w:p>
      <w:pPr>
        <w:pStyle w:val="Heading2"/>
        <w:keepNext/>
      </w:pPr>
      <w:r>
        <w:rPr>
          <w:rFonts w:ascii="Noto Sans CJK SC" w:hAnsi="Noto Sans CJK SC" w:eastAsia="Noto Sans CJK SC"/>
          <w:b/>
          <w:color w:val="1F4E79"/>
          <w:sz w:val="26"/>
        </w:rPr>
        <w:t>16.3 推荐同步频率（初始值）</w:t>
      </w:r>
    </w:p>
    <w:tbl>
      <w:tblPr>
        <w:tblStyle w:val="TableGrid"/>
        <w:tblW w:type="auto" w:w="0"/>
        <w:jc w:val="center"/>
        <w:tblLayout w:type="fixed"/>
        <w:tblLook w:firstColumn="1" w:firstRow="1" w:lastColumn="0" w:lastRow="0" w:noHBand="0" w:noVBand="1" w:val="04A0"/>
      </w:tblPr>
      <w:tblGrid>
        <w:gridCol w:w="3324"/>
        <w:gridCol w:w="3324"/>
        <w:gridCol w:w="3324"/>
      </w:tblGrid>
      <w:tr>
        <w:trPr>
          <w:trHeight w:hRule="atLeast"/>
          <w:tblHeader w:val="true"/>
          <w:cantSplit/>
        </w:trPr>
        <w:tc>
          <w:tcPr>
            <w:tcW w:type="dxa" w:w="2154"/>
            <w:shd w:fill="1F4E78"/>
            <w:tcMar>
              <w:top w:w="90" w:type="dxa"/>
              <w:start w:w="90" w:type="dxa"/>
              <w:bottom w:w="90" w:type="dxa"/>
              <w:end w:w="90" w:type="dxa"/>
            </w:tcMar>
            <w:vAlign w:val="center"/>
          </w:tcPr>
          <w:p>
            <w:pPr>
              <w:spacing w:before="0" w:after="0" w:line="240" w:lineRule="auto"/>
              <w:jc w:val="center"/>
            </w:pPr>
            <w:r>
              <w:rPr>
                <w:rFonts w:ascii="Noto Sans CJK SC" w:hAnsi="Noto Sans CJK SC" w:eastAsia="Noto Sans CJK SC"/>
                <w:b/>
                <w:color w:val="FFFFFF"/>
                <w:sz w:val="18"/>
              </w:rPr>
              <w:t>数据</w:t>
            </w:r>
          </w:p>
        </w:tc>
        <w:tc>
          <w:tcPr>
            <w:tcW w:type="dxa" w:w="3288"/>
            <w:shd w:fill="1F4E78"/>
            <w:tcMar>
              <w:top w:w="90" w:type="dxa"/>
              <w:start w:w="90" w:type="dxa"/>
              <w:bottom w:w="90" w:type="dxa"/>
              <w:end w:w="90" w:type="dxa"/>
            </w:tcMar>
            <w:vAlign w:val="center"/>
          </w:tcPr>
          <w:p>
            <w:pPr>
              <w:spacing w:before="0" w:after="0" w:line="240" w:lineRule="auto"/>
              <w:jc w:val="center"/>
            </w:pPr>
            <w:r>
              <w:rPr>
                <w:rFonts w:ascii="Noto Sans CJK SC" w:hAnsi="Noto Sans CJK SC" w:eastAsia="Noto Sans CJK SC"/>
                <w:b/>
                <w:color w:val="FFFFFF"/>
                <w:sz w:val="18"/>
              </w:rPr>
              <w:t>主通道</w:t>
            </w:r>
          </w:p>
        </w:tc>
        <w:tc>
          <w:tcPr>
            <w:tcW w:type="dxa" w:w="3402"/>
            <w:shd w:fill="1F4E78"/>
            <w:tcMar>
              <w:top w:w="90" w:type="dxa"/>
              <w:start w:w="90" w:type="dxa"/>
              <w:bottom w:w="90" w:type="dxa"/>
              <w:end w:w="90" w:type="dxa"/>
            </w:tcMar>
            <w:vAlign w:val="center"/>
          </w:tcPr>
          <w:p>
            <w:pPr>
              <w:spacing w:before="0" w:after="0" w:line="240" w:lineRule="auto"/>
              <w:jc w:val="center"/>
            </w:pPr>
            <w:r>
              <w:rPr>
                <w:rFonts w:ascii="Noto Sans CJK SC" w:hAnsi="Noto Sans CJK SC" w:eastAsia="Noto Sans CJK SC"/>
                <w:b/>
                <w:color w:val="FFFFFF"/>
                <w:sz w:val="18"/>
              </w:rPr>
              <w:t>补偿/同步</w:t>
            </w:r>
          </w:p>
        </w:tc>
      </w:tr>
      <w:tr>
        <w:trPr>
          <w:cantSplit/>
          <w:trHeight w:hRule="atLeast"/>
        </w:trPr>
        <w:tc>
          <w:tcPr>
            <w:tcW w:type="dxa" w:w="2154"/>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订单事件</w:t>
            </w:r>
          </w:p>
        </w:tc>
        <w:tc>
          <w:tcPr>
            <w:tcW w:type="dxa" w:w="3288"/>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QMT回调立即</w:t>
            </w:r>
          </w:p>
        </w:tc>
        <w:tc>
          <w:tcPr>
            <w:tcW w:type="dxa" w:w="3402"/>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有活动订单时2-3秒主动查询补偿</w:t>
            </w:r>
          </w:p>
        </w:tc>
      </w:tr>
      <w:tr>
        <w:trPr>
          <w:cantSplit/>
          <w:trHeight w:hRule="atLeast"/>
        </w:trPr>
        <w:tc>
          <w:tcPr>
            <w:tcW w:type="dxa" w:w="2154"/>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成交事件</w:t>
            </w:r>
          </w:p>
        </w:tc>
        <w:tc>
          <w:tcPr>
            <w:tcW w:type="dxa" w:w="3288"/>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QMT回调立即</w:t>
            </w:r>
          </w:p>
        </w:tc>
        <w:tc>
          <w:tcPr>
            <w:tcW w:type="dxa" w:w="3402"/>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2-3秒/重启时查询</w:t>
            </w:r>
          </w:p>
        </w:tc>
      </w:tr>
      <w:tr>
        <w:trPr>
          <w:cantSplit/>
          <w:trHeight w:hRule="atLeast"/>
        </w:trPr>
        <w:tc>
          <w:tcPr>
            <w:tcW w:type="dxa" w:w="2154"/>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持仓</w:t>
            </w:r>
          </w:p>
        </w:tc>
        <w:tc>
          <w:tcPr>
            <w:tcW w:type="dxa" w:w="3288"/>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成交后即时更新</w:t>
            </w:r>
          </w:p>
        </w:tc>
        <w:tc>
          <w:tcPr>
            <w:tcW w:type="dxa" w:w="3402"/>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15秒完整校验</w:t>
            </w:r>
          </w:p>
        </w:tc>
      </w:tr>
      <w:tr>
        <w:trPr>
          <w:cantSplit/>
          <w:trHeight w:hRule="atLeast"/>
        </w:trPr>
        <w:tc>
          <w:tcPr>
            <w:tcW w:type="dxa" w:w="2154"/>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账户资产</w:t>
            </w:r>
          </w:p>
        </w:tc>
        <w:tc>
          <w:tcPr>
            <w:tcW w:type="dxa" w:w="3288"/>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查询</w:t>
            </w:r>
          </w:p>
        </w:tc>
        <w:tc>
          <w:tcPr>
            <w:tcW w:type="dxa" w:w="3402"/>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30秒</w:t>
            </w:r>
          </w:p>
        </w:tc>
      </w:tr>
      <w:tr>
        <w:trPr>
          <w:cantSplit/>
          <w:trHeight w:hRule="atLeast"/>
        </w:trPr>
        <w:tc>
          <w:tcPr>
            <w:tcW w:type="dxa" w:w="2154"/>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健康状态</w:t>
            </w:r>
          </w:p>
        </w:tc>
        <w:tc>
          <w:tcPr>
            <w:tcW w:type="dxa" w:w="3288"/>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内存/Watchdog</w:t>
            </w:r>
          </w:p>
        </w:tc>
        <w:tc>
          <w:tcPr>
            <w:tcW w:type="dxa" w:w="3402"/>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5秒</w:t>
            </w:r>
          </w:p>
        </w:tc>
      </w:tr>
      <w:tr>
        <w:trPr>
          <w:cantSplit/>
          <w:trHeight w:hRule="atLeast"/>
        </w:trPr>
        <w:tc>
          <w:tcPr>
            <w:tcW w:type="dxa" w:w="2154"/>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完整委托成交</w:t>
            </w:r>
          </w:p>
        </w:tc>
        <w:tc>
          <w:tcPr>
            <w:tcW w:type="dxa" w:w="3288"/>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主动查询</w:t>
            </w:r>
          </w:p>
        </w:tc>
        <w:tc>
          <w:tcPr>
            <w:tcW w:type="dxa" w:w="3402"/>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60秒</w:t>
            </w:r>
          </w:p>
        </w:tc>
      </w:tr>
      <w:tr>
        <w:trPr>
          <w:cantSplit/>
          <w:trHeight w:hRule="atLeast"/>
        </w:trPr>
        <w:tc>
          <w:tcPr>
            <w:tcW w:type="dxa" w:w="2154"/>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盘后最终对账</w:t>
            </w:r>
          </w:p>
        </w:tc>
        <w:tc>
          <w:tcPr>
            <w:tcW w:type="dxa" w:w="3288"/>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主动查询</w:t>
            </w:r>
          </w:p>
        </w:tc>
        <w:tc>
          <w:tcPr>
            <w:tcW w:type="dxa" w:w="3402"/>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15:05后一次全量</w:t>
            </w:r>
          </w:p>
        </w:tc>
      </w:tr>
    </w:tbl>
    <w:p>
      <w:pPr>
        <w:spacing w:after="40"/>
      </w:pPr>
    </w:p>
    <w:p>
      <w:pPr>
        <w:pStyle w:val="Heading1"/>
        <w:keepNext/>
        <w:pageBreakBefore w:val="0"/>
      </w:pPr>
      <w:r>
        <w:rPr>
          <w:rFonts w:ascii="Noto Sans CJK SC" w:hAnsi="Noto Sans CJK SC" w:eastAsia="Noto Sans CJK SC"/>
          <w:b/>
          <w:color w:val="143A5F"/>
          <w:sz w:val="32"/>
        </w:rPr>
        <w:t>17. Reconciliation、重启恢复与故障降级</w:t>
      </w:r>
    </w:p>
    <w:p>
      <w:pPr>
        <w:pStyle w:val="Heading2"/>
        <w:keepNext/>
      </w:pPr>
      <w:r>
        <w:rPr>
          <w:rFonts w:ascii="Noto Sans CJK SC" w:hAnsi="Noto Sans CJK SC" w:eastAsia="Noto Sans CJK SC"/>
          <w:b/>
          <w:color w:val="1F4E79"/>
          <w:sz w:val="26"/>
        </w:rPr>
        <w:t>17.1 重启流程</w:t>
      </w:r>
    </w:p>
    <w:tbl>
      <w:tblPr>
        <w:tblW w:type="auto" w:w="0"/>
        <w:jc w:val="center"/>
        <w:tblLook w:firstColumn="1" w:firstRow="1" w:lastColumn="0" w:lastRow="0" w:noHBand="0" w:noVBand="1" w:val="04A0"/>
      </w:tblPr>
      <w:tblGrid>
        <w:gridCol w:w="9972"/>
      </w:tblGrid>
      <w:tr>
        <w:trPr>
          <w:trHeight w:hRule="atLeast"/>
        </w:trPr>
        <w:tc>
          <w:tcPr>
            <w:tcW w:type="dxa" w:w="9972"/>
            <w:shd w:fill="F5F6F7"/>
            <w:tcMar>
              <w:top w:w="100" w:type="dxa"/>
              <w:start w:w="140" w:type="dxa"/>
              <w:bottom w:w="100" w:type="dxa"/>
              <w:end w:w="140" w:type="dxa"/>
            </w:tcMar>
          </w:tcPr>
          <w:p>
            <w:pPr>
              <w:spacing w:before="0" w:after="0" w:line="252" w:lineRule="auto"/>
            </w:pPr>
            <w:r>
              <w:rPr>
                <w:rFonts w:ascii="Noto Sans Mono CJK SC" w:hAnsi="Noto Sans Mono CJK SC" w:eastAsia="Noto Sans Mono CJK SC"/>
                <w:color w:val="2D3741"/>
                <w:sz w:val="17"/>
              </w:rPr>
              <w:t>BOOTING</w:t>
            </w:r>
            <w:r>
              <w:rPr>
                <w:rFonts w:ascii="Noto Sans CJK SC" w:hAnsi="Noto Sans CJK SC" w:eastAsia="Noto Sans CJK SC"/>
              </w:rPr>
              <w:br/>
            </w:r>
            <w:r>
              <w:rPr>
                <w:rFonts w:ascii="Noto Sans Mono CJK SC" w:hAnsi="Noto Sans Mono CJK SC" w:eastAsia="Noto Sans Mono CJK SC"/>
                <w:color w:val="2D3741"/>
                <w:sz w:val="17"/>
              </w:rPr>
              <w:t xml:space="preserve">  ↓</w:t>
            </w:r>
            <w:r>
              <w:rPr>
                <w:rFonts w:ascii="Noto Sans CJK SC" w:hAnsi="Noto Sans CJK SC" w:eastAsia="Noto Sans CJK SC"/>
              </w:rPr>
              <w:br/>
            </w:r>
            <w:r>
              <w:rPr>
                <w:rFonts w:ascii="Noto Sans Mono CJK SC" w:hAnsi="Noto Sans Mono CJK SC" w:eastAsia="Noto Sans Mono CJK SC"/>
                <w:color w:val="2D3741"/>
                <w:sz w:val="17"/>
              </w:rPr>
              <w:t>CONNECT_QMT</w:t>
            </w:r>
            <w:r>
              <w:rPr>
                <w:rFonts w:ascii="Noto Sans CJK SC" w:hAnsi="Noto Sans CJK SC" w:eastAsia="Noto Sans CJK SC"/>
              </w:rPr>
              <w:br/>
            </w:r>
            <w:r>
              <w:rPr>
                <w:rFonts w:ascii="Noto Sans Mono CJK SC" w:hAnsi="Noto Sans Mono CJK SC" w:eastAsia="Noto Sans Mono CJK SC"/>
                <w:color w:val="2D3741"/>
                <w:sz w:val="17"/>
              </w:rPr>
              <w:t xml:space="preserve">  ↓</w:t>
            </w:r>
            <w:r>
              <w:rPr>
                <w:rFonts w:ascii="Noto Sans CJK SC" w:hAnsi="Noto Sans CJK SC" w:eastAsia="Noto Sans CJK SC"/>
              </w:rPr>
              <w:br/>
            </w:r>
            <w:r>
              <w:rPr>
                <w:rFonts w:ascii="Noto Sans Mono CJK SC" w:hAnsi="Noto Sans Mono CJK SC" w:eastAsia="Noto Sans Mono CJK SC"/>
                <w:color w:val="2D3741"/>
                <w:sz w:val="17"/>
              </w:rPr>
              <w:t>LOAD CONTROL_STATE / CHECKPOINT / OUTBOX</w:t>
            </w:r>
            <w:r>
              <w:rPr>
                <w:rFonts w:ascii="Noto Sans CJK SC" w:hAnsi="Noto Sans CJK SC" w:eastAsia="Noto Sans CJK SC"/>
              </w:rPr>
              <w:br/>
            </w:r>
            <w:r>
              <w:rPr>
                <w:rFonts w:ascii="Noto Sans Mono CJK SC" w:hAnsi="Noto Sans Mono CJK SC" w:eastAsia="Noto Sans Mono CJK SC"/>
                <w:color w:val="2D3741"/>
                <w:sz w:val="17"/>
              </w:rPr>
              <w:t xml:space="preserve">  ↓</w:t>
            </w:r>
            <w:r>
              <w:rPr>
                <w:rFonts w:ascii="Noto Sans CJK SC" w:hAnsi="Noto Sans CJK SC" w:eastAsia="Noto Sans CJK SC"/>
              </w:rPr>
              <w:br/>
            </w:r>
            <w:r>
              <w:rPr>
                <w:rFonts w:ascii="Noto Sans Mono CJK SC" w:hAnsi="Noto Sans Mono CJK SC" w:eastAsia="Noto Sans Mono CJK SC"/>
                <w:color w:val="2D3741"/>
                <w:sz w:val="17"/>
              </w:rPr>
              <w:t>FETCH CURRENT TRADE PLAN</w:t>
            </w:r>
            <w:r>
              <w:rPr>
                <w:rFonts w:ascii="Noto Sans CJK SC" w:hAnsi="Noto Sans CJK SC" w:eastAsia="Noto Sans CJK SC"/>
              </w:rPr>
              <w:br/>
            </w:r>
            <w:r>
              <w:rPr>
                <w:rFonts w:ascii="Noto Sans Mono CJK SC" w:hAnsi="Noto Sans Mono CJK SC" w:eastAsia="Noto Sans Mono CJK SC"/>
                <w:color w:val="2D3741"/>
                <w:sz w:val="17"/>
              </w:rPr>
              <w:t xml:space="preserve">  ↓</w:t>
            </w:r>
            <w:r>
              <w:rPr>
                <w:rFonts w:ascii="Noto Sans CJK SC" w:hAnsi="Noto Sans CJK SC" w:eastAsia="Noto Sans CJK SC"/>
              </w:rPr>
              <w:br/>
            </w:r>
            <w:r>
              <w:rPr>
                <w:rFonts w:ascii="Noto Sans Mono CJK SC" w:hAnsi="Noto Sans Mono CJK SC" w:eastAsia="Noto Sans Mono CJK SC"/>
                <w:color w:val="2D3741"/>
                <w:sz w:val="17"/>
              </w:rPr>
              <w:t>QUERY QMT: asset + positions + orders + trades</w:t>
            </w:r>
            <w:r>
              <w:rPr>
                <w:rFonts w:ascii="Noto Sans CJK SC" w:hAnsi="Noto Sans CJK SC" w:eastAsia="Noto Sans CJK SC"/>
              </w:rPr>
              <w:br/>
            </w:r>
            <w:r>
              <w:rPr>
                <w:rFonts w:ascii="Noto Sans Mono CJK SC" w:hAnsi="Noto Sans Mono CJK SC" w:eastAsia="Noto Sans Mono CJK SC"/>
                <w:color w:val="2D3741"/>
                <w:sz w:val="17"/>
              </w:rPr>
              <w:t xml:space="preserve">  ↓</w:t>
            </w:r>
            <w:r>
              <w:rPr>
                <w:rFonts w:ascii="Noto Sans CJK SC" w:hAnsi="Noto Sans CJK SC" w:eastAsia="Noto Sans CJK SC"/>
              </w:rPr>
              <w:br/>
            </w:r>
            <w:r>
              <w:rPr>
                <w:rFonts w:ascii="Noto Sans Mono CJK SC" w:hAnsi="Noto Sans Mono CJK SC" w:eastAsia="Noto Sans Mono CJK SC"/>
                <w:color w:val="2D3741"/>
                <w:sz w:val="17"/>
              </w:rPr>
              <w:t>COMPARE WITH CENTRAL LEDGER</w:t>
            </w:r>
            <w:r>
              <w:rPr>
                <w:rFonts w:ascii="Noto Sans CJK SC" w:hAnsi="Noto Sans CJK SC" w:eastAsia="Noto Sans CJK SC"/>
              </w:rPr>
              <w:br/>
            </w:r>
            <w:r>
              <w:rPr>
                <w:rFonts w:ascii="Noto Sans Mono CJK SC" w:hAnsi="Noto Sans Mono CJK SC" w:eastAsia="Noto Sans Mono CJK SC"/>
                <w:color w:val="2D3741"/>
                <w:sz w:val="17"/>
              </w:rPr>
              <w:t xml:space="preserve">  ↓</w:t>
            </w:r>
            <w:r>
              <w:rPr>
                <w:rFonts w:ascii="Noto Sans CJK SC" w:hAnsi="Noto Sans CJK SC" w:eastAsia="Noto Sans CJK SC"/>
              </w:rPr>
              <w:br/>
            </w:r>
            <w:r>
              <w:rPr>
                <w:rFonts w:ascii="Noto Sans Mono CJK SC" w:hAnsi="Noto Sans Mono CJK SC" w:eastAsia="Noto Sans Mono CJK SC"/>
                <w:color w:val="2D3741"/>
                <w:sz w:val="17"/>
              </w:rPr>
              <w:t>REBUILD RUNTIME STATE</w:t>
            </w:r>
            <w:r>
              <w:rPr>
                <w:rFonts w:ascii="Noto Sans CJK SC" w:hAnsi="Noto Sans CJK SC" w:eastAsia="Noto Sans CJK SC"/>
              </w:rPr>
              <w:br/>
            </w:r>
            <w:r>
              <w:rPr>
                <w:rFonts w:ascii="Noto Sans Mono CJK SC" w:hAnsi="Noto Sans Mono CJK SC" w:eastAsia="Noto Sans Mono CJK SC"/>
                <w:color w:val="2D3741"/>
                <w:sz w:val="17"/>
              </w:rPr>
              <w:t xml:space="preserve">  ↓</w:t>
            </w:r>
            <w:r>
              <w:rPr>
                <w:rFonts w:ascii="Noto Sans CJK SC" w:hAnsi="Noto Sans CJK SC" w:eastAsia="Noto Sans CJK SC"/>
              </w:rPr>
              <w:br/>
            </w:r>
            <w:r>
              <w:rPr>
                <w:rFonts w:ascii="Noto Sans Mono CJK SC" w:hAnsi="Noto Sans Mono CJK SC" w:eastAsia="Noto Sans Mono CJK SC"/>
                <w:color w:val="2D3741"/>
                <w:sz w:val="17"/>
              </w:rPr>
              <w:t>RECONCILED</w:t>
            </w:r>
            <w:r>
              <w:rPr>
                <w:rFonts w:ascii="Noto Sans CJK SC" w:hAnsi="Noto Sans CJK SC" w:eastAsia="Noto Sans CJK SC"/>
              </w:rPr>
              <w:br/>
            </w:r>
            <w:r>
              <w:rPr>
                <w:rFonts w:ascii="Noto Sans Mono CJK SC" w:hAnsi="Noto Sans Mono CJK SC" w:eastAsia="Noto Sans Mono CJK SC"/>
                <w:color w:val="2D3741"/>
                <w:sz w:val="17"/>
              </w:rPr>
              <w:t xml:space="preserve">  ↓</w:t>
            </w:r>
            <w:r>
              <w:rPr>
                <w:rFonts w:ascii="Noto Sans CJK SC" w:hAnsi="Noto Sans CJK SC" w:eastAsia="Noto Sans CJK SC"/>
              </w:rPr>
              <w:br/>
            </w:r>
            <w:r>
              <w:rPr>
                <w:rFonts w:ascii="Noto Sans Mono CJK SC" w:hAnsi="Noto Sans Mono CJK SC" w:eastAsia="Noto Sans Mono CJK SC"/>
                <w:color w:val="2D3741"/>
                <w:sz w:val="17"/>
              </w:rPr>
              <w:t>READY_PAUSED（V1默认）</w:t>
            </w:r>
            <w:r>
              <w:rPr>
                <w:rFonts w:ascii="Noto Sans CJK SC" w:hAnsi="Noto Sans CJK SC" w:eastAsia="Noto Sans CJK SC"/>
              </w:rPr>
              <w:br/>
            </w:r>
            <w:r>
              <w:rPr>
                <w:rFonts w:ascii="Noto Sans Mono CJK SC" w:hAnsi="Noto Sans Mono CJK SC" w:eastAsia="Noto Sans Mono CJK SC"/>
                <w:color w:val="2D3741"/>
                <w:sz w:val="17"/>
              </w:rPr>
              <w:t xml:space="preserve">  ↓ 人工确认或满足自动恢复条件</w:t>
            </w:r>
            <w:r>
              <w:rPr>
                <w:rFonts w:ascii="Noto Sans CJK SC" w:hAnsi="Noto Sans CJK SC" w:eastAsia="Noto Sans CJK SC"/>
              </w:rPr>
              <w:br/>
            </w:r>
            <w:r>
              <w:rPr>
                <w:rFonts w:ascii="Noto Sans Mono CJK SC" w:hAnsi="Noto Sans Mono CJK SC" w:eastAsia="Noto Sans Mono CJK SC"/>
                <w:color w:val="2D3741"/>
                <w:sz w:val="17"/>
              </w:rPr>
              <w:t>AUTO / SELL_ONLY</w:t>
            </w:r>
          </w:p>
        </w:tc>
      </w:tr>
    </w:tbl>
    <w:p>
      <w:pPr>
        <w:spacing w:after="20"/>
      </w:pPr>
    </w:p>
    <w:tbl>
      <w:tblPr>
        <w:tblW w:type="auto" w:w="0"/>
        <w:jc w:val="center"/>
        <w:tblLayout w:type="autofit"/>
        <w:tblLook w:firstColumn="1" w:firstRow="1" w:lastColumn="0" w:lastRow="0" w:noHBand="0" w:noVBand="1" w:val="04A0"/>
      </w:tblPr>
      <w:tblGrid>
        <w:gridCol w:w="9972"/>
      </w:tblGrid>
      <w:tr>
        <w:trPr>
          <w:trHeight w:hRule="atLeast"/>
        </w:trPr>
        <w:tc>
          <w:tcPr>
            <w:tcW w:type="dxa" w:w="9972"/>
            <w:shd w:fill="FFF2CC"/>
            <w:tcMar>
              <w:top w:w="140" w:type="dxa"/>
              <w:start w:w="180" w:type="dxa"/>
              <w:bottom w:w="140" w:type="dxa"/>
              <w:end w:w="180" w:type="dxa"/>
            </w:tcMar>
          </w:tcPr>
          <w:p>
            <w:pPr>
              <w:spacing w:before="0" w:after="60" w:line="300" w:lineRule="auto"/>
            </w:pPr>
            <w:r>
              <w:rPr>
                <w:rFonts w:ascii="Noto Sans CJK SC" w:hAnsi="Noto Sans CJK SC" w:eastAsia="Noto Sans CJK SC"/>
                <w:b/>
                <w:color w:val="194367"/>
                <w:sz w:val="21"/>
              </w:rPr>
              <w:t>V1安全建议</w:t>
            </w:r>
          </w:p>
          <w:p>
            <w:pPr>
              <w:spacing w:before="0" w:after="0" w:line="300" w:lineRule="auto"/>
            </w:pPr>
            <w:r>
              <w:rPr>
                <w:rFonts w:ascii="Noto Sans CJK SC" w:hAnsi="Noto Sans CJK SC" w:eastAsia="Noto Sans CJK SC"/>
                <w:sz w:val="20"/>
              </w:rPr>
              <w:t>程序或Windows重启后默认不要自动回AUTO。先进入READY_PAUSED，完成QMT与后台对账后由人工确认恢复。系统成熟后再开放可配置AUTO_RESUME。</w:t>
            </w:r>
          </w:p>
        </w:tc>
      </w:tr>
    </w:tbl>
    <w:p>
      <w:pPr>
        <w:spacing w:after="20"/>
      </w:pPr>
    </w:p>
    <w:p>
      <w:pPr>
        <w:pStyle w:val="Heading2"/>
        <w:keepNext/>
      </w:pPr>
      <w:r>
        <w:rPr>
          <w:rFonts w:ascii="Noto Sans CJK SC" w:hAnsi="Noto Sans CJK SC" w:eastAsia="Noto Sans CJK SC"/>
          <w:b/>
          <w:color w:val="1F4E79"/>
          <w:sz w:val="26"/>
        </w:rPr>
        <w:t>17.2 故障降级矩阵</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rHeight w:hRule="atLeast"/>
          <w:tblHeader w:val="true"/>
          <w:cantSplit/>
        </w:trPr>
        <w:tc>
          <w:tcPr>
            <w:tcW w:type="dxa" w:w="2211"/>
            <w:shd w:fill="1F4E78"/>
            <w:tcMar>
              <w:top w:w="90" w:type="dxa"/>
              <w:start w:w="90" w:type="dxa"/>
              <w:bottom w:w="90" w:type="dxa"/>
              <w:end w:w="90" w:type="dxa"/>
            </w:tcMar>
            <w:vAlign w:val="center"/>
          </w:tcPr>
          <w:p>
            <w:pPr>
              <w:spacing w:before="0" w:after="0" w:line="240" w:lineRule="auto"/>
              <w:jc w:val="center"/>
            </w:pPr>
            <w:r>
              <w:rPr>
                <w:rFonts w:ascii="Noto Sans CJK SC" w:hAnsi="Noto Sans CJK SC" w:eastAsia="Noto Sans CJK SC"/>
                <w:b/>
                <w:color w:val="FFFFFF"/>
                <w:sz w:val="18"/>
              </w:rPr>
              <w:t>故障</w:t>
            </w:r>
          </w:p>
        </w:tc>
        <w:tc>
          <w:tcPr>
            <w:tcW w:type="dxa" w:w="2041"/>
            <w:shd w:fill="1F4E78"/>
            <w:tcMar>
              <w:top w:w="90" w:type="dxa"/>
              <w:start w:w="90" w:type="dxa"/>
              <w:bottom w:w="90" w:type="dxa"/>
              <w:end w:w="90" w:type="dxa"/>
            </w:tcMar>
            <w:vAlign w:val="center"/>
          </w:tcPr>
          <w:p>
            <w:pPr>
              <w:spacing w:before="0" w:after="0" w:line="240" w:lineRule="auto"/>
              <w:jc w:val="center"/>
            </w:pPr>
            <w:r>
              <w:rPr>
                <w:rFonts w:ascii="Noto Sans CJK SC" w:hAnsi="Noto Sans CJK SC" w:eastAsia="Noto Sans CJK SC"/>
                <w:b/>
                <w:color w:val="FFFFFF"/>
                <w:sz w:val="18"/>
              </w:rPr>
              <w:t>买入</w:t>
            </w:r>
          </w:p>
        </w:tc>
        <w:tc>
          <w:tcPr>
            <w:tcW w:type="dxa" w:w="2041"/>
            <w:shd w:fill="1F4E78"/>
            <w:tcMar>
              <w:top w:w="90" w:type="dxa"/>
              <w:start w:w="90" w:type="dxa"/>
              <w:bottom w:w="90" w:type="dxa"/>
              <w:end w:w="90" w:type="dxa"/>
            </w:tcMar>
            <w:vAlign w:val="center"/>
          </w:tcPr>
          <w:p>
            <w:pPr>
              <w:spacing w:before="0" w:after="0" w:line="240" w:lineRule="auto"/>
              <w:jc w:val="center"/>
            </w:pPr>
            <w:r>
              <w:rPr>
                <w:rFonts w:ascii="Noto Sans CJK SC" w:hAnsi="Noto Sans CJK SC" w:eastAsia="Noto Sans CJK SC"/>
                <w:b/>
                <w:color w:val="FFFFFF"/>
                <w:sz w:val="18"/>
              </w:rPr>
              <w:t>卖出</w:t>
            </w:r>
          </w:p>
        </w:tc>
        <w:tc>
          <w:tcPr>
            <w:tcW w:type="dxa" w:w="2665"/>
            <w:shd w:fill="1F4E78"/>
            <w:tcMar>
              <w:top w:w="90" w:type="dxa"/>
              <w:start w:w="90" w:type="dxa"/>
              <w:bottom w:w="90" w:type="dxa"/>
              <w:end w:w="90" w:type="dxa"/>
            </w:tcMar>
            <w:vAlign w:val="center"/>
          </w:tcPr>
          <w:p>
            <w:pPr>
              <w:spacing w:before="0" w:after="0" w:line="240" w:lineRule="auto"/>
              <w:jc w:val="center"/>
            </w:pPr>
            <w:r>
              <w:rPr>
                <w:rFonts w:ascii="Noto Sans CJK SC" w:hAnsi="Noto Sans CJK SC" w:eastAsia="Noto Sans CJK SC"/>
                <w:b/>
                <w:color w:val="FFFFFF"/>
                <w:sz w:val="18"/>
              </w:rPr>
              <w:t>系统动作</w:t>
            </w:r>
          </w:p>
        </w:tc>
      </w:tr>
      <w:tr>
        <w:trPr>
          <w:cantSplit/>
          <w:trHeight w:hRule="atLeast"/>
        </w:trPr>
        <w:tc>
          <w:tcPr>
            <w:tcW w:type="dxa" w:w="2211"/>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后台/MySQL不可用</w:t>
            </w:r>
          </w:p>
        </w:tc>
        <w:tc>
          <w:tcPr>
            <w:tcW w:type="dxa" w:w="2041"/>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已加载Plan可继续；新Plan不可获取</w:t>
            </w:r>
          </w:p>
        </w:tc>
        <w:tc>
          <w:tcPr>
            <w:tcW w:type="dxa" w:w="2041"/>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已加载Exit继续</w:t>
            </w:r>
          </w:p>
        </w:tc>
        <w:tc>
          <w:tcPr>
            <w:tcW w:type="dxa" w:w="2665"/>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Outbox积压、告警</w:t>
            </w:r>
          </w:p>
        </w:tc>
      </w:tr>
      <w:tr>
        <w:trPr>
          <w:cantSplit/>
          <w:trHeight w:hRule="atLeast"/>
        </w:trPr>
        <w:tc>
          <w:tcPr>
            <w:tcW w:type="dxa" w:w="2211"/>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QMT交易断开</w:t>
            </w:r>
          </w:p>
        </w:tc>
        <w:tc>
          <w:tcPr>
            <w:tcW w:type="dxa" w:w="2041"/>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停止</w:t>
            </w:r>
          </w:p>
        </w:tc>
        <w:tc>
          <w:tcPr>
            <w:tcW w:type="dxa" w:w="2041"/>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停止</w:t>
            </w:r>
          </w:p>
        </w:tc>
        <w:tc>
          <w:tcPr>
            <w:tcW w:type="dxa" w:w="2665"/>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自动重连；无法恢复进入HALT/人工</w:t>
            </w:r>
          </w:p>
        </w:tc>
      </w:tr>
      <w:tr>
        <w:trPr>
          <w:cantSplit/>
          <w:trHeight w:hRule="atLeast"/>
        </w:trPr>
        <w:tc>
          <w:tcPr>
            <w:tcW w:type="dxa" w:w="2211"/>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行情断开/陈旧</w:t>
            </w:r>
          </w:p>
        </w:tc>
        <w:tc>
          <w:tcPr>
            <w:tcW w:type="dxa" w:w="2041"/>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停止新增</w:t>
            </w:r>
          </w:p>
        </w:tc>
        <w:tc>
          <w:tcPr>
            <w:tcW w:type="dxa" w:w="2041"/>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暂停依赖行情的策略卖出</w:t>
            </w:r>
          </w:p>
        </w:tc>
        <w:tc>
          <w:tcPr>
            <w:tcW w:type="dxa" w:w="2665"/>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告警；风险策略根据预案</w:t>
            </w:r>
          </w:p>
        </w:tc>
      </w:tr>
      <w:tr>
        <w:trPr>
          <w:cantSplit/>
          <w:trHeight w:hRule="atLeast"/>
        </w:trPr>
        <w:tc>
          <w:tcPr>
            <w:tcW w:type="dxa" w:w="2211"/>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订单UNKNOWN</w:t>
            </w:r>
          </w:p>
        </w:tc>
        <w:tc>
          <w:tcPr>
            <w:tcW w:type="dxa" w:w="2041"/>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冻结该股票</w:t>
            </w:r>
          </w:p>
        </w:tc>
        <w:tc>
          <w:tcPr>
            <w:tcW w:type="dxa" w:w="2041"/>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冻结该股票新订单</w:t>
            </w:r>
          </w:p>
        </w:tc>
        <w:tc>
          <w:tcPr>
            <w:tcW w:type="dxa" w:w="2665"/>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立即query + Reconcile</w:t>
            </w:r>
          </w:p>
        </w:tc>
      </w:tr>
      <w:tr>
        <w:trPr>
          <w:cantSplit/>
          <w:trHeight w:hRule="atLeast"/>
        </w:trPr>
        <w:tc>
          <w:tcPr>
            <w:tcW w:type="dxa" w:w="2211"/>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持仓不一致</w:t>
            </w:r>
          </w:p>
        </w:tc>
        <w:tc>
          <w:tcPr>
            <w:tcW w:type="dxa" w:w="2041"/>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禁止新买</w:t>
            </w:r>
          </w:p>
        </w:tc>
        <w:tc>
          <w:tcPr>
            <w:tcW w:type="dxa" w:w="2041"/>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停止自动新增卖单或按SELL_ONLY安全策略</w:t>
            </w:r>
          </w:p>
        </w:tc>
        <w:tc>
          <w:tcPr>
            <w:tcW w:type="dxa" w:w="2665"/>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全量对账</w:t>
            </w:r>
          </w:p>
        </w:tc>
      </w:tr>
      <w:tr>
        <w:trPr>
          <w:cantSplit/>
          <w:trHeight w:hRule="atLeast"/>
        </w:trPr>
        <w:tc>
          <w:tcPr>
            <w:tcW w:type="dxa" w:w="2211"/>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sync-agent崩溃</w:t>
            </w:r>
          </w:p>
        </w:tc>
        <w:tc>
          <w:tcPr>
            <w:tcW w:type="dxa" w:w="2041"/>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不受影响</w:t>
            </w:r>
          </w:p>
        </w:tc>
        <w:tc>
          <w:tcPr>
            <w:tcW w:type="dxa" w:w="2041"/>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不受影响</w:t>
            </w:r>
          </w:p>
        </w:tc>
        <w:tc>
          <w:tcPr>
            <w:tcW w:type="dxa" w:w="2665"/>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watchdog拉起，Outbox重传</w:t>
            </w:r>
          </w:p>
        </w:tc>
      </w:tr>
      <w:tr>
        <w:trPr>
          <w:cantSplit/>
          <w:trHeight w:hRule="atLeast"/>
        </w:trPr>
        <w:tc>
          <w:tcPr>
            <w:tcW w:type="dxa" w:w="2211"/>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trade-runtime崩溃</w:t>
            </w:r>
          </w:p>
        </w:tc>
        <w:tc>
          <w:tcPr>
            <w:tcW w:type="dxa" w:w="2041"/>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停止</w:t>
            </w:r>
          </w:p>
        </w:tc>
        <w:tc>
          <w:tcPr>
            <w:tcW w:type="dxa" w:w="2041"/>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停止</w:t>
            </w:r>
          </w:p>
        </w:tc>
        <w:tc>
          <w:tcPr>
            <w:tcW w:type="dxa" w:w="2665"/>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watchdog拉起，重启全量Reconcile</w:t>
            </w:r>
          </w:p>
        </w:tc>
      </w:tr>
    </w:tbl>
    <w:p>
      <w:pPr>
        <w:spacing w:after="40"/>
      </w:pPr>
    </w:p>
    <w:p>
      <w:pPr>
        <w:pStyle w:val="Heading1"/>
        <w:keepNext/>
        <w:pageBreakBefore w:val="0"/>
      </w:pPr>
      <w:r>
        <w:rPr>
          <w:rFonts w:ascii="Noto Sans CJK SC" w:hAnsi="Noto Sans CJK SC" w:eastAsia="Noto Sans CJK SC"/>
          <w:b/>
          <w:color w:val="143A5F"/>
          <w:sz w:val="32"/>
        </w:rPr>
        <w:t>18. 监控、告警与可观测性</w:t>
      </w:r>
    </w:p>
    <w:p>
      <w:pPr>
        <w:pStyle w:val="Heading2"/>
        <w:keepNext/>
      </w:pPr>
      <w:r>
        <w:rPr>
          <w:rFonts w:ascii="Noto Sans CJK SC" w:hAnsi="Noto Sans CJK SC" w:eastAsia="Noto Sans CJK SC"/>
          <w:b/>
          <w:color w:val="1F4E79"/>
          <w:sz w:val="26"/>
        </w:rPr>
        <w:t>18.1 Windows Dashboard必须回答五个问题</w:t>
      </w:r>
    </w:p>
    <w:p>
      <w:pPr>
        <w:spacing w:before="0" w:after="40" w:line="300" w:lineRule="auto"/>
        <w:ind w:left="198" w:hanging="198"/>
      </w:pPr>
      <w:r>
        <w:rPr>
          <w:rFonts w:ascii="Noto Sans CJK SC" w:hAnsi="Noto Sans CJK SC" w:eastAsia="Noto Sans CJK SC"/>
          <w:sz w:val="21"/>
        </w:rPr>
        <w:t xml:space="preserve">1. </w:t>
      </w:r>
      <w:r>
        <w:rPr>
          <w:rFonts w:ascii="Noto Sans CJK SC" w:hAnsi="Noto Sans CJK SC" w:eastAsia="Noto Sans CJK SC"/>
          <w:sz w:val="21"/>
        </w:rPr>
        <w:t>QMT现在正常吗？</w:t>
      </w:r>
    </w:p>
    <w:p>
      <w:pPr>
        <w:spacing w:before="0" w:after="40" w:line="300" w:lineRule="auto"/>
        <w:ind w:left="198" w:hanging="198"/>
      </w:pPr>
      <w:r>
        <w:rPr>
          <w:rFonts w:ascii="Noto Sans CJK SC" w:hAnsi="Noto Sans CJK SC" w:eastAsia="Noto Sans CJK SC"/>
          <w:sz w:val="21"/>
        </w:rPr>
        <w:t xml:space="preserve">2. </w:t>
      </w:r>
      <w:r>
        <w:rPr>
          <w:rFonts w:ascii="Noto Sans CJK SC" w:hAnsi="Noto Sans CJK SC" w:eastAsia="Noto Sans CJK SC"/>
          <w:sz w:val="21"/>
        </w:rPr>
        <w:t>今天准备交易什么，哪个TradePlan正在运行？</w:t>
      </w:r>
    </w:p>
    <w:p>
      <w:pPr>
        <w:spacing w:before="0" w:after="40" w:line="300" w:lineRule="auto"/>
        <w:ind w:left="198" w:hanging="198"/>
      </w:pPr>
      <w:r>
        <w:rPr>
          <w:rFonts w:ascii="Noto Sans CJK SC" w:hAnsi="Noto Sans CJK SC" w:eastAsia="Noto Sans CJK SC"/>
          <w:sz w:val="21"/>
        </w:rPr>
        <w:t xml:space="preserve">3. </w:t>
      </w:r>
      <w:r>
        <w:rPr>
          <w:rFonts w:ascii="Noto Sans CJK SC" w:hAnsi="Noto Sans CJK SC" w:eastAsia="Noto Sans CJK SC"/>
          <w:sz w:val="21"/>
        </w:rPr>
        <w:t>现在正在买/卖什么，订单生命周期到哪里？</w:t>
      </w:r>
    </w:p>
    <w:p>
      <w:pPr>
        <w:spacing w:before="0" w:after="40" w:line="300" w:lineRule="auto"/>
        <w:ind w:left="198" w:hanging="198"/>
      </w:pPr>
      <w:r>
        <w:rPr>
          <w:rFonts w:ascii="Noto Sans CJK SC" w:hAnsi="Noto Sans CJK SC" w:eastAsia="Noto Sans CJK SC"/>
          <w:sz w:val="21"/>
        </w:rPr>
        <w:t xml:space="preserve">4. </w:t>
      </w:r>
      <w:r>
        <w:rPr>
          <w:rFonts w:ascii="Noto Sans CJK SC" w:hAnsi="Noto Sans CJK SC" w:eastAsia="Noto Sans CJK SC"/>
          <w:sz w:val="21"/>
        </w:rPr>
        <w:t>风险是否超标、行情是否陈旧、是否存在UNKNOWN？</w:t>
      </w:r>
    </w:p>
    <w:p>
      <w:pPr>
        <w:spacing w:before="0" w:after="40" w:line="300" w:lineRule="auto"/>
        <w:ind w:left="198" w:hanging="198"/>
      </w:pPr>
      <w:r>
        <w:rPr>
          <w:rFonts w:ascii="Noto Sans CJK SC" w:hAnsi="Noto Sans CJK SC" w:eastAsia="Noto Sans CJK SC"/>
          <w:sz w:val="21"/>
        </w:rPr>
        <w:t xml:space="preserve">5. </w:t>
      </w:r>
      <w:r>
        <w:rPr>
          <w:rFonts w:ascii="Noto Sans CJK SC" w:hAnsi="Noto Sans CJK SC" w:eastAsia="Noto Sans CJK SC"/>
          <w:sz w:val="21"/>
        </w:rPr>
        <w:t>如果异常，能否立即PAUSE BUY、SELL ONLY、人工接管或HALT？</w:t>
      </w:r>
    </w:p>
    <w:p>
      <w:pPr>
        <w:pStyle w:val="Heading2"/>
        <w:keepNext/>
      </w:pPr>
      <w:r>
        <w:rPr>
          <w:rFonts w:ascii="Noto Sans CJK SC" w:hAnsi="Noto Sans CJK SC" w:eastAsia="Noto Sans CJK SC"/>
          <w:b/>
          <w:color w:val="1F4E79"/>
          <w:sz w:val="26"/>
        </w:rPr>
        <w:t>18.2 首页建议指标</w:t>
      </w:r>
    </w:p>
    <w:tbl>
      <w:tblPr>
        <w:tblStyle w:val="TableGrid"/>
        <w:tblW w:type="auto" w:w="0"/>
        <w:jc w:val="center"/>
        <w:tblLayout w:type="fixed"/>
        <w:tblLook w:firstColumn="1" w:firstRow="1" w:lastColumn="0" w:lastRow="0" w:noHBand="0" w:noVBand="1" w:val="04A0"/>
      </w:tblPr>
      <w:tblGrid>
        <w:gridCol w:w="4986"/>
        <w:gridCol w:w="4986"/>
      </w:tblGrid>
      <w:tr>
        <w:trPr>
          <w:trHeight w:hRule="atLeast"/>
          <w:tblHeader w:val="true"/>
          <w:cantSplit/>
        </w:trPr>
        <w:tc>
          <w:tcPr>
            <w:tcW w:type="dxa" w:w="1984"/>
            <w:shd w:fill="1F4E78"/>
            <w:tcMar>
              <w:top w:w="90" w:type="dxa"/>
              <w:start w:w="90" w:type="dxa"/>
              <w:bottom w:w="90" w:type="dxa"/>
              <w:end w:w="90" w:type="dxa"/>
            </w:tcMar>
            <w:vAlign w:val="center"/>
          </w:tcPr>
          <w:p>
            <w:pPr>
              <w:spacing w:before="0" w:after="0" w:line="240" w:lineRule="auto"/>
              <w:jc w:val="center"/>
            </w:pPr>
            <w:r>
              <w:rPr>
                <w:rFonts w:ascii="Noto Sans CJK SC" w:hAnsi="Noto Sans CJK SC" w:eastAsia="Noto Sans CJK SC"/>
                <w:b/>
                <w:color w:val="FFFFFF"/>
                <w:sz w:val="18"/>
              </w:rPr>
              <w:t>模块</w:t>
            </w:r>
          </w:p>
        </w:tc>
        <w:tc>
          <w:tcPr>
            <w:tcW w:type="dxa" w:w="6917"/>
            <w:shd w:fill="1F4E78"/>
            <w:tcMar>
              <w:top w:w="90" w:type="dxa"/>
              <w:start w:w="90" w:type="dxa"/>
              <w:bottom w:w="90" w:type="dxa"/>
              <w:end w:w="90" w:type="dxa"/>
            </w:tcMar>
            <w:vAlign w:val="center"/>
          </w:tcPr>
          <w:p>
            <w:pPr>
              <w:spacing w:before="0" w:after="0" w:line="240" w:lineRule="auto"/>
              <w:jc w:val="center"/>
            </w:pPr>
            <w:r>
              <w:rPr>
                <w:rFonts w:ascii="Noto Sans CJK SC" w:hAnsi="Noto Sans CJK SC" w:eastAsia="Noto Sans CJK SC"/>
                <w:b/>
                <w:color w:val="FFFFFF"/>
                <w:sz w:val="18"/>
              </w:rPr>
              <w:t>关键字段</w:t>
            </w:r>
          </w:p>
        </w:tc>
      </w:tr>
      <w:tr>
        <w:trPr>
          <w:cantSplit/>
          <w:trHeight w:hRule="atLeast"/>
        </w:trPr>
        <w:tc>
          <w:tcPr>
            <w:tcW w:type="dxa" w:w="1984"/>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Connectivity</w:t>
            </w:r>
          </w:p>
        </w:tc>
        <w:tc>
          <w:tcPr>
            <w:tcW w:type="dxa" w:w="6917"/>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QMT进程、XtTrader连接、账户subscribe、后台连接、最后Tick时间</w:t>
            </w:r>
          </w:p>
        </w:tc>
      </w:tr>
      <w:tr>
        <w:trPr>
          <w:cantSplit/>
          <w:trHeight w:hRule="atLeast"/>
        </w:trPr>
        <w:tc>
          <w:tcPr>
            <w:tcW w:type="dxa" w:w="1984"/>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Plan</w:t>
            </w:r>
          </w:p>
        </w:tc>
        <w:tc>
          <w:tcPr>
            <w:tcW w:type="dxa" w:w="6917"/>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plan_id、strategy、版本、状态、目标仓位、计划股票数</w:t>
            </w:r>
          </w:p>
        </w:tc>
      </w:tr>
      <w:tr>
        <w:trPr>
          <w:cantSplit/>
          <w:trHeight w:hRule="atLeast"/>
        </w:trPr>
        <w:tc>
          <w:tcPr>
            <w:tcW w:type="dxa" w:w="1984"/>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Portfolio</w:t>
            </w:r>
          </w:p>
        </w:tc>
        <w:tc>
          <w:tcPr>
            <w:tcW w:type="dxa" w:w="6917"/>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总资产、现金、目标仓位、实际仓位、持仓数/15</w:t>
            </w:r>
          </w:p>
        </w:tc>
      </w:tr>
      <w:tr>
        <w:trPr>
          <w:cantSplit/>
          <w:trHeight w:hRule="atLeast"/>
        </w:trPr>
        <w:tc>
          <w:tcPr>
            <w:tcW w:type="dxa" w:w="1984"/>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Orders</w:t>
            </w:r>
          </w:p>
        </w:tc>
        <w:tc>
          <w:tcPr>
            <w:tcW w:type="dxa" w:w="6917"/>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活动订单、今日订单、今日成交、拒单、UNKNOWN</w:t>
            </w:r>
          </w:p>
        </w:tc>
      </w:tr>
      <w:tr>
        <w:trPr>
          <w:cantSplit/>
          <w:trHeight w:hRule="atLeast"/>
        </w:trPr>
        <w:tc>
          <w:tcPr>
            <w:tcW w:type="dxa" w:w="1984"/>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Sync</w:t>
            </w:r>
          </w:p>
        </w:tc>
        <w:tc>
          <w:tcPr>
            <w:tcW w:type="dxa" w:w="6917"/>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pending Outbox、最后ACK、最后全量对账</w:t>
            </w:r>
          </w:p>
        </w:tc>
      </w:tr>
      <w:tr>
        <w:trPr>
          <w:cantSplit/>
          <w:trHeight w:hRule="atLeast"/>
        </w:trPr>
        <w:tc>
          <w:tcPr>
            <w:tcW w:type="dxa" w:w="1984"/>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Control</w:t>
            </w:r>
          </w:p>
        </w:tc>
        <w:tc>
          <w:tcPr>
            <w:tcW w:type="dxa" w:w="6917"/>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AUTO/PAUSE BUY/PAUSE SELL/SELL ONLY/MANUAL/HALT</w:t>
            </w:r>
          </w:p>
        </w:tc>
      </w:tr>
      <w:tr>
        <w:trPr>
          <w:cantSplit/>
          <w:trHeight w:hRule="atLeast"/>
        </w:trPr>
        <w:tc>
          <w:tcPr>
            <w:tcW w:type="dxa" w:w="1984"/>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Latency</w:t>
            </w:r>
          </w:p>
        </w:tc>
        <w:tc>
          <w:tcPr>
            <w:tcW w:type="dxa" w:w="6917"/>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Tick age、回调处理时延、signal→order-call、后台事件积压</w:t>
            </w:r>
          </w:p>
        </w:tc>
      </w:tr>
    </w:tbl>
    <w:p>
      <w:pPr>
        <w:spacing w:after="40"/>
      </w:pPr>
    </w:p>
    <w:p>
      <w:pPr>
        <w:pStyle w:val="Heading2"/>
        <w:keepNext/>
      </w:pPr>
      <w:r>
        <w:rPr>
          <w:rFonts w:ascii="Noto Sans CJK SC" w:hAnsi="Noto Sans CJK SC" w:eastAsia="Noto Sans CJK SC"/>
          <w:b/>
          <w:color w:val="1F4E79"/>
          <w:sz w:val="26"/>
        </w:rPr>
        <w:t>18.3 告警等级</w:t>
      </w:r>
    </w:p>
    <w:tbl>
      <w:tblPr>
        <w:tblStyle w:val="TableGrid"/>
        <w:tblW w:type="auto" w:w="0"/>
        <w:jc w:val="center"/>
        <w:tblLayout w:type="fixed"/>
        <w:tblLook w:firstColumn="1" w:firstRow="1" w:lastColumn="0" w:lastRow="0" w:noHBand="0" w:noVBand="1" w:val="04A0"/>
      </w:tblPr>
      <w:tblGrid>
        <w:gridCol w:w="4986"/>
        <w:gridCol w:w="4986"/>
      </w:tblGrid>
      <w:tr>
        <w:trPr>
          <w:trHeight w:hRule="atLeast"/>
          <w:tblHeader w:val="true"/>
          <w:cantSplit/>
        </w:trPr>
        <w:tc>
          <w:tcPr>
            <w:tcW w:type="dxa" w:w="1814"/>
            <w:shd w:fill="1F4E78"/>
            <w:tcMar>
              <w:top w:w="90" w:type="dxa"/>
              <w:start w:w="90" w:type="dxa"/>
              <w:bottom w:w="90" w:type="dxa"/>
              <w:end w:w="90" w:type="dxa"/>
            </w:tcMar>
            <w:vAlign w:val="center"/>
          </w:tcPr>
          <w:p>
            <w:pPr>
              <w:spacing w:before="0" w:after="0" w:line="240" w:lineRule="auto"/>
              <w:jc w:val="center"/>
            </w:pPr>
            <w:r>
              <w:rPr>
                <w:rFonts w:ascii="Noto Sans CJK SC" w:hAnsi="Noto Sans CJK SC" w:eastAsia="Noto Sans CJK SC"/>
                <w:b/>
                <w:color w:val="FFFFFF"/>
                <w:sz w:val="18"/>
              </w:rPr>
              <w:t>等级</w:t>
            </w:r>
          </w:p>
        </w:tc>
        <w:tc>
          <w:tcPr>
            <w:tcW w:type="dxa" w:w="7087"/>
            <w:shd w:fill="1F4E78"/>
            <w:tcMar>
              <w:top w:w="90" w:type="dxa"/>
              <w:start w:w="90" w:type="dxa"/>
              <w:bottom w:w="90" w:type="dxa"/>
              <w:end w:w="90" w:type="dxa"/>
            </w:tcMar>
            <w:vAlign w:val="center"/>
          </w:tcPr>
          <w:p>
            <w:pPr>
              <w:spacing w:before="0" w:after="0" w:line="240" w:lineRule="auto"/>
              <w:jc w:val="center"/>
            </w:pPr>
            <w:r>
              <w:rPr>
                <w:rFonts w:ascii="Noto Sans CJK SC" w:hAnsi="Noto Sans CJK SC" w:eastAsia="Noto Sans CJK SC"/>
                <w:b/>
                <w:color w:val="FFFFFF"/>
                <w:sz w:val="18"/>
              </w:rPr>
              <w:t>示例</w:t>
            </w:r>
          </w:p>
        </w:tc>
      </w:tr>
      <w:tr>
        <w:trPr>
          <w:cantSplit/>
          <w:trHeight w:hRule="atLeast"/>
        </w:trPr>
        <w:tc>
          <w:tcPr>
            <w:tcW w:type="dxa" w:w="1814"/>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INFO</w:t>
            </w:r>
          </w:p>
        </w:tc>
        <w:tc>
          <w:tcPr>
            <w:tcW w:type="dxa" w:w="7087"/>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Plan加载、买入完成、卖出完成、盘后对账完成</w:t>
            </w:r>
          </w:p>
        </w:tc>
      </w:tr>
      <w:tr>
        <w:trPr>
          <w:cantSplit/>
          <w:trHeight w:hRule="atLeast"/>
        </w:trPr>
        <w:tc>
          <w:tcPr>
            <w:tcW w:type="dxa" w:w="1814"/>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WARNING</w:t>
            </w:r>
          </w:p>
        </w:tc>
        <w:tc>
          <w:tcPr>
            <w:tcW w:type="dxa" w:w="7087"/>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完成率偏低、Tick延迟增大、Outbox积压、单票临近风险上限</w:t>
            </w:r>
          </w:p>
        </w:tc>
      </w:tr>
      <w:tr>
        <w:trPr>
          <w:cantSplit/>
          <w:trHeight w:hRule="atLeast"/>
        </w:trPr>
        <w:tc>
          <w:tcPr>
            <w:tcW w:type="dxa" w:w="1814"/>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CRITICAL</w:t>
            </w:r>
          </w:p>
        </w:tc>
        <w:tc>
          <w:tcPr>
            <w:tcW w:type="dxa" w:w="7087"/>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QMT断线、交易回报异常、订单UNKNOWN、持仓不一致、重复委托、runtime崩溃</w:t>
            </w:r>
          </w:p>
        </w:tc>
      </w:tr>
    </w:tbl>
    <w:p>
      <w:pPr>
        <w:spacing w:after="40"/>
      </w:pPr>
    </w:p>
    <w:p>
      <w:pPr>
        <w:pStyle w:val="Heading1"/>
        <w:keepNext/>
        <w:pageBreakBefore w:val="0"/>
      </w:pPr>
      <w:r>
        <w:rPr>
          <w:rFonts w:ascii="Noto Sans CJK SC" w:hAnsi="Noto Sans CJK SC" w:eastAsia="Noto Sans CJK SC"/>
          <w:b/>
          <w:color w:val="143A5F"/>
          <w:sz w:val="32"/>
        </w:rPr>
        <w:t>19. 数据能力与 QMT 权限要求</w:t>
      </w:r>
    </w:p>
    <w:p>
      <w:pPr>
        <w:pStyle w:val="Heading2"/>
        <w:keepNext/>
      </w:pPr>
      <w:r>
        <w:rPr>
          <w:rFonts w:ascii="Noto Sans CJK SC" w:hAnsi="Noto Sans CJK SC" w:eastAsia="Noto Sans CJK SC"/>
          <w:b/>
          <w:color w:val="1F4E79"/>
          <w:sz w:val="26"/>
        </w:rPr>
        <w:t>19.1 V1最低数据能力</w:t>
      </w:r>
    </w:p>
    <w:tbl>
      <w:tblPr>
        <w:tblStyle w:val="TableGrid"/>
        <w:tblW w:type="auto" w:w="0"/>
        <w:jc w:val="center"/>
        <w:tblLayout w:type="fixed"/>
        <w:tblLook w:firstColumn="1" w:firstRow="1" w:lastColumn="0" w:lastRow="0" w:noHBand="0" w:noVBand="1" w:val="04A0"/>
      </w:tblPr>
      <w:tblGrid>
        <w:gridCol w:w="3324"/>
        <w:gridCol w:w="3324"/>
        <w:gridCol w:w="3324"/>
      </w:tblGrid>
      <w:tr>
        <w:trPr>
          <w:trHeight w:hRule="atLeast"/>
          <w:tblHeader w:val="true"/>
          <w:cantSplit/>
        </w:trPr>
        <w:tc>
          <w:tcPr>
            <w:tcW w:type="dxa" w:w="2494"/>
            <w:shd w:fill="1F4E78"/>
            <w:tcMar>
              <w:top w:w="90" w:type="dxa"/>
              <w:start w:w="90" w:type="dxa"/>
              <w:bottom w:w="90" w:type="dxa"/>
              <w:end w:w="90" w:type="dxa"/>
            </w:tcMar>
            <w:vAlign w:val="center"/>
          </w:tcPr>
          <w:p>
            <w:pPr>
              <w:spacing w:before="0" w:after="0" w:line="240" w:lineRule="auto"/>
              <w:jc w:val="center"/>
            </w:pPr>
            <w:r>
              <w:rPr>
                <w:rFonts w:ascii="Noto Sans CJK SC" w:hAnsi="Noto Sans CJK SC" w:eastAsia="Noto Sans CJK SC"/>
                <w:b/>
                <w:color w:val="FFFFFF"/>
                <w:sz w:val="18"/>
              </w:rPr>
              <w:t>能力</w:t>
            </w:r>
          </w:p>
        </w:tc>
        <w:tc>
          <w:tcPr>
            <w:tcW w:type="dxa" w:w="1814"/>
            <w:shd w:fill="1F4E78"/>
            <w:tcMar>
              <w:top w:w="90" w:type="dxa"/>
              <w:start w:w="90" w:type="dxa"/>
              <w:bottom w:w="90" w:type="dxa"/>
              <w:end w:w="90" w:type="dxa"/>
            </w:tcMar>
            <w:vAlign w:val="center"/>
          </w:tcPr>
          <w:p>
            <w:pPr>
              <w:spacing w:before="0" w:after="0" w:line="240" w:lineRule="auto"/>
              <w:jc w:val="center"/>
            </w:pPr>
            <w:r>
              <w:rPr>
                <w:rFonts w:ascii="Noto Sans CJK SC" w:hAnsi="Noto Sans CJK SC" w:eastAsia="Noto Sans CJK SC"/>
                <w:b/>
                <w:color w:val="FFFFFF"/>
                <w:sz w:val="18"/>
              </w:rPr>
              <w:t>必须/建议</w:t>
            </w:r>
          </w:p>
        </w:tc>
        <w:tc>
          <w:tcPr>
            <w:tcW w:type="dxa" w:w="4535"/>
            <w:shd w:fill="1F4E78"/>
            <w:tcMar>
              <w:top w:w="90" w:type="dxa"/>
              <w:start w:w="90" w:type="dxa"/>
              <w:bottom w:w="90" w:type="dxa"/>
              <w:end w:w="90" w:type="dxa"/>
            </w:tcMar>
            <w:vAlign w:val="center"/>
          </w:tcPr>
          <w:p>
            <w:pPr>
              <w:spacing w:before="0" w:after="0" w:line="240" w:lineRule="auto"/>
              <w:jc w:val="center"/>
            </w:pPr>
            <w:r>
              <w:rPr>
                <w:rFonts w:ascii="Noto Sans CJK SC" w:hAnsi="Noto Sans CJK SC" w:eastAsia="Noto Sans CJK SC"/>
                <w:b/>
                <w:color w:val="FFFFFF"/>
                <w:sz w:val="18"/>
              </w:rPr>
              <w:t>说明</w:t>
            </w:r>
          </w:p>
        </w:tc>
      </w:tr>
      <w:tr>
        <w:trPr>
          <w:cantSplit/>
          <w:trHeight w:hRule="atLeast"/>
        </w:trPr>
        <w:tc>
          <w:tcPr>
            <w:tcW w:type="dxa" w:w="2494"/>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xtdata Tick订阅</w:t>
            </w:r>
          </w:p>
        </w:tc>
        <w:tc>
          <w:tcPr>
            <w:tcW w:type="dxa" w:w="1814"/>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必须</w:t>
            </w:r>
          </w:p>
        </w:tc>
        <w:tc>
          <w:tcPr>
            <w:tcW w:type="dxa" w:w="4535"/>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当前价、开高低、昨收、累计成交量/额、买卖档位</w:t>
            </w:r>
          </w:p>
        </w:tc>
      </w:tr>
      <w:tr>
        <w:trPr>
          <w:cantSplit/>
          <w:trHeight w:hRule="atLeast"/>
        </w:trPr>
        <w:tc>
          <w:tcPr>
            <w:tcW w:type="dxa" w:w="2494"/>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1分钟历史/实时</w:t>
            </w:r>
          </w:p>
        </w:tc>
        <w:tc>
          <w:tcPr>
            <w:tcW w:type="dxa" w:w="1814"/>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必须</w:t>
            </w:r>
          </w:p>
        </w:tc>
        <w:tc>
          <w:tcPr>
            <w:tcW w:type="dxa" w:w="4535"/>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同期成交额、VWAP/趋势辅助、策略复盘</w:t>
            </w:r>
          </w:p>
        </w:tc>
      </w:tr>
      <w:tr>
        <w:trPr>
          <w:cantSplit/>
          <w:trHeight w:hRule="atLeast"/>
        </w:trPr>
        <w:tc>
          <w:tcPr>
            <w:tcW w:type="dxa" w:w="2494"/>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xttrader资产/持仓</w:t>
            </w:r>
          </w:p>
        </w:tc>
        <w:tc>
          <w:tcPr>
            <w:tcW w:type="dxa" w:w="1814"/>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必须</w:t>
            </w:r>
          </w:p>
        </w:tc>
        <w:tc>
          <w:tcPr>
            <w:tcW w:type="dxa" w:w="4535"/>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真实资金与可卖数量</w:t>
            </w:r>
          </w:p>
        </w:tc>
      </w:tr>
      <w:tr>
        <w:trPr>
          <w:cantSplit/>
          <w:trHeight w:hRule="atLeast"/>
        </w:trPr>
        <w:tc>
          <w:tcPr>
            <w:tcW w:type="dxa" w:w="2494"/>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委托/成交查询</w:t>
            </w:r>
          </w:p>
        </w:tc>
        <w:tc>
          <w:tcPr>
            <w:tcW w:type="dxa" w:w="1814"/>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必须</w:t>
            </w:r>
          </w:p>
        </w:tc>
        <w:tc>
          <w:tcPr>
            <w:tcW w:type="dxa" w:w="4535"/>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对账和重启恢复</w:t>
            </w:r>
          </w:p>
        </w:tc>
      </w:tr>
      <w:tr>
        <w:trPr>
          <w:cantSplit/>
          <w:trHeight w:hRule="atLeast"/>
        </w:trPr>
        <w:tc>
          <w:tcPr>
            <w:tcW w:type="dxa" w:w="2494"/>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委托/成交/错误回调</w:t>
            </w:r>
          </w:p>
        </w:tc>
        <w:tc>
          <w:tcPr>
            <w:tcW w:type="dxa" w:w="1814"/>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必须</w:t>
            </w:r>
          </w:p>
        </w:tc>
        <w:tc>
          <w:tcPr>
            <w:tcW w:type="dxa" w:w="4535"/>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订单实时状态</w:t>
            </w:r>
          </w:p>
        </w:tc>
      </w:tr>
      <w:tr>
        <w:trPr>
          <w:cantSplit/>
          <w:trHeight w:hRule="atLeast"/>
        </w:trPr>
        <w:tc>
          <w:tcPr>
            <w:tcW w:type="dxa" w:w="2494"/>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外部Python实盘报撤单</w:t>
            </w:r>
          </w:p>
        </w:tc>
        <w:tc>
          <w:tcPr>
            <w:tcW w:type="dxa" w:w="1814"/>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必须</w:t>
            </w:r>
          </w:p>
        </w:tc>
        <w:tc>
          <w:tcPr>
            <w:tcW w:type="dxa" w:w="4535"/>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Windows交易执行核心</w:t>
            </w:r>
          </w:p>
        </w:tc>
      </w:tr>
      <w:tr>
        <w:trPr>
          <w:cantSplit/>
          <w:trHeight w:hRule="atLeast"/>
        </w:trPr>
        <w:tc>
          <w:tcPr>
            <w:tcW w:type="dxa" w:w="2494"/>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Level-2逐笔成交</w:t>
            </w:r>
          </w:p>
        </w:tc>
        <w:tc>
          <w:tcPr>
            <w:tcW w:type="dxa" w:w="1814"/>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建议V2</w:t>
            </w:r>
          </w:p>
        </w:tc>
        <w:tc>
          <w:tcPr>
            <w:tcW w:type="dxa" w:w="4535"/>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增强“拐头”和抛压确认</w:t>
            </w:r>
          </w:p>
        </w:tc>
      </w:tr>
      <w:tr>
        <w:trPr>
          <w:cantSplit/>
          <w:trHeight w:hRule="atLeast"/>
        </w:trPr>
        <w:tc>
          <w:tcPr>
            <w:tcW w:type="dxa" w:w="2494"/>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Level-2逐笔委托</w:t>
            </w:r>
          </w:p>
        </w:tc>
        <w:tc>
          <w:tcPr>
            <w:tcW w:type="dxa" w:w="1814"/>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后续</w:t>
            </w:r>
          </w:p>
        </w:tc>
        <w:tc>
          <w:tcPr>
            <w:tcW w:type="dxa" w:w="4535"/>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研究撤单/队列，不作为V1核心</w:t>
            </w:r>
          </w:p>
        </w:tc>
      </w:tr>
    </w:tbl>
    <w:p>
      <w:pPr>
        <w:spacing w:after="40"/>
      </w:pPr>
    </w:p>
    <w:p>
      <w:pPr>
        <w:pStyle w:val="Heading2"/>
        <w:keepNext/>
      </w:pPr>
      <w:r>
        <w:rPr>
          <w:rFonts w:ascii="Noto Sans CJK SC" w:hAnsi="Noto Sans CJK SC" w:eastAsia="Noto Sans CJK SC"/>
          <w:b/>
          <w:color w:val="1F4E79"/>
          <w:sz w:val="26"/>
        </w:rPr>
        <w:t>19.2 开户后POC验收清单</w:t>
      </w:r>
    </w:p>
    <w:p>
      <w:pPr>
        <w:spacing w:before="0" w:after="40" w:line="300" w:lineRule="auto"/>
        <w:ind w:left="198" w:hanging="198"/>
      </w:pPr>
      <w:r>
        <w:rPr>
          <w:rFonts w:ascii="Noto Sans CJK SC" w:hAnsi="Noto Sans CJK SC" w:eastAsia="Noto Sans CJK SC"/>
          <w:sz w:val="21"/>
        </w:rPr>
        <w:t xml:space="preserve">1. </w:t>
      </w:r>
      <w:r>
        <w:rPr>
          <w:rFonts w:ascii="Noto Sans CJK SC" w:hAnsi="Noto Sans CJK SC" w:eastAsia="Noto Sans CJK SC"/>
          <w:sz w:val="21"/>
        </w:rPr>
        <w:t>中金QMT勾选“独立交易”登录，userdata_mini及函数交易通信正常。</w:t>
      </w:r>
    </w:p>
    <w:p>
      <w:pPr>
        <w:spacing w:before="0" w:after="40" w:line="300" w:lineRule="auto"/>
        <w:ind w:left="198" w:hanging="198"/>
      </w:pPr>
      <w:r>
        <w:rPr>
          <w:rFonts w:ascii="Noto Sans CJK SC" w:hAnsi="Noto Sans CJK SC" w:eastAsia="Noto Sans CJK SC"/>
          <w:sz w:val="21"/>
        </w:rPr>
        <w:t xml:space="preserve">2. </w:t>
      </w:r>
      <w:r>
        <w:rPr>
          <w:rFonts w:ascii="Noto Sans CJK SC" w:hAnsi="Noto Sans CJK SC" w:eastAsia="Noto Sans CJK SC"/>
          <w:sz w:val="21"/>
        </w:rPr>
        <w:t>外部Python XtQuantTrader connect/subscribe成功。</w:t>
      </w:r>
    </w:p>
    <w:p>
      <w:pPr>
        <w:spacing w:before="0" w:after="40" w:line="300" w:lineRule="auto"/>
        <w:ind w:left="198" w:hanging="198"/>
      </w:pPr>
      <w:r>
        <w:rPr>
          <w:rFonts w:ascii="Noto Sans CJK SC" w:hAnsi="Noto Sans CJK SC" w:eastAsia="Noto Sans CJK SC"/>
          <w:sz w:val="21"/>
        </w:rPr>
        <w:t xml:space="preserve">3. </w:t>
      </w:r>
      <w:r>
        <w:rPr>
          <w:rFonts w:ascii="Noto Sans CJK SC" w:hAnsi="Noto Sans CJK SC" w:eastAsia="Noto Sans CJK SC"/>
          <w:sz w:val="21"/>
        </w:rPr>
        <w:t>query_stock_asset / positions / orders / trades返回正确。</w:t>
      </w:r>
    </w:p>
    <w:p>
      <w:pPr>
        <w:spacing w:before="0" w:after="40" w:line="300" w:lineRule="auto"/>
        <w:ind w:left="198" w:hanging="198"/>
      </w:pPr>
      <w:r>
        <w:rPr>
          <w:rFonts w:ascii="Noto Sans CJK SC" w:hAnsi="Noto Sans CJK SC" w:eastAsia="Noto Sans CJK SC"/>
          <w:sz w:val="21"/>
        </w:rPr>
        <w:t xml:space="preserve">4. </w:t>
      </w:r>
      <w:r>
        <w:rPr>
          <w:rFonts w:ascii="Noto Sans CJK SC" w:hAnsi="Noto Sans CJK SC" w:eastAsia="Noto Sans CJK SC"/>
          <w:sz w:val="21"/>
        </w:rPr>
        <w:t>单股Tick连续订阅一个完整交易时段，字段和时间更新正常。</w:t>
      </w:r>
    </w:p>
    <w:p>
      <w:pPr>
        <w:spacing w:before="0" w:after="40" w:line="300" w:lineRule="auto"/>
        <w:ind w:left="198" w:hanging="198"/>
      </w:pPr>
      <w:r>
        <w:rPr>
          <w:rFonts w:ascii="Noto Sans CJK SC" w:hAnsi="Noto Sans CJK SC" w:eastAsia="Noto Sans CJK SC"/>
          <w:sz w:val="21"/>
        </w:rPr>
        <w:t xml:space="preserve">5. </w:t>
      </w:r>
      <w:r>
        <w:rPr>
          <w:rFonts w:ascii="Noto Sans CJK SC" w:hAnsi="Noto Sans CJK SC" w:eastAsia="Noto Sans CJK SC"/>
          <w:sz w:val="21"/>
        </w:rPr>
        <w:t>最小数量合法委托、委托回调、撤单、撤单结果正常。</w:t>
      </w:r>
    </w:p>
    <w:p>
      <w:pPr>
        <w:spacing w:before="0" w:after="40" w:line="300" w:lineRule="auto"/>
        <w:ind w:left="198" w:hanging="198"/>
      </w:pPr>
      <w:r>
        <w:rPr>
          <w:rFonts w:ascii="Noto Sans CJK SC" w:hAnsi="Noto Sans CJK SC" w:eastAsia="Noto Sans CJK SC"/>
          <w:sz w:val="21"/>
        </w:rPr>
        <w:t xml:space="preserve">6. </w:t>
      </w:r>
      <w:r>
        <w:rPr>
          <w:rFonts w:ascii="Noto Sans CJK SC" w:hAnsi="Noto Sans CJK SC" w:eastAsia="Noto Sans CJK SC"/>
          <w:sz w:val="21"/>
        </w:rPr>
        <w:t>最小数量实际成交，成交回调、资金/持仓变化一致。</w:t>
      </w:r>
    </w:p>
    <w:p>
      <w:pPr>
        <w:spacing w:before="0" w:after="40" w:line="300" w:lineRule="auto"/>
        <w:ind w:left="198" w:hanging="198"/>
      </w:pPr>
      <w:r>
        <w:rPr>
          <w:rFonts w:ascii="Noto Sans CJK SC" w:hAnsi="Noto Sans CJK SC" w:eastAsia="Noto Sans CJK SC"/>
          <w:sz w:val="21"/>
        </w:rPr>
        <w:t xml:space="preserve">7. </w:t>
      </w:r>
      <w:r>
        <w:rPr>
          <w:rFonts w:ascii="Noto Sans CJK SC" w:hAnsi="Noto Sans CJK SC" w:eastAsia="Noto Sans CJK SC"/>
          <w:sz w:val="21"/>
        </w:rPr>
        <w:t>错误委托可收到明确错误信息。</w:t>
      </w:r>
    </w:p>
    <w:p>
      <w:pPr>
        <w:spacing w:before="0" w:after="40" w:line="300" w:lineRule="auto"/>
        <w:ind w:left="198" w:hanging="198"/>
      </w:pPr>
      <w:r>
        <w:rPr>
          <w:rFonts w:ascii="Noto Sans CJK SC" w:hAnsi="Noto Sans CJK SC" w:eastAsia="Noto Sans CJK SC"/>
          <w:sz w:val="21"/>
        </w:rPr>
        <w:t xml:space="preserve">8. </w:t>
      </w:r>
      <w:r>
        <w:rPr>
          <w:rFonts w:ascii="Noto Sans CJK SC" w:hAnsi="Noto Sans CJK SC" w:eastAsia="Noto Sans CJK SC"/>
          <w:sz w:val="21"/>
        </w:rPr>
        <w:t>程序重启后可重新查询当日订单/成交并恢复。</w:t>
      </w:r>
    </w:p>
    <w:p>
      <w:pPr>
        <w:spacing w:before="0" w:after="40" w:line="300" w:lineRule="auto"/>
        <w:ind w:left="198" w:hanging="198"/>
      </w:pPr>
      <w:r>
        <w:rPr>
          <w:rFonts w:ascii="Noto Sans CJK SC" w:hAnsi="Noto Sans CJK SC" w:eastAsia="Noto Sans CJK SC"/>
          <w:sz w:val="21"/>
        </w:rPr>
        <w:t xml:space="preserve">9. </w:t>
      </w:r>
      <w:r>
        <w:rPr>
          <w:rFonts w:ascii="Noto Sans CJK SC" w:hAnsi="Noto Sans CJK SC" w:eastAsia="Noto Sans CJK SC"/>
          <w:sz w:val="21"/>
        </w:rPr>
        <w:t>Windows服务器环境下RDP断开、后台断网等不影响QMT与runtime持续运行。</w:t>
      </w:r>
    </w:p>
    <w:p>
      <w:pPr>
        <w:pStyle w:val="Heading1"/>
        <w:keepNext/>
        <w:pageBreakBefore w:val="0"/>
      </w:pPr>
      <w:r>
        <w:rPr>
          <w:rFonts w:ascii="Noto Sans CJK SC" w:hAnsi="Noto Sans CJK SC" w:eastAsia="Noto Sans CJK SC"/>
          <w:b/>
          <w:color w:val="143A5F"/>
          <w:sz w:val="32"/>
        </w:rPr>
        <w:t>20. 中央量化后台的数据模型与接口</w:t>
      </w:r>
    </w:p>
    <w:p>
      <w:pPr>
        <w:pStyle w:val="Heading2"/>
        <w:keepNext/>
      </w:pPr>
      <w:r>
        <w:rPr>
          <w:rFonts w:ascii="Noto Sans CJK SC" w:hAnsi="Noto Sans CJK SC" w:eastAsia="Noto Sans CJK SC"/>
          <w:b/>
          <w:color w:val="1F4E79"/>
          <w:sz w:val="26"/>
        </w:rPr>
        <w:t>20.1 核心表建议</w:t>
      </w:r>
    </w:p>
    <w:tbl>
      <w:tblPr>
        <w:tblStyle w:val="TableGrid"/>
        <w:tblW w:type="auto" w:w="0"/>
        <w:jc w:val="center"/>
        <w:tblLayout w:type="fixed"/>
        <w:tblLook w:firstColumn="1" w:firstRow="1" w:lastColumn="0" w:lastRow="0" w:noHBand="0" w:noVBand="1" w:val="04A0"/>
      </w:tblPr>
      <w:tblGrid>
        <w:gridCol w:w="4986"/>
        <w:gridCol w:w="4986"/>
      </w:tblGrid>
      <w:tr>
        <w:trPr>
          <w:trHeight w:hRule="atLeast"/>
          <w:tblHeader w:val="true"/>
          <w:cantSplit/>
        </w:trPr>
        <w:tc>
          <w:tcPr>
            <w:tcW w:type="dxa" w:w="2835"/>
            <w:shd w:fill="1F4E78"/>
            <w:tcMar>
              <w:top w:w="90" w:type="dxa"/>
              <w:start w:w="90" w:type="dxa"/>
              <w:bottom w:w="90" w:type="dxa"/>
              <w:end w:w="90" w:type="dxa"/>
            </w:tcMar>
            <w:vAlign w:val="center"/>
          </w:tcPr>
          <w:p>
            <w:pPr>
              <w:spacing w:before="0" w:after="0" w:line="240" w:lineRule="auto"/>
              <w:jc w:val="center"/>
            </w:pPr>
            <w:r>
              <w:rPr>
                <w:rFonts w:ascii="Noto Sans CJK SC" w:hAnsi="Noto Sans CJK SC" w:eastAsia="Noto Sans CJK SC"/>
                <w:b/>
                <w:color w:val="FFFFFF"/>
                <w:sz w:val="18"/>
              </w:rPr>
              <w:t>表/实体</w:t>
            </w:r>
          </w:p>
        </w:tc>
        <w:tc>
          <w:tcPr>
            <w:tcW w:type="dxa" w:w="6066"/>
            <w:shd w:fill="1F4E78"/>
            <w:tcMar>
              <w:top w:w="90" w:type="dxa"/>
              <w:start w:w="90" w:type="dxa"/>
              <w:bottom w:w="90" w:type="dxa"/>
              <w:end w:w="90" w:type="dxa"/>
            </w:tcMar>
            <w:vAlign w:val="center"/>
          </w:tcPr>
          <w:p>
            <w:pPr>
              <w:spacing w:before="0" w:after="0" w:line="240" w:lineRule="auto"/>
              <w:jc w:val="center"/>
            </w:pPr>
            <w:r>
              <w:rPr>
                <w:rFonts w:ascii="Noto Sans CJK SC" w:hAnsi="Noto Sans CJK SC" w:eastAsia="Noto Sans CJK SC"/>
                <w:b/>
                <w:color w:val="FFFFFF"/>
                <w:sz w:val="18"/>
              </w:rPr>
              <w:t>用途</w:t>
            </w:r>
          </w:p>
        </w:tc>
      </w:tr>
      <w:tr>
        <w:trPr>
          <w:cantSplit/>
          <w:trHeight w:hRule="atLeast"/>
        </w:trPr>
        <w:tc>
          <w:tcPr>
            <w:tcW w:type="dxa" w:w="2835"/>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strategies / strategy_versions</w:t>
            </w:r>
          </w:p>
        </w:tc>
        <w:tc>
          <w:tcPr>
            <w:tcW w:type="dxa" w:w="6066"/>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选股、Entry/Exit/Risk/Execution版本</w:t>
            </w:r>
          </w:p>
        </w:tc>
      </w:tr>
      <w:tr>
        <w:trPr>
          <w:cantSplit/>
          <w:trHeight w:hRule="atLeast"/>
        </w:trPr>
        <w:tc>
          <w:tcPr>
            <w:tcW w:type="dxa" w:w="2835"/>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trade_plans / trade_plan_items</w:t>
            </w:r>
          </w:p>
        </w:tc>
        <w:tc>
          <w:tcPr>
            <w:tcW w:type="dxa" w:w="6066"/>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每日最终交易计划</w:t>
            </w:r>
          </w:p>
        </w:tc>
      </w:tr>
      <w:tr>
        <w:trPr>
          <w:cantSplit/>
          <w:trHeight w:hRule="atLeast"/>
        </w:trPr>
        <w:tc>
          <w:tcPr>
            <w:tcW w:type="dxa" w:w="2835"/>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signals</w:t>
            </w:r>
          </w:p>
        </w:tc>
        <w:tc>
          <w:tcPr>
            <w:tcW w:type="dxa" w:w="6066"/>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选股与策略信号详情</w:t>
            </w:r>
          </w:p>
        </w:tc>
      </w:tr>
      <w:tr>
        <w:trPr>
          <w:cantSplit/>
          <w:trHeight w:hRule="atLeast"/>
        </w:trPr>
        <w:tc>
          <w:tcPr>
            <w:tcW w:type="dxa" w:w="2835"/>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broker_orders</w:t>
            </w:r>
          </w:p>
        </w:tc>
        <w:tc>
          <w:tcPr>
            <w:tcW w:type="dxa" w:w="6066"/>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真实券商委托</w:t>
            </w:r>
          </w:p>
        </w:tc>
      </w:tr>
      <w:tr>
        <w:trPr>
          <w:cantSplit/>
          <w:trHeight w:hRule="atLeast"/>
        </w:trPr>
        <w:tc>
          <w:tcPr>
            <w:tcW w:type="dxa" w:w="2835"/>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broker_trades</w:t>
            </w:r>
          </w:p>
        </w:tc>
        <w:tc>
          <w:tcPr>
            <w:tcW w:type="dxa" w:w="6066"/>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真实成交</w:t>
            </w:r>
          </w:p>
        </w:tc>
      </w:tr>
      <w:tr>
        <w:trPr>
          <w:cantSplit/>
          <w:trHeight w:hRule="atLeast"/>
        </w:trPr>
        <w:tc>
          <w:tcPr>
            <w:tcW w:type="dxa" w:w="2835"/>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positions / position_snapshots</w:t>
            </w:r>
          </w:p>
        </w:tc>
        <w:tc>
          <w:tcPr>
            <w:tcW w:type="dxa" w:w="6066"/>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真实持仓历史</w:t>
            </w:r>
          </w:p>
        </w:tc>
      </w:tr>
      <w:tr>
        <w:trPr>
          <w:cantSplit/>
          <w:trHeight w:hRule="atLeast"/>
        </w:trPr>
        <w:tc>
          <w:tcPr>
            <w:tcW w:type="dxa" w:w="2835"/>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account_snapshots</w:t>
            </w:r>
          </w:p>
        </w:tc>
        <w:tc>
          <w:tcPr>
            <w:tcW w:type="dxa" w:w="6066"/>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总资产/现金/市值快照</w:t>
            </w:r>
          </w:p>
        </w:tc>
      </w:tr>
      <w:tr>
        <w:trPr>
          <w:cantSplit/>
          <w:trHeight w:hRule="atLeast"/>
        </w:trPr>
        <w:tc>
          <w:tcPr>
            <w:tcW w:type="dxa" w:w="2835"/>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execution_events</w:t>
            </w:r>
          </w:p>
        </w:tc>
        <w:tc>
          <w:tcPr>
            <w:tcW w:type="dxa" w:w="6066"/>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完整交易运行事件</w:t>
            </w:r>
          </w:p>
        </w:tc>
      </w:tr>
      <w:tr>
        <w:trPr>
          <w:cantSplit/>
          <w:trHeight w:hRule="atLeast"/>
        </w:trPr>
        <w:tc>
          <w:tcPr>
            <w:tcW w:type="dxa" w:w="2835"/>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risk_events</w:t>
            </w:r>
          </w:p>
        </w:tc>
        <w:tc>
          <w:tcPr>
            <w:tcW w:type="dxa" w:w="6066"/>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风控与控制事件</w:t>
            </w:r>
          </w:p>
        </w:tc>
      </w:tr>
      <w:tr>
        <w:trPr>
          <w:cantSplit/>
          <w:trHeight w:hRule="atLeast"/>
        </w:trPr>
        <w:tc>
          <w:tcPr>
            <w:tcW w:type="dxa" w:w="2835"/>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stock_trade_pnl</w:t>
            </w:r>
          </w:p>
        </w:tc>
        <w:tc>
          <w:tcPr>
            <w:tcW w:type="dxa" w:w="6066"/>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单笔/单股票交易收益</w:t>
            </w:r>
          </w:p>
        </w:tc>
      </w:tr>
      <w:tr>
        <w:trPr>
          <w:cantSplit/>
          <w:trHeight w:hRule="atLeast"/>
        </w:trPr>
        <w:tc>
          <w:tcPr>
            <w:tcW w:type="dxa" w:w="2835"/>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strategy_daily_pnl</w:t>
            </w:r>
          </w:p>
        </w:tc>
        <w:tc>
          <w:tcPr>
            <w:tcW w:type="dxa" w:w="6066"/>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策略日收益</w:t>
            </w:r>
          </w:p>
        </w:tc>
      </w:tr>
      <w:tr>
        <w:trPr>
          <w:cantSplit/>
          <w:trHeight w:hRule="atLeast"/>
        </w:trPr>
        <w:tc>
          <w:tcPr>
            <w:tcW w:type="dxa" w:w="2835"/>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execution_metrics</w:t>
            </w:r>
          </w:p>
        </w:tc>
        <w:tc>
          <w:tcPr>
            <w:tcW w:type="dxa" w:w="6066"/>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滑点、完成率、撤单、参与率</w:t>
            </w:r>
          </w:p>
        </w:tc>
      </w:tr>
      <w:tr>
        <w:trPr>
          <w:cantSplit/>
          <w:trHeight w:hRule="atLeast"/>
        </w:trPr>
        <w:tc>
          <w:tcPr>
            <w:tcW w:type="dxa" w:w="2835"/>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reconciliation_logs</w:t>
            </w:r>
          </w:p>
        </w:tc>
        <w:tc>
          <w:tcPr>
            <w:tcW w:type="dxa" w:w="6066"/>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QMT/Windows/后台对账结果</w:t>
            </w:r>
          </w:p>
        </w:tc>
      </w:tr>
    </w:tbl>
    <w:p>
      <w:pPr>
        <w:spacing w:after="40"/>
      </w:pPr>
    </w:p>
    <w:p>
      <w:pPr>
        <w:pStyle w:val="Heading2"/>
        <w:keepNext/>
      </w:pPr>
      <w:r>
        <w:rPr>
          <w:rFonts w:ascii="Noto Sans CJK SC" w:hAnsi="Noto Sans CJK SC" w:eastAsia="Noto Sans CJK SC"/>
          <w:b/>
          <w:color w:val="1F4E79"/>
          <w:sz w:val="26"/>
        </w:rPr>
        <w:t>20.2 后台API建议</w:t>
      </w:r>
    </w:p>
    <w:tbl>
      <w:tblPr>
        <w:tblStyle w:val="TableGrid"/>
        <w:tblW w:type="auto" w:w="0"/>
        <w:jc w:val="center"/>
        <w:tblLayout w:type="fixed"/>
        <w:tblLook w:firstColumn="1" w:firstRow="1" w:lastColumn="0" w:lastRow="0" w:noHBand="0" w:noVBand="1" w:val="04A0"/>
      </w:tblPr>
      <w:tblGrid>
        <w:gridCol w:w="4986"/>
        <w:gridCol w:w="4986"/>
      </w:tblGrid>
      <w:tr>
        <w:trPr>
          <w:trHeight w:hRule="atLeast"/>
          <w:tblHeader w:val="true"/>
          <w:cantSplit/>
        </w:trPr>
        <w:tc>
          <w:tcPr>
            <w:tcW w:type="dxa" w:w="3515"/>
            <w:shd w:fill="1F4E78"/>
            <w:tcMar>
              <w:top w:w="90" w:type="dxa"/>
              <w:start w:w="90" w:type="dxa"/>
              <w:bottom w:w="90" w:type="dxa"/>
              <w:end w:w="90" w:type="dxa"/>
            </w:tcMar>
            <w:vAlign w:val="center"/>
          </w:tcPr>
          <w:p>
            <w:pPr>
              <w:spacing w:before="0" w:after="0" w:line="240" w:lineRule="auto"/>
              <w:jc w:val="center"/>
            </w:pPr>
            <w:r>
              <w:rPr>
                <w:rFonts w:ascii="Noto Sans CJK SC" w:hAnsi="Noto Sans CJK SC" w:eastAsia="Noto Sans CJK SC"/>
                <w:b/>
                <w:color w:val="FFFFFF"/>
                <w:sz w:val="18"/>
              </w:rPr>
              <w:t>API</w:t>
            </w:r>
          </w:p>
        </w:tc>
        <w:tc>
          <w:tcPr>
            <w:tcW w:type="dxa" w:w="5386"/>
            <w:shd w:fill="1F4E78"/>
            <w:tcMar>
              <w:top w:w="90" w:type="dxa"/>
              <w:start w:w="90" w:type="dxa"/>
              <w:bottom w:w="90" w:type="dxa"/>
              <w:end w:w="90" w:type="dxa"/>
            </w:tcMar>
            <w:vAlign w:val="center"/>
          </w:tcPr>
          <w:p>
            <w:pPr>
              <w:spacing w:before="0" w:after="0" w:line="240" w:lineRule="auto"/>
              <w:jc w:val="center"/>
            </w:pPr>
            <w:r>
              <w:rPr>
                <w:rFonts w:ascii="Noto Sans CJK SC" w:hAnsi="Noto Sans CJK SC" w:eastAsia="Noto Sans CJK SC"/>
                <w:b/>
                <w:color w:val="FFFFFF"/>
                <w:sz w:val="18"/>
              </w:rPr>
              <w:t>用途</w:t>
            </w:r>
          </w:p>
        </w:tc>
      </w:tr>
      <w:tr>
        <w:trPr>
          <w:cantSplit/>
          <w:trHeight w:hRule="atLeast"/>
        </w:trPr>
        <w:tc>
          <w:tcPr>
            <w:tcW w:type="dxa" w:w="3515"/>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GET /trade-plans/current</w:t>
            </w:r>
          </w:p>
        </w:tc>
        <w:tc>
          <w:tcPr>
            <w:tcW w:type="dxa" w:w="5386"/>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Windows获取当前READY计划</w:t>
            </w:r>
          </w:p>
        </w:tc>
      </w:tr>
      <w:tr>
        <w:trPr>
          <w:cantSplit/>
          <w:trHeight w:hRule="atLeast"/>
        </w:trPr>
        <w:tc>
          <w:tcPr>
            <w:tcW w:type="dxa" w:w="3515"/>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POST /trading/events/batch</w:t>
            </w:r>
          </w:p>
        </w:tc>
        <w:tc>
          <w:tcPr>
            <w:tcW w:type="dxa" w:w="5386"/>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Outbox批量上传，event_id幂等</w:t>
            </w:r>
          </w:p>
        </w:tc>
      </w:tr>
      <w:tr>
        <w:trPr>
          <w:cantSplit/>
          <w:trHeight w:hRule="atLeast"/>
        </w:trPr>
        <w:tc>
          <w:tcPr>
            <w:tcW w:type="dxa" w:w="3515"/>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POST /broker/snapshots</w:t>
            </w:r>
          </w:p>
        </w:tc>
        <w:tc>
          <w:tcPr>
            <w:tcW w:type="dxa" w:w="5386"/>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账户/持仓快照</w:t>
            </w:r>
          </w:p>
        </w:tc>
      </w:tr>
      <w:tr>
        <w:trPr>
          <w:cantSplit/>
          <w:trHeight w:hRule="atLeast"/>
        </w:trPr>
        <w:tc>
          <w:tcPr>
            <w:tcW w:type="dxa" w:w="3515"/>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GET /runtime/commands</w:t>
            </w:r>
          </w:p>
        </w:tc>
        <w:tc>
          <w:tcPr>
            <w:tcW w:type="dxa" w:w="5386"/>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可选后台远程控制命令</w:t>
            </w:r>
          </w:p>
        </w:tc>
      </w:tr>
      <w:tr>
        <w:trPr>
          <w:cantSplit/>
          <w:trHeight w:hRule="atLeast"/>
        </w:trPr>
        <w:tc>
          <w:tcPr>
            <w:tcW w:type="dxa" w:w="3515"/>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POST /runtime/health</w:t>
            </w:r>
          </w:p>
        </w:tc>
        <w:tc>
          <w:tcPr>
            <w:tcW w:type="dxa" w:w="5386"/>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Windows心跳与模式</w:t>
            </w:r>
          </w:p>
        </w:tc>
      </w:tr>
      <w:tr>
        <w:trPr>
          <w:cantSplit/>
          <w:trHeight w:hRule="atLeast"/>
        </w:trPr>
        <w:tc>
          <w:tcPr>
            <w:tcW w:type="dxa" w:w="3515"/>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GET /ledger/today</w:t>
            </w:r>
          </w:p>
        </w:tc>
        <w:tc>
          <w:tcPr>
            <w:tcW w:type="dxa" w:w="5386"/>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重启Reconcile时获取后台当日已记录事实</w:t>
            </w:r>
          </w:p>
        </w:tc>
      </w:tr>
      <w:tr>
        <w:trPr>
          <w:cantSplit/>
          <w:trHeight w:hRule="atLeast"/>
        </w:trPr>
        <w:tc>
          <w:tcPr>
            <w:tcW w:type="dxa" w:w="3515"/>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POST /reconciliation</w:t>
            </w:r>
          </w:p>
        </w:tc>
        <w:tc>
          <w:tcPr>
            <w:tcW w:type="dxa" w:w="5386"/>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上传对账结果</w:t>
            </w:r>
          </w:p>
        </w:tc>
      </w:tr>
    </w:tbl>
    <w:p>
      <w:pPr>
        <w:spacing w:after="40"/>
      </w:pPr>
    </w:p>
    <w:p>
      <w:pPr>
        <w:pStyle w:val="Heading1"/>
        <w:keepNext/>
        <w:pageBreakBefore w:val="0"/>
      </w:pPr>
      <w:r>
        <w:rPr>
          <w:rFonts w:ascii="Noto Sans CJK SC" w:hAnsi="Noto Sans CJK SC" w:eastAsia="Noto Sans CJK SC"/>
          <w:b/>
          <w:color w:val="143A5F"/>
          <w:sz w:val="32"/>
        </w:rPr>
        <w:t>21. 安全与部署建议</w:t>
      </w:r>
    </w:p>
    <w:p>
      <w:pPr>
        <w:pStyle w:val="ListBullet"/>
        <w:spacing w:before="0" w:after="40" w:line="300" w:lineRule="auto"/>
      </w:pPr>
      <w:r>
        <w:rPr>
          <w:rFonts w:ascii="Noto Sans CJK SC" w:hAnsi="Noto Sans CJK SC" w:eastAsia="Noto Sans CJK SC"/>
          <w:sz w:val="21"/>
        </w:rPr>
        <w:t>Windows交易节点使用专用账户运行，QMT交易密码/敏感配置不得写入Git。</w:t>
      </w:r>
    </w:p>
    <w:p>
      <w:pPr>
        <w:pStyle w:val="ListBullet"/>
        <w:spacing w:before="0" w:after="40" w:line="300" w:lineRule="auto"/>
      </w:pPr>
      <w:r>
        <w:rPr>
          <w:rFonts w:ascii="Noto Sans CJK SC" w:hAnsi="Noto Sans CJK SC" w:eastAsia="Noto Sans CJK SC"/>
          <w:sz w:val="21"/>
        </w:rPr>
        <w:t>Windows服务器只开放必要远程管理通道；若部署阿里云，RDP尽量限制固定IP或使用安全接入。</w:t>
      </w:r>
    </w:p>
    <w:p>
      <w:pPr>
        <w:pStyle w:val="ListBullet"/>
        <w:spacing w:before="0" w:after="40" w:line="300" w:lineRule="auto"/>
      </w:pPr>
      <w:r>
        <w:rPr>
          <w:rFonts w:ascii="Noto Sans CJK SC" w:hAnsi="Noto Sans CJK SC" w:eastAsia="Noto Sans CJK SC"/>
          <w:sz w:val="21"/>
        </w:rPr>
        <w:t>量化后台和Windows之间使用TLS、Token/签名以及请求时间戳；TradePlan需校验plan_id、trade_date、version和过期时间。</w:t>
      </w:r>
    </w:p>
    <w:p>
      <w:pPr>
        <w:pStyle w:val="ListBullet"/>
        <w:spacing w:before="0" w:after="40" w:line="300" w:lineRule="auto"/>
      </w:pPr>
      <w:r>
        <w:rPr>
          <w:rFonts w:ascii="Noto Sans CJK SC" w:hAnsi="Noto Sans CJK SC" w:eastAsia="Noto Sans CJK SC"/>
          <w:sz w:val="21"/>
        </w:rPr>
        <w:t>中央后台不能直接远程执行任意代码；所有运行控制只能使用枚举化Command。</w:t>
      </w:r>
    </w:p>
    <w:p>
      <w:pPr>
        <w:pStyle w:val="ListBullet"/>
        <w:spacing w:before="0" w:after="40" w:line="300" w:lineRule="auto"/>
      </w:pPr>
      <w:r>
        <w:rPr>
          <w:rFonts w:ascii="Noto Sans CJK SC" w:hAnsi="Noto Sans CJK SC" w:eastAsia="Noto Sans CJK SC"/>
          <w:sz w:val="21"/>
        </w:rPr>
        <w:t>实盘模式必须有显著LIVE标识；默认live_enabled=false，只有验收后人工切换。</w:t>
      </w:r>
    </w:p>
    <w:p>
      <w:pPr>
        <w:pStyle w:val="ListBullet"/>
        <w:spacing w:before="0" w:after="40" w:line="300" w:lineRule="auto"/>
      </w:pPr>
      <w:r>
        <w:rPr>
          <w:rFonts w:ascii="Noto Sans CJK SC" w:hAnsi="Noto Sans CJK SC" w:eastAsia="Noto Sans CJK SC"/>
          <w:sz w:val="21"/>
        </w:rPr>
        <w:t>系统时钟需可靠同步，交易日志同时保存exchange_time、receive_time和local_monotonic参考。</w:t>
      </w:r>
    </w:p>
    <w:p>
      <w:pPr>
        <w:pStyle w:val="Heading1"/>
        <w:keepNext/>
        <w:pageBreakBefore w:val="0"/>
      </w:pPr>
      <w:r>
        <w:rPr>
          <w:rFonts w:ascii="Noto Sans CJK SC" w:hAnsi="Noto Sans CJK SC" w:eastAsia="Noto Sans CJK SC"/>
          <w:b/>
          <w:color w:val="143A5F"/>
          <w:sz w:val="32"/>
        </w:rPr>
        <w:t>22. 测试、回放、验收与上线流程</w:t>
      </w:r>
    </w:p>
    <w:p>
      <w:pPr>
        <w:pStyle w:val="Heading2"/>
        <w:keepNext/>
      </w:pPr>
      <w:r>
        <w:rPr>
          <w:rFonts w:ascii="Noto Sans CJK SC" w:hAnsi="Noto Sans CJK SC" w:eastAsia="Noto Sans CJK SC"/>
          <w:b/>
          <w:color w:val="1F4E79"/>
          <w:sz w:val="26"/>
        </w:rPr>
        <w:t>22.1 五种运行模式</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rHeight w:hRule="atLeast"/>
          <w:tblHeader w:val="true"/>
          <w:cantSplit/>
        </w:trPr>
        <w:tc>
          <w:tcPr>
            <w:tcW w:type="dxa" w:w="1701"/>
            <w:shd w:fill="1F4E78"/>
            <w:tcMar>
              <w:top w:w="90" w:type="dxa"/>
              <w:start w:w="90" w:type="dxa"/>
              <w:bottom w:w="90" w:type="dxa"/>
              <w:end w:w="90" w:type="dxa"/>
            </w:tcMar>
            <w:vAlign w:val="center"/>
          </w:tcPr>
          <w:p>
            <w:pPr>
              <w:spacing w:before="0" w:after="0" w:line="240" w:lineRule="auto"/>
              <w:jc w:val="center"/>
            </w:pPr>
            <w:r>
              <w:rPr>
                <w:rFonts w:ascii="Noto Sans CJK SC" w:hAnsi="Noto Sans CJK SC" w:eastAsia="Noto Sans CJK SC"/>
                <w:b/>
                <w:color w:val="FFFFFF"/>
                <w:sz w:val="18"/>
              </w:rPr>
              <w:t>模式</w:t>
            </w:r>
          </w:p>
        </w:tc>
        <w:tc>
          <w:tcPr>
            <w:tcW w:type="dxa" w:w="2835"/>
            <w:shd w:fill="1F4E78"/>
            <w:tcMar>
              <w:top w:w="90" w:type="dxa"/>
              <w:start w:w="90" w:type="dxa"/>
              <w:bottom w:w="90" w:type="dxa"/>
              <w:end w:w="90" w:type="dxa"/>
            </w:tcMar>
            <w:vAlign w:val="center"/>
          </w:tcPr>
          <w:p>
            <w:pPr>
              <w:spacing w:before="0" w:after="0" w:line="240" w:lineRule="auto"/>
              <w:jc w:val="center"/>
            </w:pPr>
            <w:r>
              <w:rPr>
                <w:rFonts w:ascii="Noto Sans CJK SC" w:hAnsi="Noto Sans CJK SC" w:eastAsia="Noto Sans CJK SC"/>
                <w:b/>
                <w:color w:val="FFFFFF"/>
                <w:sz w:val="18"/>
              </w:rPr>
              <w:t>行情</w:t>
            </w:r>
          </w:p>
        </w:tc>
        <w:tc>
          <w:tcPr>
            <w:tcW w:type="dxa" w:w="2268"/>
            <w:shd w:fill="1F4E78"/>
            <w:tcMar>
              <w:top w:w="90" w:type="dxa"/>
              <w:start w:w="90" w:type="dxa"/>
              <w:bottom w:w="90" w:type="dxa"/>
              <w:end w:w="90" w:type="dxa"/>
            </w:tcMar>
            <w:vAlign w:val="center"/>
          </w:tcPr>
          <w:p>
            <w:pPr>
              <w:spacing w:before="0" w:after="0" w:line="240" w:lineRule="auto"/>
              <w:jc w:val="center"/>
            </w:pPr>
            <w:r>
              <w:rPr>
                <w:rFonts w:ascii="Noto Sans CJK SC" w:hAnsi="Noto Sans CJK SC" w:eastAsia="Noto Sans CJK SC"/>
                <w:b/>
                <w:color w:val="FFFFFF"/>
                <w:sz w:val="18"/>
              </w:rPr>
              <w:t>订单</w:t>
            </w:r>
          </w:p>
        </w:tc>
        <w:tc>
          <w:tcPr>
            <w:tcW w:type="dxa" w:w="2098"/>
            <w:shd w:fill="1F4E78"/>
            <w:tcMar>
              <w:top w:w="90" w:type="dxa"/>
              <w:start w:w="90" w:type="dxa"/>
              <w:bottom w:w="90" w:type="dxa"/>
              <w:end w:w="90" w:type="dxa"/>
            </w:tcMar>
            <w:vAlign w:val="center"/>
          </w:tcPr>
          <w:p>
            <w:pPr>
              <w:spacing w:before="0" w:after="0" w:line="240" w:lineRule="auto"/>
              <w:jc w:val="center"/>
            </w:pPr>
            <w:r>
              <w:rPr>
                <w:rFonts w:ascii="Noto Sans CJK SC" w:hAnsi="Noto Sans CJK SC" w:eastAsia="Noto Sans CJK SC"/>
                <w:b/>
                <w:color w:val="FFFFFF"/>
                <w:sz w:val="18"/>
              </w:rPr>
              <w:t>用途</w:t>
            </w:r>
          </w:p>
        </w:tc>
      </w:tr>
      <w:tr>
        <w:trPr>
          <w:cantSplit/>
          <w:trHeight w:hRule="atLeast"/>
        </w:trPr>
        <w:tc>
          <w:tcPr>
            <w:tcW w:type="dxa" w:w="1701"/>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BACKTEST</w:t>
            </w:r>
          </w:p>
        </w:tc>
        <w:tc>
          <w:tcPr>
            <w:tcW w:type="dxa" w:w="2835"/>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历史聚合/模拟</w:t>
            </w:r>
          </w:p>
        </w:tc>
        <w:tc>
          <w:tcPr>
            <w:tcW w:type="dxa" w:w="2268"/>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模拟</w:t>
            </w:r>
          </w:p>
        </w:tc>
        <w:tc>
          <w:tcPr>
            <w:tcW w:type="dxa" w:w="2098"/>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策略研发</w:t>
            </w:r>
          </w:p>
        </w:tc>
      </w:tr>
      <w:tr>
        <w:trPr>
          <w:cantSplit/>
          <w:trHeight w:hRule="atLeast"/>
        </w:trPr>
        <w:tc>
          <w:tcPr>
            <w:tcW w:type="dxa" w:w="1701"/>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REPLAY</w:t>
            </w:r>
          </w:p>
        </w:tc>
        <w:tc>
          <w:tcPr>
            <w:tcW w:type="dxa" w:w="2835"/>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历史Tick按原时间顺序重放</w:t>
            </w:r>
          </w:p>
        </w:tc>
        <w:tc>
          <w:tcPr>
            <w:tcW w:type="dxa" w:w="2268"/>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模拟成交</w:t>
            </w:r>
          </w:p>
        </w:tc>
        <w:tc>
          <w:tcPr>
            <w:tcW w:type="dxa" w:w="2098"/>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验证状态机和卖出策略</w:t>
            </w:r>
          </w:p>
        </w:tc>
      </w:tr>
      <w:tr>
        <w:trPr>
          <w:cantSplit/>
          <w:trHeight w:hRule="atLeast"/>
        </w:trPr>
        <w:tc>
          <w:tcPr>
            <w:tcW w:type="dxa" w:w="1701"/>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PAPER</w:t>
            </w:r>
          </w:p>
        </w:tc>
        <w:tc>
          <w:tcPr>
            <w:tcW w:type="dxa" w:w="2835"/>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实时QMT行情</w:t>
            </w:r>
          </w:p>
        </w:tc>
        <w:tc>
          <w:tcPr>
            <w:tcW w:type="dxa" w:w="2268"/>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本地模拟</w:t>
            </w:r>
          </w:p>
        </w:tc>
        <w:tc>
          <w:tcPr>
            <w:tcW w:type="dxa" w:w="2098"/>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影子跟踪实盘环境</w:t>
            </w:r>
          </w:p>
        </w:tc>
      </w:tr>
      <w:tr>
        <w:trPr>
          <w:cantSplit/>
          <w:trHeight w:hRule="atLeast"/>
        </w:trPr>
        <w:tc>
          <w:tcPr>
            <w:tcW w:type="dxa" w:w="1701"/>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SHADOW</w:t>
            </w:r>
          </w:p>
        </w:tc>
        <w:tc>
          <w:tcPr>
            <w:tcW w:type="dxa" w:w="2835"/>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实时行情</w:t>
            </w:r>
          </w:p>
        </w:tc>
        <w:tc>
          <w:tcPr>
            <w:tcW w:type="dxa" w:w="2268"/>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只记录“应下单”</w:t>
            </w:r>
          </w:p>
        </w:tc>
        <w:tc>
          <w:tcPr>
            <w:tcW w:type="dxa" w:w="2098"/>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与人工/Active策略比较</w:t>
            </w:r>
          </w:p>
        </w:tc>
      </w:tr>
      <w:tr>
        <w:trPr>
          <w:cantSplit/>
          <w:trHeight w:hRule="atLeast"/>
        </w:trPr>
        <w:tc>
          <w:tcPr>
            <w:tcW w:type="dxa" w:w="1701"/>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LIVE</w:t>
            </w:r>
          </w:p>
        </w:tc>
        <w:tc>
          <w:tcPr>
            <w:tcW w:type="dxa" w:w="2835"/>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实时QMT</w:t>
            </w:r>
          </w:p>
        </w:tc>
        <w:tc>
          <w:tcPr>
            <w:tcW w:type="dxa" w:w="2268"/>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真实QMT委托</w:t>
            </w:r>
          </w:p>
        </w:tc>
        <w:tc>
          <w:tcPr>
            <w:tcW w:type="dxa" w:w="2098"/>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正式交易</w:t>
            </w:r>
          </w:p>
        </w:tc>
      </w:tr>
    </w:tbl>
    <w:p>
      <w:pPr>
        <w:spacing w:after="40"/>
      </w:pPr>
    </w:p>
    <w:p>
      <w:pPr>
        <w:pStyle w:val="Heading2"/>
        <w:keepNext/>
      </w:pPr>
      <w:r>
        <w:rPr>
          <w:rFonts w:ascii="Noto Sans CJK SC" w:hAnsi="Noto Sans CJK SC" w:eastAsia="Noto Sans CJK SC"/>
          <w:b/>
          <w:color w:val="1F4E79"/>
          <w:sz w:val="26"/>
        </w:rPr>
        <w:t>22.2 必测异常</w:t>
      </w:r>
    </w:p>
    <w:p>
      <w:pPr>
        <w:pStyle w:val="ListBullet"/>
        <w:spacing w:before="0" w:after="40" w:line="300" w:lineRule="auto"/>
      </w:pPr>
      <w:r>
        <w:rPr>
          <w:rFonts w:ascii="Noto Sans CJK SC" w:hAnsi="Noto Sans CJK SC" w:eastAsia="Noto Sans CJK SC"/>
          <w:sz w:val="21"/>
        </w:rPr>
        <w:t>QMT断线与重连；QMT进程重启；trade-runtime重启。</w:t>
      </w:r>
    </w:p>
    <w:p>
      <w:pPr>
        <w:pStyle w:val="ListBullet"/>
        <w:spacing w:before="0" w:after="40" w:line="300" w:lineRule="auto"/>
      </w:pPr>
      <w:r>
        <w:rPr>
          <w:rFonts w:ascii="Noto Sans CJK SC" w:hAnsi="Noto Sans CJK SC" w:eastAsia="Noto Sans CJK SC"/>
          <w:sz w:val="21"/>
        </w:rPr>
        <w:t>后台/API/MySQL完全断网30分钟。</w:t>
      </w:r>
    </w:p>
    <w:p>
      <w:pPr>
        <w:pStyle w:val="ListBullet"/>
        <w:spacing w:before="0" w:after="40" w:line="300" w:lineRule="auto"/>
      </w:pPr>
      <w:r>
        <w:rPr>
          <w:rFonts w:ascii="Noto Sans CJK SC" w:hAnsi="Noto Sans CJK SC" w:eastAsia="Noto Sans CJK SC"/>
          <w:sz w:val="21"/>
        </w:rPr>
        <w:t>部分成交、撤单、部撤、废单、价格非法、超过可卖数量。</w:t>
      </w:r>
    </w:p>
    <w:p>
      <w:pPr>
        <w:pStyle w:val="ListBullet"/>
        <w:spacing w:before="0" w:after="40" w:line="300" w:lineRule="auto"/>
      </w:pPr>
      <w:r>
        <w:rPr>
          <w:rFonts w:ascii="Noto Sans CJK SC" w:hAnsi="Noto Sans CJK SC" w:eastAsia="Noto Sans CJK SC"/>
          <w:sz w:val="21"/>
        </w:rPr>
        <w:t>重复Tick、乱序/陈旧Tick、停牌、涨跌停、无有效盘口。</w:t>
      </w:r>
    </w:p>
    <w:p>
      <w:pPr>
        <w:pStyle w:val="ListBullet"/>
        <w:spacing w:before="0" w:after="40" w:line="300" w:lineRule="auto"/>
      </w:pPr>
      <w:r>
        <w:rPr>
          <w:rFonts w:ascii="Noto Sans CJK SC" w:hAnsi="Noto Sans CJK SC" w:eastAsia="Noto Sans CJK SC"/>
          <w:sz w:val="21"/>
        </w:rPr>
        <w:t>人工在QMT中下单后系统识别和对账。</w:t>
      </w:r>
    </w:p>
    <w:p>
      <w:pPr>
        <w:pStyle w:val="ListBullet"/>
        <w:spacing w:before="0" w:after="40" w:line="300" w:lineRule="auto"/>
      </w:pPr>
      <w:r>
        <w:rPr>
          <w:rFonts w:ascii="Noto Sans CJK SC" w:hAnsi="Noto Sans CJK SC" w:eastAsia="Noto Sans CJK SC"/>
          <w:sz w:val="21"/>
        </w:rPr>
        <w:t>PAUSE BUY/SELL、SELL ONLY、MANUAL、HALT各种切换过程中存在活动订单。</w:t>
      </w:r>
    </w:p>
    <w:p>
      <w:pPr>
        <w:pStyle w:val="ListBullet"/>
        <w:spacing w:before="0" w:after="40" w:line="300" w:lineRule="auto"/>
      </w:pPr>
      <w:r>
        <w:rPr>
          <w:rFonts w:ascii="Noto Sans CJK SC" w:hAnsi="Noto Sans CJK SC" w:eastAsia="Noto Sans CJK SC"/>
          <w:sz w:val="21"/>
        </w:rPr>
        <w:t>重启后原来处于MANUAL/PAUSED状态不能误恢复AUTO。</w:t>
      </w:r>
    </w:p>
    <w:p>
      <w:pPr>
        <w:pStyle w:val="Heading2"/>
        <w:keepNext/>
      </w:pPr>
      <w:r>
        <w:rPr>
          <w:rFonts w:ascii="Noto Sans CJK SC" w:hAnsi="Noto Sans CJK SC" w:eastAsia="Noto Sans CJK SC"/>
          <w:b/>
          <w:color w:val="1F4E79"/>
          <w:sz w:val="26"/>
        </w:rPr>
        <w:t>22.3 上线路线</w:t>
      </w:r>
    </w:p>
    <w:p>
      <w:pPr>
        <w:spacing w:before="0" w:after="40" w:line="300" w:lineRule="auto"/>
        <w:ind w:left="198" w:hanging="198"/>
      </w:pPr>
      <w:r>
        <w:rPr>
          <w:rFonts w:ascii="Noto Sans CJK SC" w:hAnsi="Noto Sans CJK SC" w:eastAsia="Noto Sans CJK SC"/>
          <w:sz w:val="21"/>
        </w:rPr>
        <w:t xml:space="preserve">1. </w:t>
      </w:r>
      <w:r>
        <w:rPr>
          <w:rFonts w:ascii="Noto Sans CJK SC" w:hAnsi="Noto Sans CJK SC" w:eastAsia="Noto Sans CJK SC"/>
          <w:sz w:val="21"/>
        </w:rPr>
        <w:t>开户前：完成MockBroker、QMT Adapter、Replay、核心状态机、Outbox、控制面和验收工具。</w:t>
      </w:r>
    </w:p>
    <w:p>
      <w:pPr>
        <w:spacing w:before="0" w:after="40" w:line="300" w:lineRule="auto"/>
        <w:ind w:left="198" w:hanging="198"/>
      </w:pPr>
      <w:r>
        <w:rPr>
          <w:rFonts w:ascii="Noto Sans CJK SC" w:hAnsi="Noto Sans CJK SC" w:eastAsia="Noto Sans CJK SC"/>
          <w:sz w:val="21"/>
        </w:rPr>
        <w:t xml:space="preserve">2. </w:t>
      </w:r>
      <w:r>
        <w:rPr>
          <w:rFonts w:ascii="Noto Sans CJK SC" w:hAnsi="Noto Sans CJK SC" w:eastAsia="Noto Sans CJK SC"/>
          <w:sz w:val="21"/>
        </w:rPr>
        <w:t>开户后零风险：连接、查询、Tick、回调只读测试。</w:t>
      </w:r>
    </w:p>
    <w:p>
      <w:pPr>
        <w:spacing w:before="0" w:after="40" w:line="300" w:lineRule="auto"/>
        <w:ind w:left="198" w:hanging="198"/>
      </w:pPr>
      <w:r>
        <w:rPr>
          <w:rFonts w:ascii="Noto Sans CJK SC" w:hAnsi="Noto Sans CJK SC" w:eastAsia="Noto Sans CJK SC"/>
          <w:sz w:val="21"/>
        </w:rPr>
        <w:t xml:space="preserve">3. </w:t>
      </w:r>
      <w:r>
        <w:rPr>
          <w:rFonts w:ascii="Noto Sans CJK SC" w:hAnsi="Noto Sans CJK SC" w:eastAsia="Noto Sans CJK SC"/>
          <w:sz w:val="21"/>
        </w:rPr>
        <w:t>最小资金：100股级别的报单、撤单、成交闭环。</w:t>
      </w:r>
    </w:p>
    <w:p>
      <w:pPr>
        <w:spacing w:before="0" w:after="40" w:line="300" w:lineRule="auto"/>
        <w:ind w:left="198" w:hanging="198"/>
      </w:pPr>
      <w:r>
        <w:rPr>
          <w:rFonts w:ascii="Noto Sans CJK SC" w:hAnsi="Noto Sans CJK SC" w:eastAsia="Noto Sans CJK SC"/>
          <w:sz w:val="21"/>
        </w:rPr>
        <w:t xml:space="preserve">4. </w:t>
      </w:r>
      <w:r>
        <w:rPr>
          <w:rFonts w:ascii="Noto Sans CJK SC" w:hAnsi="Noto Sans CJK SC" w:eastAsia="Noto Sans CJK SC"/>
          <w:sz w:val="21"/>
        </w:rPr>
        <w:t>先自动卖出：人工/半自动买入，次日让Exit Policy实盘执行。</w:t>
      </w:r>
    </w:p>
    <w:p>
      <w:pPr>
        <w:spacing w:before="0" w:after="40" w:line="300" w:lineRule="auto"/>
        <w:ind w:left="198" w:hanging="198"/>
      </w:pPr>
      <w:r>
        <w:rPr>
          <w:rFonts w:ascii="Noto Sans CJK SC" w:hAnsi="Noto Sans CJK SC" w:eastAsia="Noto Sans CJK SC"/>
          <w:sz w:val="21"/>
        </w:rPr>
        <w:t xml:space="preserve">5. </w:t>
      </w:r>
      <w:r>
        <w:rPr>
          <w:rFonts w:ascii="Noto Sans CJK SC" w:hAnsi="Noto Sans CJK SC" w:eastAsia="Noto Sans CJK SC"/>
          <w:sz w:val="21"/>
        </w:rPr>
        <w:t>影子买入：程序计算下单但不实发，与人工成交对比滑点。</w:t>
      </w:r>
    </w:p>
    <w:p>
      <w:pPr>
        <w:spacing w:before="0" w:after="40" w:line="300" w:lineRule="auto"/>
        <w:ind w:left="198" w:hanging="198"/>
      </w:pPr>
      <w:r>
        <w:rPr>
          <w:rFonts w:ascii="Noto Sans CJK SC" w:hAnsi="Noto Sans CJK SC" w:eastAsia="Noto Sans CJK SC"/>
          <w:sz w:val="21"/>
        </w:rPr>
        <w:t xml:space="preserve">6. </w:t>
      </w:r>
      <w:r>
        <w:rPr>
          <w:rFonts w:ascii="Noto Sans CJK SC" w:hAnsi="Noto Sans CJK SC" w:eastAsia="Noto Sans CJK SC"/>
          <w:sz w:val="21"/>
        </w:rPr>
        <w:t>小资金完整自动买卖：约2-10万元。</w:t>
      </w:r>
    </w:p>
    <w:p>
      <w:pPr>
        <w:spacing w:before="0" w:after="40" w:line="300" w:lineRule="auto"/>
        <w:ind w:left="198" w:hanging="198"/>
      </w:pPr>
      <w:r>
        <w:rPr>
          <w:rFonts w:ascii="Noto Sans CJK SC" w:hAnsi="Noto Sans CJK SC" w:eastAsia="Noto Sans CJK SC"/>
          <w:sz w:val="21"/>
        </w:rPr>
        <w:t xml:space="preserve">7. </w:t>
      </w:r>
      <w:r>
        <w:rPr>
          <w:rFonts w:ascii="Noto Sans CJK SC" w:hAnsi="Noto Sans CJK SC" w:eastAsia="Noto Sans CJK SC"/>
          <w:sz w:val="21"/>
        </w:rPr>
        <w:t>稳定后扩大资金，并逐级启用容量、拆单和更严格Execution Policy。</w:t>
      </w:r>
    </w:p>
    <w:p>
      <w:pPr>
        <w:pStyle w:val="Heading1"/>
        <w:keepNext/>
        <w:pageBreakBefore w:val="0"/>
      </w:pPr>
      <w:r>
        <w:rPr>
          <w:rFonts w:ascii="Noto Sans CJK SC" w:hAnsi="Noto Sans CJK SC" w:eastAsia="Noto Sans CJK SC"/>
          <w:b/>
          <w:color w:val="143A5F"/>
          <w:sz w:val="32"/>
        </w:rPr>
        <w:t>23. 资金规模从10万到500万的演进路线</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rHeight w:hRule="atLeast"/>
          <w:tblHeader w:val="true"/>
          <w:cantSplit/>
        </w:trPr>
        <w:tc>
          <w:tcPr>
            <w:tcW w:type="dxa" w:w="1587"/>
            <w:shd w:fill="1F4E78"/>
            <w:tcMar>
              <w:top w:w="90" w:type="dxa"/>
              <w:start w:w="90" w:type="dxa"/>
              <w:bottom w:w="90" w:type="dxa"/>
              <w:end w:w="90" w:type="dxa"/>
            </w:tcMar>
            <w:vAlign w:val="center"/>
          </w:tcPr>
          <w:p>
            <w:pPr>
              <w:spacing w:before="0" w:after="0" w:line="240" w:lineRule="auto"/>
              <w:jc w:val="center"/>
            </w:pPr>
            <w:r>
              <w:rPr>
                <w:rFonts w:ascii="Noto Sans CJK SC" w:hAnsi="Noto Sans CJK SC" w:eastAsia="Noto Sans CJK SC"/>
                <w:b/>
                <w:color w:val="FFFFFF"/>
                <w:sz w:val="18"/>
              </w:rPr>
              <w:t>阶段</w:t>
            </w:r>
          </w:p>
        </w:tc>
        <w:tc>
          <w:tcPr>
            <w:tcW w:type="dxa" w:w="1701"/>
            <w:shd w:fill="1F4E78"/>
            <w:tcMar>
              <w:top w:w="90" w:type="dxa"/>
              <w:start w:w="90" w:type="dxa"/>
              <w:bottom w:w="90" w:type="dxa"/>
              <w:end w:w="90" w:type="dxa"/>
            </w:tcMar>
            <w:vAlign w:val="center"/>
          </w:tcPr>
          <w:p>
            <w:pPr>
              <w:spacing w:before="0" w:after="0" w:line="240" w:lineRule="auto"/>
              <w:jc w:val="center"/>
            </w:pPr>
            <w:r>
              <w:rPr>
                <w:rFonts w:ascii="Noto Sans CJK SC" w:hAnsi="Noto Sans CJK SC" w:eastAsia="Noto Sans CJK SC"/>
                <w:b/>
                <w:color w:val="FFFFFF"/>
                <w:sz w:val="18"/>
              </w:rPr>
              <w:t>资金参考</w:t>
            </w:r>
          </w:p>
        </w:tc>
        <w:tc>
          <w:tcPr>
            <w:tcW w:type="dxa" w:w="3742"/>
            <w:shd w:fill="1F4E78"/>
            <w:tcMar>
              <w:top w:w="90" w:type="dxa"/>
              <w:start w:w="90" w:type="dxa"/>
              <w:bottom w:w="90" w:type="dxa"/>
              <w:end w:w="90" w:type="dxa"/>
            </w:tcMar>
            <w:vAlign w:val="center"/>
          </w:tcPr>
          <w:p>
            <w:pPr>
              <w:spacing w:before="0" w:after="0" w:line="240" w:lineRule="auto"/>
              <w:jc w:val="center"/>
            </w:pPr>
            <w:r>
              <w:rPr>
                <w:rFonts w:ascii="Noto Sans CJK SC" w:hAnsi="Noto Sans CJK SC" w:eastAsia="Noto Sans CJK SC"/>
                <w:b/>
                <w:color w:val="FFFFFF"/>
                <w:sz w:val="18"/>
              </w:rPr>
              <w:t>新增能力</w:t>
            </w:r>
          </w:p>
        </w:tc>
        <w:tc>
          <w:tcPr>
            <w:tcW w:type="dxa" w:w="2381"/>
            <w:shd w:fill="1F4E78"/>
            <w:tcMar>
              <w:top w:w="90" w:type="dxa"/>
              <w:start w:w="90" w:type="dxa"/>
              <w:bottom w:w="90" w:type="dxa"/>
              <w:end w:w="90" w:type="dxa"/>
            </w:tcMar>
            <w:vAlign w:val="center"/>
          </w:tcPr>
          <w:p>
            <w:pPr>
              <w:spacing w:before="0" w:after="0" w:line="240" w:lineRule="auto"/>
              <w:jc w:val="center"/>
            </w:pPr>
            <w:r>
              <w:rPr>
                <w:rFonts w:ascii="Noto Sans CJK SC" w:hAnsi="Noto Sans CJK SC" w:eastAsia="Noto Sans CJK SC"/>
                <w:b/>
                <w:color w:val="FFFFFF"/>
                <w:sz w:val="18"/>
              </w:rPr>
              <w:t>升级门槛</w:t>
            </w:r>
          </w:p>
        </w:tc>
      </w:tr>
      <w:tr>
        <w:trPr>
          <w:cantSplit/>
          <w:trHeight w:hRule="atLeast"/>
        </w:trPr>
        <w:tc>
          <w:tcPr>
            <w:tcW w:type="dxa" w:w="1587"/>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POC</w:t>
            </w:r>
          </w:p>
        </w:tc>
        <w:tc>
          <w:tcPr>
            <w:tcW w:type="dxa" w:w="1701"/>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最小测试仓位</w:t>
            </w:r>
          </w:p>
        </w:tc>
        <w:tc>
          <w:tcPr>
            <w:tcW w:type="dxa" w:w="3742"/>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QMT连接/查询/报撤单/回调</w:t>
            </w:r>
          </w:p>
        </w:tc>
        <w:tc>
          <w:tcPr>
            <w:tcW w:type="dxa" w:w="2381"/>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核心接口100%通过</w:t>
            </w:r>
          </w:p>
        </w:tc>
      </w:tr>
      <w:tr>
        <w:trPr>
          <w:cantSplit/>
          <w:trHeight w:hRule="atLeast"/>
        </w:trPr>
        <w:tc>
          <w:tcPr>
            <w:tcW w:type="dxa" w:w="1587"/>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V1</w:t>
            </w:r>
          </w:p>
        </w:tc>
        <w:tc>
          <w:tcPr>
            <w:tcW w:type="dxa" w:w="1701"/>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约10万</w:t>
            </w:r>
          </w:p>
        </w:tc>
        <w:tc>
          <w:tcPr>
            <w:tcW w:type="dxa" w:w="3742"/>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当前6只尾盘股、Tick、Entry/Exit、人工接管</w:t>
            </w:r>
          </w:p>
        </w:tc>
        <w:tc>
          <w:tcPr>
            <w:tcW w:type="dxa" w:w="2381"/>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重复订单0、对账差异0</w:t>
            </w:r>
          </w:p>
        </w:tc>
      </w:tr>
      <w:tr>
        <w:trPr>
          <w:cantSplit/>
          <w:trHeight w:hRule="atLeast"/>
        </w:trPr>
        <w:tc>
          <w:tcPr>
            <w:tcW w:type="dxa" w:w="1587"/>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V1.5</w:t>
            </w:r>
          </w:p>
        </w:tc>
        <w:tc>
          <w:tcPr>
            <w:tcW w:type="dxa" w:w="1701"/>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30-100万</w:t>
            </w:r>
          </w:p>
        </w:tc>
        <w:tc>
          <w:tcPr>
            <w:tcW w:type="dxa" w:w="3742"/>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滑点分析、基本拆单、参与率</w:t>
            </w:r>
          </w:p>
        </w:tc>
        <w:tc>
          <w:tcPr>
            <w:tcW w:type="dxa" w:w="2381"/>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真实滑点稳定且完成率可接受</w:t>
            </w:r>
          </w:p>
        </w:tc>
      </w:tr>
      <w:tr>
        <w:trPr>
          <w:cantSplit/>
          <w:trHeight w:hRule="atLeast"/>
        </w:trPr>
        <w:tc>
          <w:tcPr>
            <w:tcW w:type="dxa" w:w="1587"/>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V2</w:t>
            </w:r>
          </w:p>
        </w:tc>
        <w:tc>
          <w:tcPr>
            <w:tcW w:type="dxa" w:w="1701"/>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100-300万</w:t>
            </w:r>
          </w:p>
        </w:tc>
        <w:tc>
          <w:tcPr>
            <w:tcW w:type="dxa" w:w="3742"/>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容量模型、动态子单、板块集中风险</w:t>
            </w:r>
          </w:p>
        </w:tc>
        <w:tc>
          <w:tcPr>
            <w:tcW w:type="dxa" w:w="2381"/>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策略收益扣除执行成本仍稳定</w:t>
            </w:r>
          </w:p>
        </w:tc>
      </w:tr>
      <w:tr>
        <w:trPr>
          <w:cantSplit/>
          <w:trHeight w:hRule="atLeast"/>
        </w:trPr>
        <w:tc>
          <w:tcPr>
            <w:tcW w:type="dxa" w:w="1587"/>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V3</w:t>
            </w:r>
          </w:p>
        </w:tc>
        <w:tc>
          <w:tcPr>
            <w:tcW w:type="dxa" w:w="1701"/>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300-500万</w:t>
            </w:r>
          </w:p>
        </w:tc>
        <w:tc>
          <w:tcPr>
            <w:tcW w:type="dxa" w:w="3742"/>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执行容量预测、动态追价/放弃、Level-2增强</w:t>
            </w:r>
          </w:p>
        </w:tc>
        <w:tc>
          <w:tcPr>
            <w:tcW w:type="dxa" w:w="2381"/>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冲击成本可控，交易异常率长期稳定</w:t>
            </w:r>
          </w:p>
        </w:tc>
      </w:tr>
    </w:tbl>
    <w:p>
      <w:pPr>
        <w:spacing w:after="40"/>
      </w:pPr>
    </w:p>
    <w:p>
      <w:pPr>
        <w:pStyle w:val="Heading1"/>
        <w:keepNext/>
        <w:pageBreakBefore w:val="0"/>
      </w:pPr>
      <w:r>
        <w:rPr>
          <w:rFonts w:ascii="Noto Sans CJK SC" w:hAnsi="Noto Sans CJK SC" w:eastAsia="Noto Sans CJK SC"/>
          <w:b/>
          <w:color w:val="143A5F"/>
          <w:sz w:val="32"/>
        </w:rPr>
        <w:t>24. 开发模块与项目目录建议</w:t>
      </w:r>
    </w:p>
    <w:tbl>
      <w:tblPr>
        <w:tblW w:type="auto" w:w="0"/>
        <w:jc w:val="center"/>
        <w:tblLook w:firstColumn="1" w:firstRow="1" w:lastColumn="0" w:lastRow="0" w:noHBand="0" w:noVBand="1" w:val="04A0"/>
      </w:tblPr>
      <w:tblGrid>
        <w:gridCol w:w="9972"/>
      </w:tblGrid>
      <w:tr>
        <w:trPr>
          <w:trHeight w:hRule="atLeast"/>
        </w:trPr>
        <w:tc>
          <w:tcPr>
            <w:tcW w:type="dxa" w:w="9972"/>
            <w:shd w:fill="F5F6F7"/>
            <w:tcMar>
              <w:top w:w="100" w:type="dxa"/>
              <w:start w:w="140" w:type="dxa"/>
              <w:bottom w:w="100" w:type="dxa"/>
              <w:end w:w="140" w:type="dxa"/>
            </w:tcMar>
          </w:tcPr>
          <w:p>
            <w:pPr>
              <w:spacing w:before="0" w:after="0" w:line="252" w:lineRule="auto"/>
            </w:pPr>
            <w:r>
              <w:rPr>
                <w:rFonts w:ascii="Noto Sans Mono CJK SC" w:hAnsi="Noto Sans Mono CJK SC" w:eastAsia="Noto Sans Mono CJK SC"/>
                <w:color w:val="2D3741"/>
                <w:sz w:val="17"/>
              </w:rPr>
              <w:t>auto-trader/</w:t>
            </w:r>
            <w:r>
              <w:rPr>
                <w:rFonts w:ascii="Noto Sans CJK SC" w:hAnsi="Noto Sans CJK SC" w:eastAsia="Noto Sans CJK SC"/>
              </w:rPr>
              <w:br/>
            </w:r>
            <w:r>
              <w:rPr>
                <w:rFonts w:ascii="Noto Sans Mono CJK SC" w:hAnsi="Noto Sans Mono CJK SC" w:eastAsia="Noto Sans Mono CJK SC"/>
                <w:color w:val="2D3741"/>
                <w:sz w:val="17"/>
              </w:rPr>
              <w:t>├─ apps/</w:t>
            </w:r>
            <w:r>
              <w:rPr>
                <w:rFonts w:ascii="Noto Sans CJK SC" w:hAnsi="Noto Sans CJK SC" w:eastAsia="Noto Sans CJK SC"/>
              </w:rPr>
              <w:br/>
            </w:r>
            <w:r>
              <w:rPr>
                <w:rFonts w:ascii="Noto Sans Mono CJK SC" w:hAnsi="Noto Sans Mono CJK SC" w:eastAsia="Noto Sans Mono CJK SC"/>
                <w:color w:val="2D3741"/>
                <w:sz w:val="17"/>
              </w:rPr>
              <w:t>│  ├─ trade_runtime/</w:t>
            </w:r>
            <w:r>
              <w:rPr>
                <w:rFonts w:ascii="Noto Sans CJK SC" w:hAnsi="Noto Sans CJK SC" w:eastAsia="Noto Sans CJK SC"/>
              </w:rPr>
              <w:br/>
            </w:r>
            <w:r>
              <w:rPr>
                <w:rFonts w:ascii="Noto Sans Mono CJK SC" w:hAnsi="Noto Sans Mono CJK SC" w:eastAsia="Noto Sans Mono CJK SC"/>
                <w:color w:val="2D3741"/>
                <w:sz w:val="17"/>
              </w:rPr>
              <w:t>│  ├─ sync_agent/</w:t>
            </w:r>
            <w:r>
              <w:rPr>
                <w:rFonts w:ascii="Noto Sans CJK SC" w:hAnsi="Noto Sans CJK SC" w:eastAsia="Noto Sans CJK SC"/>
              </w:rPr>
              <w:br/>
            </w:r>
            <w:r>
              <w:rPr>
                <w:rFonts w:ascii="Noto Sans Mono CJK SC" w:hAnsi="Noto Sans Mono CJK SC" w:eastAsia="Noto Sans Mono CJK SC"/>
                <w:color w:val="2D3741"/>
                <w:sz w:val="17"/>
              </w:rPr>
              <w:t>│  └─ watchdog/</w:t>
            </w:r>
            <w:r>
              <w:rPr>
                <w:rFonts w:ascii="Noto Sans CJK SC" w:hAnsi="Noto Sans CJK SC" w:eastAsia="Noto Sans CJK SC"/>
              </w:rPr>
              <w:br/>
            </w:r>
            <w:r>
              <w:rPr>
                <w:rFonts w:ascii="Noto Sans Mono CJK SC" w:hAnsi="Noto Sans Mono CJK SC" w:eastAsia="Noto Sans Mono CJK SC"/>
                <w:color w:val="2D3741"/>
                <w:sz w:val="17"/>
              </w:rPr>
              <w:t>├─ gateways/</w:t>
            </w:r>
            <w:r>
              <w:rPr>
                <w:rFonts w:ascii="Noto Sans CJK SC" w:hAnsi="Noto Sans CJK SC" w:eastAsia="Noto Sans CJK SC"/>
              </w:rPr>
              <w:br/>
            </w:r>
            <w:r>
              <w:rPr>
                <w:rFonts w:ascii="Noto Sans Mono CJK SC" w:hAnsi="Noto Sans Mono CJK SC" w:eastAsia="Noto Sans Mono CJK SC"/>
                <w:color w:val="2D3741"/>
                <w:sz w:val="17"/>
              </w:rPr>
              <w:t>│  ├─ broker/base.py</w:t>
            </w:r>
            <w:r>
              <w:rPr>
                <w:rFonts w:ascii="Noto Sans CJK SC" w:hAnsi="Noto Sans CJK SC" w:eastAsia="Noto Sans CJK SC"/>
              </w:rPr>
              <w:br/>
            </w:r>
            <w:r>
              <w:rPr>
                <w:rFonts w:ascii="Noto Sans Mono CJK SC" w:hAnsi="Noto Sans Mono CJK SC" w:eastAsia="Noto Sans Mono CJK SC"/>
                <w:color w:val="2D3741"/>
                <w:sz w:val="17"/>
              </w:rPr>
              <w:t>│  ├─ broker/cicc_qmt.py</w:t>
            </w:r>
            <w:r>
              <w:rPr>
                <w:rFonts w:ascii="Noto Sans CJK SC" w:hAnsi="Noto Sans CJK SC" w:eastAsia="Noto Sans CJK SC"/>
              </w:rPr>
              <w:br/>
            </w:r>
            <w:r>
              <w:rPr>
                <w:rFonts w:ascii="Noto Sans Mono CJK SC" w:hAnsi="Noto Sans Mono CJK SC" w:eastAsia="Noto Sans Mono CJK SC"/>
                <w:color w:val="2D3741"/>
                <w:sz w:val="17"/>
              </w:rPr>
              <w:t>│  ├─ broker/mock.py</w:t>
            </w:r>
            <w:r>
              <w:rPr>
                <w:rFonts w:ascii="Noto Sans CJK SC" w:hAnsi="Noto Sans CJK SC" w:eastAsia="Noto Sans CJK SC"/>
              </w:rPr>
              <w:br/>
            </w:r>
            <w:r>
              <w:rPr>
                <w:rFonts w:ascii="Noto Sans Mono CJK SC" w:hAnsi="Noto Sans Mono CJK SC" w:eastAsia="Noto Sans Mono CJK SC"/>
                <w:color w:val="2D3741"/>
                <w:sz w:val="17"/>
              </w:rPr>
              <w:t>│  ├─ market/base.py</w:t>
            </w:r>
            <w:r>
              <w:rPr>
                <w:rFonts w:ascii="Noto Sans CJK SC" w:hAnsi="Noto Sans CJK SC" w:eastAsia="Noto Sans CJK SC"/>
              </w:rPr>
              <w:br/>
            </w:r>
            <w:r>
              <w:rPr>
                <w:rFonts w:ascii="Noto Sans Mono CJK SC" w:hAnsi="Noto Sans Mono CJK SC" w:eastAsia="Noto Sans Mono CJK SC"/>
                <w:color w:val="2D3741"/>
                <w:sz w:val="17"/>
              </w:rPr>
              <w:t>│  ├─ market/qmt.py</w:t>
            </w:r>
            <w:r>
              <w:rPr>
                <w:rFonts w:ascii="Noto Sans CJK SC" w:hAnsi="Noto Sans CJK SC" w:eastAsia="Noto Sans CJK SC"/>
              </w:rPr>
              <w:br/>
            </w:r>
            <w:r>
              <w:rPr>
                <w:rFonts w:ascii="Noto Sans Mono CJK SC" w:hAnsi="Noto Sans Mono CJK SC" w:eastAsia="Noto Sans Mono CJK SC"/>
                <w:color w:val="2D3741"/>
                <w:sz w:val="17"/>
              </w:rPr>
              <w:t>│  └─ market/replay.py</w:t>
            </w:r>
            <w:r>
              <w:rPr>
                <w:rFonts w:ascii="Noto Sans CJK SC" w:hAnsi="Noto Sans CJK SC" w:eastAsia="Noto Sans CJK SC"/>
              </w:rPr>
              <w:br/>
            </w:r>
            <w:r>
              <w:rPr>
                <w:rFonts w:ascii="Noto Sans Mono CJK SC" w:hAnsi="Noto Sans Mono CJK SC" w:eastAsia="Noto Sans Mono CJK SC"/>
                <w:color w:val="2D3741"/>
                <w:sz w:val="17"/>
              </w:rPr>
              <w:t>├─ runtime/</w:t>
            </w:r>
            <w:r>
              <w:rPr>
                <w:rFonts w:ascii="Noto Sans CJK SC" w:hAnsi="Noto Sans CJK SC" w:eastAsia="Noto Sans CJK SC"/>
              </w:rPr>
              <w:br/>
            </w:r>
            <w:r>
              <w:rPr>
                <w:rFonts w:ascii="Noto Sans Mono CJK SC" w:hAnsi="Noto Sans Mono CJK SC" w:eastAsia="Noto Sans Mono CJK SC"/>
                <w:color w:val="2D3741"/>
                <w:sz w:val="17"/>
              </w:rPr>
              <w:t>│  ├─ state.py</w:t>
            </w:r>
            <w:r>
              <w:rPr>
                <w:rFonts w:ascii="Noto Sans CJK SC" w:hAnsi="Noto Sans CJK SC" w:eastAsia="Noto Sans CJK SC"/>
              </w:rPr>
              <w:br/>
            </w:r>
            <w:r>
              <w:rPr>
                <w:rFonts w:ascii="Noto Sans Mono CJK SC" w:hAnsi="Noto Sans Mono CJK SC" w:eastAsia="Noto Sans Mono CJK SC"/>
                <w:color w:val="2D3741"/>
                <w:sz w:val="17"/>
              </w:rPr>
              <w:t>│  ├─ events.py</w:t>
            </w:r>
            <w:r>
              <w:rPr>
                <w:rFonts w:ascii="Noto Sans CJK SC" w:hAnsi="Noto Sans CJK SC" w:eastAsia="Noto Sans CJK SC"/>
              </w:rPr>
              <w:br/>
            </w:r>
            <w:r>
              <w:rPr>
                <w:rFonts w:ascii="Noto Sans Mono CJK SC" w:hAnsi="Noto Sans Mono CJK SC" w:eastAsia="Noto Sans Mono CJK SC"/>
                <w:color w:val="2D3741"/>
                <w:sz w:val="17"/>
              </w:rPr>
              <w:t>│  └─ control.py</w:t>
            </w:r>
            <w:r>
              <w:rPr>
                <w:rFonts w:ascii="Noto Sans CJK SC" w:hAnsi="Noto Sans CJK SC" w:eastAsia="Noto Sans CJK SC"/>
              </w:rPr>
              <w:br/>
            </w:r>
            <w:r>
              <w:rPr>
                <w:rFonts w:ascii="Noto Sans Mono CJK SC" w:hAnsi="Noto Sans Mono CJK SC" w:eastAsia="Noto Sans Mono CJK SC"/>
                <w:color w:val="2D3741"/>
                <w:sz w:val="17"/>
              </w:rPr>
              <w:t>├─ strategies/</w:t>
            </w:r>
            <w:r>
              <w:rPr>
                <w:rFonts w:ascii="Noto Sans CJK SC" w:hAnsi="Noto Sans CJK SC" w:eastAsia="Noto Sans CJK SC"/>
              </w:rPr>
              <w:br/>
            </w:r>
            <w:r>
              <w:rPr>
                <w:rFonts w:ascii="Noto Sans Mono CJK SC" w:hAnsi="Noto Sans Mono CJK SC" w:eastAsia="Noto Sans Mono CJK SC"/>
                <w:color w:val="2D3741"/>
                <w:sz w:val="17"/>
              </w:rPr>
              <w:t>│  ├─ entry/</w:t>
            </w:r>
            <w:r>
              <w:rPr>
                <w:rFonts w:ascii="Noto Sans CJK SC" w:hAnsi="Noto Sans CJK SC" w:eastAsia="Noto Sans CJK SC"/>
              </w:rPr>
              <w:br/>
            </w:r>
            <w:r>
              <w:rPr>
                <w:rFonts w:ascii="Noto Sans Mono CJK SC" w:hAnsi="Noto Sans Mono CJK SC" w:eastAsia="Noto Sans Mono CJK SC"/>
                <w:color w:val="2D3741"/>
                <w:sz w:val="17"/>
              </w:rPr>
              <w:t>│  └─ exit/</w:t>
            </w:r>
            <w:r>
              <w:rPr>
                <w:rFonts w:ascii="Noto Sans CJK SC" w:hAnsi="Noto Sans CJK SC" w:eastAsia="Noto Sans CJK SC"/>
              </w:rPr>
              <w:br/>
            </w:r>
            <w:r>
              <w:rPr>
                <w:rFonts w:ascii="Noto Sans Mono CJK SC" w:hAnsi="Noto Sans Mono CJK SC" w:eastAsia="Noto Sans Mono CJK SC"/>
                <w:color w:val="2D3741"/>
                <w:sz w:val="17"/>
              </w:rPr>
              <w:t>├─ portfolio/</w:t>
            </w:r>
            <w:r>
              <w:rPr>
                <w:rFonts w:ascii="Noto Sans CJK SC" w:hAnsi="Noto Sans CJK SC" w:eastAsia="Noto Sans CJK SC"/>
              </w:rPr>
              <w:br/>
            </w:r>
            <w:r>
              <w:rPr>
                <w:rFonts w:ascii="Noto Sans Mono CJK SC" w:hAnsi="Noto Sans Mono CJK SC" w:eastAsia="Noto Sans Mono CJK SC"/>
                <w:color w:val="2D3741"/>
                <w:sz w:val="17"/>
              </w:rPr>
              <w:t>│  ├─ allocator.py</w:t>
            </w:r>
            <w:r>
              <w:rPr>
                <w:rFonts w:ascii="Noto Sans CJK SC" w:hAnsi="Noto Sans CJK SC" w:eastAsia="Noto Sans CJK SC"/>
              </w:rPr>
              <w:br/>
            </w:r>
            <w:r>
              <w:rPr>
                <w:rFonts w:ascii="Noto Sans Mono CJK SC" w:hAnsi="Noto Sans Mono CJK SC" w:eastAsia="Noto Sans Mono CJK SC"/>
                <w:color w:val="2D3741"/>
                <w:sz w:val="17"/>
              </w:rPr>
              <w:t>│  └─ capacity.py</w:t>
            </w:r>
            <w:r>
              <w:rPr>
                <w:rFonts w:ascii="Noto Sans CJK SC" w:hAnsi="Noto Sans CJK SC" w:eastAsia="Noto Sans CJK SC"/>
              </w:rPr>
              <w:br/>
            </w:r>
            <w:r>
              <w:rPr>
                <w:rFonts w:ascii="Noto Sans Mono CJK SC" w:hAnsi="Noto Sans Mono CJK SC" w:eastAsia="Noto Sans Mono CJK SC"/>
                <w:color w:val="2D3741"/>
                <w:sz w:val="17"/>
              </w:rPr>
              <w:t>├─ execution/</w:t>
            </w:r>
            <w:r>
              <w:rPr>
                <w:rFonts w:ascii="Noto Sans CJK SC" w:hAnsi="Noto Sans CJK SC" w:eastAsia="Noto Sans CJK SC"/>
              </w:rPr>
              <w:br/>
            </w:r>
            <w:r>
              <w:rPr>
                <w:rFonts w:ascii="Noto Sans Mono CJK SC" w:hAnsi="Noto Sans Mono CJK SC" w:eastAsia="Noto Sans Mono CJK SC"/>
                <w:color w:val="2D3741"/>
                <w:sz w:val="17"/>
              </w:rPr>
              <w:t>│  ├─ engine.py</w:t>
            </w:r>
            <w:r>
              <w:rPr>
                <w:rFonts w:ascii="Noto Sans CJK SC" w:hAnsi="Noto Sans CJK SC" w:eastAsia="Noto Sans CJK SC"/>
              </w:rPr>
              <w:br/>
            </w:r>
            <w:r>
              <w:rPr>
                <w:rFonts w:ascii="Noto Sans Mono CJK SC" w:hAnsi="Noto Sans Mono CJK SC" w:eastAsia="Noto Sans Mono CJK SC"/>
                <w:color w:val="2D3741"/>
                <w:sz w:val="17"/>
              </w:rPr>
              <w:t>│  ├─ slicer.py</w:t>
            </w:r>
            <w:r>
              <w:rPr>
                <w:rFonts w:ascii="Noto Sans CJK SC" w:hAnsi="Noto Sans CJK SC" w:eastAsia="Noto Sans CJK SC"/>
              </w:rPr>
              <w:br/>
            </w:r>
            <w:r>
              <w:rPr>
                <w:rFonts w:ascii="Noto Sans Mono CJK SC" w:hAnsi="Noto Sans Mono CJK SC" w:eastAsia="Noto Sans Mono CJK SC"/>
                <w:color w:val="2D3741"/>
                <w:sz w:val="17"/>
              </w:rPr>
              <w:t>│  ├─ price_engine.py</w:t>
            </w:r>
            <w:r>
              <w:rPr>
                <w:rFonts w:ascii="Noto Sans CJK SC" w:hAnsi="Noto Sans CJK SC" w:eastAsia="Noto Sans CJK SC"/>
              </w:rPr>
              <w:br/>
            </w:r>
            <w:r>
              <w:rPr>
                <w:rFonts w:ascii="Noto Sans Mono CJK SC" w:hAnsi="Noto Sans Mono CJK SC" w:eastAsia="Noto Sans Mono CJK SC"/>
                <w:color w:val="2D3741"/>
                <w:sz w:val="17"/>
              </w:rPr>
              <w:t>│  └─ slippage.py</w:t>
            </w:r>
            <w:r>
              <w:rPr>
                <w:rFonts w:ascii="Noto Sans CJK SC" w:hAnsi="Noto Sans CJK SC" w:eastAsia="Noto Sans CJK SC"/>
              </w:rPr>
              <w:br/>
            </w:r>
            <w:r>
              <w:rPr>
                <w:rFonts w:ascii="Noto Sans Mono CJK SC" w:hAnsi="Noto Sans Mono CJK SC" w:eastAsia="Noto Sans Mono CJK SC"/>
                <w:color w:val="2D3741"/>
                <w:sz w:val="17"/>
              </w:rPr>
              <w:t>├─ orders/</w:t>
            </w:r>
            <w:r>
              <w:rPr>
                <w:rFonts w:ascii="Noto Sans CJK SC" w:hAnsi="Noto Sans CJK SC" w:eastAsia="Noto Sans CJK SC"/>
              </w:rPr>
              <w:br/>
            </w:r>
            <w:r>
              <w:rPr>
                <w:rFonts w:ascii="Noto Sans Mono CJK SC" w:hAnsi="Noto Sans Mono CJK SC" w:eastAsia="Noto Sans Mono CJK SC"/>
                <w:color w:val="2D3741"/>
                <w:sz w:val="17"/>
              </w:rPr>
              <w:t>│  ├─ manager.py</w:t>
            </w:r>
            <w:r>
              <w:rPr>
                <w:rFonts w:ascii="Noto Sans CJK SC" w:hAnsi="Noto Sans CJK SC" w:eastAsia="Noto Sans CJK SC"/>
              </w:rPr>
              <w:br/>
            </w:r>
            <w:r>
              <w:rPr>
                <w:rFonts w:ascii="Noto Sans Mono CJK SC" w:hAnsi="Noto Sans Mono CJK SC" w:eastAsia="Noto Sans Mono CJK SC"/>
                <w:color w:val="2D3741"/>
                <w:sz w:val="17"/>
              </w:rPr>
              <w:t>│  ├─ state_machine.py</w:t>
            </w:r>
            <w:r>
              <w:rPr>
                <w:rFonts w:ascii="Noto Sans CJK SC" w:hAnsi="Noto Sans CJK SC" w:eastAsia="Noto Sans CJK SC"/>
              </w:rPr>
              <w:br/>
            </w:r>
            <w:r>
              <w:rPr>
                <w:rFonts w:ascii="Noto Sans Mono CJK SC" w:hAnsi="Noto Sans Mono CJK SC" w:eastAsia="Noto Sans Mono CJK SC"/>
                <w:color w:val="2D3741"/>
                <w:sz w:val="17"/>
              </w:rPr>
              <w:t>│  └─ idempotency.py</w:t>
            </w:r>
            <w:r>
              <w:rPr>
                <w:rFonts w:ascii="Noto Sans CJK SC" w:hAnsi="Noto Sans CJK SC" w:eastAsia="Noto Sans CJK SC"/>
              </w:rPr>
              <w:br/>
            </w:r>
            <w:r>
              <w:rPr>
                <w:rFonts w:ascii="Noto Sans Mono CJK SC" w:hAnsi="Noto Sans Mono CJK SC" w:eastAsia="Noto Sans Mono CJK SC"/>
                <w:color w:val="2D3741"/>
                <w:sz w:val="17"/>
              </w:rPr>
              <w:t>├─ risk/</w:t>
            </w:r>
            <w:r>
              <w:rPr>
                <w:rFonts w:ascii="Noto Sans CJK SC" w:hAnsi="Noto Sans CJK SC" w:eastAsia="Noto Sans CJK SC"/>
              </w:rPr>
              <w:br/>
            </w:r>
            <w:r>
              <w:rPr>
                <w:rFonts w:ascii="Noto Sans Mono CJK SC" w:hAnsi="Noto Sans Mono CJK SC" w:eastAsia="Noto Sans Mono CJK SC"/>
                <w:color w:val="2D3741"/>
                <w:sz w:val="17"/>
              </w:rPr>
              <w:t>│  ├─ engine.py</w:t>
            </w:r>
            <w:r>
              <w:rPr>
                <w:rFonts w:ascii="Noto Sans CJK SC" w:hAnsi="Noto Sans CJK SC" w:eastAsia="Noto Sans CJK SC"/>
              </w:rPr>
              <w:br/>
            </w:r>
            <w:r>
              <w:rPr>
                <w:rFonts w:ascii="Noto Sans Mono CJK SC" w:hAnsi="Noto Sans Mono CJK SC" w:eastAsia="Noto Sans Mono CJK SC"/>
                <w:color w:val="2D3741"/>
                <w:sz w:val="17"/>
              </w:rPr>
              <w:t>│  └─ hard_limits.py</w:t>
            </w:r>
            <w:r>
              <w:rPr>
                <w:rFonts w:ascii="Noto Sans CJK SC" w:hAnsi="Noto Sans CJK SC" w:eastAsia="Noto Sans CJK SC"/>
              </w:rPr>
              <w:br/>
            </w:r>
            <w:r>
              <w:rPr>
                <w:rFonts w:ascii="Noto Sans Mono CJK SC" w:hAnsi="Noto Sans Mono CJK SC" w:eastAsia="Noto Sans Mono CJK SC"/>
                <w:color w:val="2D3741"/>
                <w:sz w:val="17"/>
              </w:rPr>
              <w:t>├─ reconcile/</w:t>
            </w:r>
            <w:r>
              <w:rPr>
                <w:rFonts w:ascii="Noto Sans CJK SC" w:hAnsi="Noto Sans CJK SC" w:eastAsia="Noto Sans CJK SC"/>
              </w:rPr>
              <w:br/>
            </w:r>
            <w:r>
              <w:rPr>
                <w:rFonts w:ascii="Noto Sans Mono CJK SC" w:hAnsi="Noto Sans Mono CJK SC" w:eastAsia="Noto Sans Mono CJK SC"/>
                <w:color w:val="2D3741"/>
                <w:sz w:val="17"/>
              </w:rPr>
              <w:t>│  └─ broker_reconcile.py</w:t>
            </w:r>
            <w:r>
              <w:rPr>
                <w:rFonts w:ascii="Noto Sans CJK SC" w:hAnsi="Noto Sans CJK SC" w:eastAsia="Noto Sans CJK SC"/>
              </w:rPr>
              <w:br/>
            </w:r>
            <w:r>
              <w:rPr>
                <w:rFonts w:ascii="Noto Sans Mono CJK SC" w:hAnsi="Noto Sans Mono CJK SC" w:eastAsia="Noto Sans Mono CJK SC"/>
                <w:color w:val="2D3741"/>
                <w:sz w:val="17"/>
              </w:rPr>
              <w:t>├─ sync/</w:t>
            </w:r>
            <w:r>
              <w:rPr>
                <w:rFonts w:ascii="Noto Sans CJK SC" w:hAnsi="Noto Sans CJK SC" w:eastAsia="Noto Sans CJK SC"/>
              </w:rPr>
              <w:br/>
            </w:r>
            <w:r>
              <w:rPr>
                <w:rFonts w:ascii="Noto Sans Mono CJK SC" w:hAnsi="Noto Sans Mono CJK SC" w:eastAsia="Noto Sans Mono CJK SC"/>
                <w:color w:val="2D3741"/>
                <w:sz w:val="17"/>
              </w:rPr>
              <w:t>│  ├─ plan_sync.py</w:t>
            </w:r>
            <w:r>
              <w:rPr>
                <w:rFonts w:ascii="Noto Sans CJK SC" w:hAnsi="Noto Sans CJK SC" w:eastAsia="Noto Sans CJK SC"/>
              </w:rPr>
              <w:br/>
            </w:r>
            <w:r>
              <w:rPr>
                <w:rFonts w:ascii="Noto Sans Mono CJK SC" w:hAnsi="Noto Sans Mono CJK SC" w:eastAsia="Noto Sans Mono CJK SC"/>
                <w:color w:val="2D3741"/>
                <w:sz w:val="17"/>
              </w:rPr>
              <w:t>│  ├─ outbox.py</w:t>
            </w:r>
            <w:r>
              <w:rPr>
                <w:rFonts w:ascii="Noto Sans CJK SC" w:hAnsi="Noto Sans CJK SC" w:eastAsia="Noto Sans CJK SC"/>
              </w:rPr>
              <w:br/>
            </w:r>
            <w:r>
              <w:rPr>
                <w:rFonts w:ascii="Noto Sans Mono CJK SC" w:hAnsi="Noto Sans Mono CJK SC" w:eastAsia="Noto Sans Mono CJK SC"/>
                <w:color w:val="2D3741"/>
                <w:sz w:val="17"/>
              </w:rPr>
              <w:t>│  └─ event_sync.py</w:t>
            </w:r>
            <w:r>
              <w:rPr>
                <w:rFonts w:ascii="Noto Sans CJK SC" w:hAnsi="Noto Sans CJK SC" w:eastAsia="Noto Sans CJK SC"/>
              </w:rPr>
              <w:br/>
            </w:r>
            <w:r>
              <w:rPr>
                <w:rFonts w:ascii="Noto Sans Mono CJK SC" w:hAnsi="Noto Sans Mono CJK SC" w:eastAsia="Noto Sans Mono CJK SC"/>
                <w:color w:val="2D3741"/>
                <w:sz w:val="17"/>
              </w:rPr>
              <w:t>├─ replay/</w:t>
            </w:r>
            <w:r>
              <w:rPr>
                <w:rFonts w:ascii="Noto Sans CJK SC" w:hAnsi="Noto Sans CJK SC" w:eastAsia="Noto Sans CJK SC"/>
              </w:rPr>
              <w:br/>
            </w:r>
            <w:r>
              <w:rPr>
                <w:rFonts w:ascii="Noto Sans Mono CJK SC" w:hAnsi="Noto Sans Mono CJK SC" w:eastAsia="Noto Sans Mono CJK SC"/>
                <w:color w:val="2D3741"/>
                <w:sz w:val="17"/>
              </w:rPr>
              <w:t>│  └─ tick_replay.py</w:t>
            </w:r>
            <w:r>
              <w:rPr>
                <w:rFonts w:ascii="Noto Sans CJK SC" w:hAnsi="Noto Sans CJK SC" w:eastAsia="Noto Sans CJK SC"/>
              </w:rPr>
              <w:br/>
            </w:r>
            <w:r>
              <w:rPr>
                <w:rFonts w:ascii="Noto Sans Mono CJK SC" w:hAnsi="Noto Sans Mono CJK SC" w:eastAsia="Noto Sans Mono CJK SC"/>
                <w:color w:val="2D3741"/>
                <w:sz w:val="17"/>
              </w:rPr>
              <w:t>├─ monitoring/</w:t>
            </w:r>
            <w:r>
              <w:rPr>
                <w:rFonts w:ascii="Noto Sans CJK SC" w:hAnsi="Noto Sans CJK SC" w:eastAsia="Noto Sans CJK SC"/>
              </w:rPr>
              <w:br/>
            </w:r>
            <w:r>
              <w:rPr>
                <w:rFonts w:ascii="Noto Sans Mono CJK SC" w:hAnsi="Noto Sans Mono CJK SC" w:eastAsia="Noto Sans Mono CJK SC"/>
                <w:color w:val="2D3741"/>
                <w:sz w:val="17"/>
              </w:rPr>
              <w:t>│  └─ metrics.py</w:t>
            </w:r>
            <w:r>
              <w:rPr>
                <w:rFonts w:ascii="Noto Sans CJK SC" w:hAnsi="Noto Sans CJK SC" w:eastAsia="Noto Sans CJK SC"/>
              </w:rPr>
              <w:br/>
            </w:r>
            <w:r>
              <w:rPr>
                <w:rFonts w:ascii="Noto Sans Mono CJK SC" w:hAnsi="Noto Sans Mono CJK SC" w:eastAsia="Noto Sans Mono CJK SC"/>
                <w:color w:val="2D3741"/>
                <w:sz w:val="17"/>
              </w:rPr>
              <w:t>├─ config/</w:t>
            </w:r>
            <w:r>
              <w:rPr>
                <w:rFonts w:ascii="Noto Sans CJK SC" w:hAnsi="Noto Sans CJK SC" w:eastAsia="Noto Sans CJK SC"/>
              </w:rPr>
              <w:br/>
            </w:r>
            <w:r>
              <w:rPr>
                <w:rFonts w:ascii="Noto Sans Mono CJK SC" w:hAnsi="Noto Sans Mono CJK SC" w:eastAsia="Noto Sans Mono CJK SC"/>
                <w:color w:val="2D3741"/>
                <w:sz w:val="17"/>
              </w:rPr>
              <w:t>└─ tests/</w:t>
            </w:r>
          </w:p>
        </w:tc>
      </w:tr>
    </w:tbl>
    <w:p>
      <w:pPr>
        <w:spacing w:after="20"/>
      </w:pPr>
    </w:p>
    <w:p>
      <w:pPr>
        <w:pStyle w:val="Heading1"/>
        <w:keepNext/>
        <w:pageBreakBefore w:val="0"/>
      </w:pPr>
      <w:r>
        <w:rPr>
          <w:rFonts w:ascii="Noto Sans CJK SC" w:hAnsi="Noto Sans CJK SC" w:eastAsia="Noto Sans CJK SC"/>
          <w:b/>
          <w:color w:val="143A5F"/>
          <w:sz w:val="32"/>
        </w:rPr>
        <w:t>25. V1开发优先级与里程碑</w:t>
      </w:r>
    </w:p>
    <w:tbl>
      <w:tblPr>
        <w:tblStyle w:val="TableGrid"/>
        <w:tblW w:type="auto" w:w="0"/>
        <w:jc w:val="center"/>
        <w:tblLayout w:type="fixed"/>
        <w:tblLook w:firstColumn="1" w:firstRow="1" w:lastColumn="0" w:lastRow="0" w:noHBand="0" w:noVBand="1" w:val="04A0"/>
      </w:tblPr>
      <w:tblGrid>
        <w:gridCol w:w="3324"/>
        <w:gridCol w:w="3324"/>
        <w:gridCol w:w="3324"/>
      </w:tblGrid>
      <w:tr>
        <w:trPr>
          <w:trHeight w:hRule="atLeast"/>
          <w:tblHeader w:val="true"/>
          <w:cantSplit/>
        </w:trPr>
        <w:tc>
          <w:tcPr>
            <w:tcW w:type="dxa" w:w="1247"/>
            <w:shd w:fill="1F4E78"/>
            <w:tcMar>
              <w:top w:w="90" w:type="dxa"/>
              <w:start w:w="90" w:type="dxa"/>
              <w:bottom w:w="90" w:type="dxa"/>
              <w:end w:w="90" w:type="dxa"/>
            </w:tcMar>
            <w:vAlign w:val="center"/>
          </w:tcPr>
          <w:p>
            <w:pPr>
              <w:spacing w:before="0" w:after="0" w:line="240" w:lineRule="auto"/>
              <w:jc w:val="center"/>
            </w:pPr>
            <w:r>
              <w:rPr>
                <w:rFonts w:ascii="Noto Sans CJK SC" w:hAnsi="Noto Sans CJK SC" w:eastAsia="Noto Sans CJK SC"/>
                <w:b/>
                <w:color w:val="FFFFFF"/>
                <w:sz w:val="18"/>
              </w:rPr>
              <w:t>优先级</w:t>
            </w:r>
          </w:p>
        </w:tc>
        <w:tc>
          <w:tcPr>
            <w:tcW w:type="dxa" w:w="4309"/>
            <w:shd w:fill="1F4E78"/>
            <w:tcMar>
              <w:top w:w="90" w:type="dxa"/>
              <w:start w:w="90" w:type="dxa"/>
              <w:bottom w:w="90" w:type="dxa"/>
              <w:end w:w="90" w:type="dxa"/>
            </w:tcMar>
            <w:vAlign w:val="center"/>
          </w:tcPr>
          <w:p>
            <w:pPr>
              <w:spacing w:before="0" w:after="0" w:line="240" w:lineRule="auto"/>
              <w:jc w:val="center"/>
            </w:pPr>
            <w:r>
              <w:rPr>
                <w:rFonts w:ascii="Noto Sans CJK SC" w:hAnsi="Noto Sans CJK SC" w:eastAsia="Noto Sans CJK SC"/>
                <w:b/>
                <w:color w:val="FFFFFF"/>
                <w:sz w:val="18"/>
              </w:rPr>
              <w:t>交付内容</w:t>
            </w:r>
          </w:p>
        </w:tc>
        <w:tc>
          <w:tcPr>
            <w:tcW w:type="dxa" w:w="3742"/>
            <w:shd w:fill="1F4E78"/>
            <w:tcMar>
              <w:top w:w="90" w:type="dxa"/>
              <w:start w:w="90" w:type="dxa"/>
              <w:bottom w:w="90" w:type="dxa"/>
              <w:end w:w="90" w:type="dxa"/>
            </w:tcMar>
            <w:vAlign w:val="center"/>
          </w:tcPr>
          <w:p>
            <w:pPr>
              <w:spacing w:before="0" w:after="0" w:line="240" w:lineRule="auto"/>
              <w:jc w:val="center"/>
            </w:pPr>
            <w:r>
              <w:rPr>
                <w:rFonts w:ascii="Noto Sans CJK SC" w:hAnsi="Noto Sans CJK SC" w:eastAsia="Noto Sans CJK SC"/>
                <w:b/>
                <w:color w:val="FFFFFF"/>
                <w:sz w:val="18"/>
              </w:rPr>
              <w:t>验收结果</w:t>
            </w:r>
          </w:p>
        </w:tc>
      </w:tr>
      <w:tr>
        <w:trPr>
          <w:cantSplit/>
          <w:trHeight w:hRule="atLeast"/>
        </w:trPr>
        <w:tc>
          <w:tcPr>
            <w:tcW w:type="dxa" w:w="1247"/>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P0</w:t>
            </w:r>
          </w:p>
        </w:tc>
        <w:tc>
          <w:tcPr>
            <w:tcW w:type="dxa" w:w="4309"/>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QMT Adapter + 验收工具</w:t>
            </w:r>
          </w:p>
        </w:tc>
        <w:tc>
          <w:tcPr>
            <w:tcW w:type="dxa" w:w="3742"/>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连接、行情、资产持仓、委托成交、报撤单和回调接口可独立测试</w:t>
            </w:r>
          </w:p>
        </w:tc>
      </w:tr>
      <w:tr>
        <w:trPr>
          <w:cantSplit/>
          <w:trHeight w:hRule="atLeast"/>
        </w:trPr>
        <w:tc>
          <w:tcPr>
            <w:tcW w:type="dxa" w:w="1247"/>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P1</w:t>
            </w:r>
          </w:p>
        </w:tc>
        <w:tc>
          <w:tcPr>
            <w:tcW w:type="dxa" w:w="4309"/>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Trading Runtime核心</w:t>
            </w:r>
          </w:p>
        </w:tc>
        <w:tc>
          <w:tcPr>
            <w:tcW w:type="dxa" w:w="3742"/>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Event Queue、Runtime State、Order State Machine、幂等、Hard Safety、Control Plane</w:t>
            </w:r>
          </w:p>
        </w:tc>
      </w:tr>
      <w:tr>
        <w:trPr>
          <w:cantSplit/>
          <w:trHeight w:hRule="atLeast"/>
        </w:trPr>
        <w:tc>
          <w:tcPr>
            <w:tcW w:type="dxa" w:w="1247"/>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P2</w:t>
            </w:r>
          </w:p>
        </w:tc>
        <w:tc>
          <w:tcPr>
            <w:tcW w:type="dxa" w:w="4309"/>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Plan Sync + Central Event Sync</w:t>
            </w:r>
          </w:p>
        </w:tc>
        <w:tc>
          <w:tcPr>
            <w:tcW w:type="dxa" w:w="3742"/>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TradePlan加载、Outbox、后台ACK、资产/持仓同步、Reconcile</w:t>
            </w:r>
          </w:p>
        </w:tc>
      </w:tr>
      <w:tr>
        <w:trPr>
          <w:cantSplit/>
          <w:trHeight w:hRule="atLeast"/>
        </w:trPr>
        <w:tc>
          <w:tcPr>
            <w:tcW w:type="dxa" w:w="1247"/>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P3</w:t>
            </w:r>
          </w:p>
        </w:tc>
        <w:tc>
          <w:tcPr>
            <w:tcW w:type="dxa" w:w="4309"/>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TAIL_ENTRY_V1 + T1_EXIT_V1</w:t>
            </w:r>
          </w:p>
        </w:tc>
        <w:tc>
          <w:tcPr>
            <w:tcW w:type="dxa" w:w="3742"/>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当前尾盘自动买入/次日卖出完整闭环</w:t>
            </w:r>
          </w:p>
        </w:tc>
      </w:tr>
      <w:tr>
        <w:trPr>
          <w:cantSplit/>
          <w:trHeight w:hRule="atLeast"/>
        </w:trPr>
        <w:tc>
          <w:tcPr>
            <w:tcW w:type="dxa" w:w="1247"/>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P4</w:t>
            </w:r>
          </w:p>
        </w:tc>
        <w:tc>
          <w:tcPr>
            <w:tcW w:type="dxa" w:w="4309"/>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Replay + Shadow</w:t>
            </w:r>
          </w:p>
        </w:tc>
        <w:tc>
          <w:tcPr>
            <w:tcW w:type="dxa" w:w="3742"/>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历史Tick回放、Exit策略AB对比、实时Shadow</w:t>
            </w:r>
          </w:p>
        </w:tc>
      </w:tr>
      <w:tr>
        <w:trPr>
          <w:cantSplit/>
          <w:trHeight w:hRule="atLeast"/>
        </w:trPr>
        <w:tc>
          <w:tcPr>
            <w:tcW w:type="dxa" w:w="1247"/>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P5</w:t>
            </w:r>
          </w:p>
        </w:tc>
        <w:tc>
          <w:tcPr>
            <w:tcW w:type="dxa" w:w="4309"/>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容量与Execution V2</w:t>
            </w:r>
          </w:p>
        </w:tc>
        <w:tc>
          <w:tcPr>
            <w:tcW w:type="dxa" w:w="3742"/>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拆单、参与率、滑点、资金放大</w:t>
            </w:r>
          </w:p>
        </w:tc>
      </w:tr>
      <w:tr>
        <w:trPr>
          <w:cantSplit/>
          <w:trHeight w:hRule="atLeast"/>
        </w:trPr>
        <w:tc>
          <w:tcPr>
            <w:tcW w:type="dxa" w:w="1247"/>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P6</w:t>
            </w:r>
          </w:p>
        </w:tc>
        <w:tc>
          <w:tcPr>
            <w:tcW w:type="dxa" w:w="4309"/>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Level-2增强</w:t>
            </w:r>
          </w:p>
        </w:tc>
        <w:tc>
          <w:tcPr>
            <w:tcW w:type="dxa" w:w="3742"/>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逐笔成交/委托作为辅助特征，不改变底层架构</w:t>
            </w:r>
          </w:p>
        </w:tc>
      </w:tr>
    </w:tbl>
    <w:p>
      <w:pPr>
        <w:spacing w:after="40"/>
      </w:pPr>
    </w:p>
    <w:p>
      <w:pPr>
        <w:pStyle w:val="Heading1"/>
        <w:keepNext/>
        <w:pageBreakBefore w:val="0"/>
      </w:pPr>
      <w:r>
        <w:rPr>
          <w:rFonts w:ascii="Noto Sans CJK SC" w:hAnsi="Noto Sans CJK SC" w:eastAsia="Noto Sans CJK SC"/>
          <w:b/>
          <w:color w:val="143A5F"/>
          <w:sz w:val="32"/>
        </w:rPr>
        <w:t>附录A. QMT能力映射</w:t>
      </w:r>
    </w:p>
    <w:p>
      <w:pPr>
        <w:spacing w:before="0" w:after="100" w:line="300" w:lineRule="auto"/>
      </w:pPr>
      <w:r>
        <w:rPr>
          <w:rFonts w:ascii="Noto Sans CJK SC" w:hAnsi="Noto Sans CJK SC" w:eastAsia="Noto Sans CJK SC"/>
        </w:rPr>
        <w:t>以下能力基于迅投公开XtQuant文档设计，实际以中金开户后“函数交易权限 + 独立交易”环境POC为准。</w:t>
      </w:r>
    </w:p>
    <w:tbl>
      <w:tblPr>
        <w:tblStyle w:val="TableGrid"/>
        <w:tblW w:type="auto" w:w="0"/>
        <w:jc w:val="center"/>
        <w:tblLayout w:type="fixed"/>
        <w:tblLook w:firstColumn="1" w:firstRow="1" w:lastColumn="0" w:lastRow="0" w:noHBand="0" w:noVBand="1" w:val="04A0"/>
      </w:tblPr>
      <w:tblGrid>
        <w:gridCol w:w="3324"/>
        <w:gridCol w:w="3324"/>
        <w:gridCol w:w="3324"/>
      </w:tblGrid>
      <w:tr>
        <w:trPr>
          <w:trHeight w:hRule="atLeast"/>
          <w:tblHeader w:val="true"/>
          <w:cantSplit/>
        </w:trPr>
        <w:tc>
          <w:tcPr>
            <w:tcW w:type="dxa" w:w="2438"/>
            <w:shd w:fill="1F4E78"/>
            <w:tcMar>
              <w:top w:w="90" w:type="dxa"/>
              <w:start w:w="90" w:type="dxa"/>
              <w:bottom w:w="90" w:type="dxa"/>
              <w:end w:w="90" w:type="dxa"/>
            </w:tcMar>
            <w:vAlign w:val="center"/>
          </w:tcPr>
          <w:p>
            <w:pPr>
              <w:spacing w:before="0" w:after="0" w:line="240" w:lineRule="auto"/>
              <w:jc w:val="center"/>
            </w:pPr>
            <w:r>
              <w:rPr>
                <w:rFonts w:ascii="Noto Sans CJK SC" w:hAnsi="Noto Sans CJK SC" w:eastAsia="Noto Sans CJK SC"/>
                <w:b/>
                <w:color w:val="FFFFFF"/>
                <w:sz w:val="18"/>
              </w:rPr>
              <w:t>系统需求</w:t>
            </w:r>
          </w:p>
        </w:tc>
        <w:tc>
          <w:tcPr>
            <w:tcW w:type="dxa" w:w="3685"/>
            <w:shd w:fill="1F4E78"/>
            <w:tcMar>
              <w:top w:w="90" w:type="dxa"/>
              <w:start w:w="90" w:type="dxa"/>
              <w:bottom w:w="90" w:type="dxa"/>
              <w:end w:w="90" w:type="dxa"/>
            </w:tcMar>
            <w:vAlign w:val="center"/>
          </w:tcPr>
          <w:p>
            <w:pPr>
              <w:spacing w:before="0" w:after="0" w:line="240" w:lineRule="auto"/>
              <w:jc w:val="center"/>
            </w:pPr>
            <w:r>
              <w:rPr>
                <w:rFonts w:ascii="Noto Sans CJK SC" w:hAnsi="Noto Sans CJK SC" w:eastAsia="Noto Sans CJK SC"/>
                <w:b/>
                <w:color w:val="FFFFFF"/>
                <w:sz w:val="18"/>
              </w:rPr>
              <w:t>迅投文档能力</w:t>
            </w:r>
          </w:p>
        </w:tc>
        <w:tc>
          <w:tcPr>
            <w:tcW w:type="dxa" w:w="2835"/>
            <w:shd w:fill="1F4E78"/>
            <w:tcMar>
              <w:top w:w="90" w:type="dxa"/>
              <w:start w:w="90" w:type="dxa"/>
              <w:bottom w:w="90" w:type="dxa"/>
              <w:end w:w="90" w:type="dxa"/>
            </w:tcMar>
            <w:vAlign w:val="center"/>
          </w:tcPr>
          <w:p>
            <w:pPr>
              <w:spacing w:before="0" w:after="0" w:line="240" w:lineRule="auto"/>
              <w:jc w:val="center"/>
            </w:pPr>
            <w:r>
              <w:rPr>
                <w:rFonts w:ascii="Noto Sans CJK SC" w:hAnsi="Noto Sans CJK SC" w:eastAsia="Noto Sans CJK SC"/>
                <w:b/>
                <w:color w:val="FFFFFF"/>
                <w:sz w:val="18"/>
              </w:rPr>
              <w:t>备注</w:t>
            </w:r>
          </w:p>
        </w:tc>
      </w:tr>
      <w:tr>
        <w:trPr>
          <w:cantSplit/>
          <w:trHeight w:hRule="atLeast"/>
        </w:trPr>
        <w:tc>
          <w:tcPr>
            <w:tcW w:type="dxa" w:w="2438"/>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外部Python连接</w:t>
            </w:r>
          </w:p>
        </w:tc>
        <w:tc>
          <w:tcPr>
            <w:tcW w:type="dxa" w:w="3685"/>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XtQuantTrader + QMT/MiniQMT通信</w:t>
            </w:r>
          </w:p>
        </w:tc>
        <w:tc>
          <w:tcPr>
            <w:tcW w:type="dxa" w:w="2835"/>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中金称为“独立交易”模式，需实测userdata_mini路径</w:t>
            </w:r>
          </w:p>
        </w:tc>
      </w:tr>
      <w:tr>
        <w:trPr>
          <w:cantSplit/>
          <w:trHeight w:hRule="atLeast"/>
        </w:trPr>
        <w:tc>
          <w:tcPr>
            <w:tcW w:type="dxa" w:w="2438"/>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Tick行情</w:t>
            </w:r>
          </w:p>
        </w:tc>
        <w:tc>
          <w:tcPr>
            <w:tcW w:type="dxa" w:w="3685"/>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xtdata.subscribe_quote(period="tick")等</w:t>
            </w:r>
          </w:p>
        </w:tc>
        <w:tc>
          <w:tcPr>
            <w:tcW w:type="dxa" w:w="2835"/>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普通Tick不是Level-2逐笔成交</w:t>
            </w:r>
          </w:p>
        </w:tc>
      </w:tr>
      <w:tr>
        <w:trPr>
          <w:cantSplit/>
          <w:trHeight w:hRule="atLeast"/>
        </w:trPr>
        <w:tc>
          <w:tcPr>
            <w:tcW w:type="dxa" w:w="2438"/>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Level-2</w:t>
            </w:r>
          </w:p>
        </w:tc>
        <w:tc>
          <w:tcPr>
            <w:tcW w:type="dxa" w:w="3685"/>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l2quote/l2transaction/l2order/l2orderqueue</w:t>
            </w:r>
          </w:p>
        </w:tc>
        <w:tc>
          <w:tcPr>
            <w:tcW w:type="dxa" w:w="2835"/>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需券商另行权限</w:t>
            </w:r>
          </w:p>
        </w:tc>
      </w:tr>
      <w:tr>
        <w:trPr>
          <w:cantSplit/>
          <w:trHeight w:hRule="atLeast"/>
        </w:trPr>
        <w:tc>
          <w:tcPr>
            <w:tcW w:type="dxa" w:w="2438"/>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资产持仓</w:t>
            </w:r>
          </w:p>
        </w:tc>
        <w:tc>
          <w:tcPr>
            <w:tcW w:type="dxa" w:w="3685"/>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query_stock_asset / query_stock_positions</w:t>
            </w:r>
          </w:p>
        </w:tc>
        <w:tc>
          <w:tcPr>
            <w:tcW w:type="dxa" w:w="2835"/>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作为真实账户事实</w:t>
            </w:r>
          </w:p>
        </w:tc>
      </w:tr>
      <w:tr>
        <w:trPr>
          <w:cantSplit/>
          <w:trHeight w:hRule="atLeast"/>
        </w:trPr>
        <w:tc>
          <w:tcPr>
            <w:tcW w:type="dxa" w:w="2438"/>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当日委托成交</w:t>
            </w:r>
          </w:p>
        </w:tc>
        <w:tc>
          <w:tcPr>
            <w:tcW w:type="dxa" w:w="3685"/>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query_stock_orders / query_stock_trades</w:t>
            </w:r>
          </w:p>
        </w:tc>
        <w:tc>
          <w:tcPr>
            <w:tcW w:type="dxa" w:w="2835"/>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重启/对账必需</w:t>
            </w:r>
          </w:p>
        </w:tc>
      </w:tr>
      <w:tr>
        <w:trPr>
          <w:cantSplit/>
          <w:trHeight w:hRule="atLeast"/>
        </w:trPr>
        <w:tc>
          <w:tcPr>
            <w:tcW w:type="dxa" w:w="2438"/>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异步下单</w:t>
            </w:r>
          </w:p>
        </w:tc>
        <w:tc>
          <w:tcPr>
            <w:tcW w:type="dxa" w:w="3685"/>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order_stock_async</w:t>
            </w:r>
          </w:p>
        </w:tc>
        <w:tc>
          <w:tcPr>
            <w:tcW w:type="dxa" w:w="2835"/>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返回请求序号后仍需回调确认</w:t>
            </w:r>
          </w:p>
        </w:tc>
      </w:tr>
      <w:tr>
        <w:trPr>
          <w:cantSplit/>
          <w:trHeight w:hRule="atLeast"/>
        </w:trPr>
        <w:tc>
          <w:tcPr>
            <w:tcW w:type="dxa" w:w="2438"/>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撤单</w:t>
            </w:r>
          </w:p>
        </w:tc>
        <w:tc>
          <w:tcPr>
            <w:tcW w:type="dxa" w:w="3685"/>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cancel_order_stock等</w:t>
            </w:r>
          </w:p>
        </w:tc>
        <w:tc>
          <w:tcPr>
            <w:tcW w:type="dxa" w:w="2835"/>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部分成交/超时订单管理</w:t>
            </w:r>
          </w:p>
        </w:tc>
      </w:tr>
      <w:tr>
        <w:trPr>
          <w:cantSplit/>
          <w:trHeight w:hRule="atLeast"/>
        </w:trPr>
        <w:tc>
          <w:tcPr>
            <w:tcW w:type="dxa" w:w="2438"/>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交易主推</w:t>
            </w:r>
          </w:p>
        </w:tc>
        <w:tc>
          <w:tcPr>
            <w:tcW w:type="dxa" w:w="3685"/>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on_stock_order / on_stock_trade / on_order_error等</w:t>
            </w:r>
          </w:p>
        </w:tc>
        <w:tc>
          <w:tcPr>
            <w:tcW w:type="dxa" w:w="2835"/>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快通道</w:t>
            </w:r>
          </w:p>
        </w:tc>
      </w:tr>
      <w:tr>
        <w:trPr>
          <w:cantSplit/>
          <w:trHeight w:hRule="atLeast"/>
        </w:trPr>
        <w:tc>
          <w:tcPr>
            <w:tcW w:type="dxa" w:w="2438"/>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断线</w:t>
            </w:r>
          </w:p>
        </w:tc>
        <w:tc>
          <w:tcPr>
            <w:tcW w:type="dxa" w:w="3685"/>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on_disconnected等</w:t>
            </w:r>
          </w:p>
        </w:tc>
        <w:tc>
          <w:tcPr>
            <w:tcW w:type="dxa" w:w="2835"/>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Watchdog + Reconnect + Reconcile</w:t>
            </w:r>
          </w:p>
        </w:tc>
      </w:tr>
    </w:tbl>
    <w:p>
      <w:pPr>
        <w:spacing w:after="40"/>
      </w:pPr>
    </w:p>
    <w:p>
      <w:pPr>
        <w:pStyle w:val="Heading2"/>
        <w:keepNext/>
      </w:pPr>
      <w:r>
        <w:rPr>
          <w:rFonts w:ascii="Noto Sans CJK SC" w:hAnsi="Noto Sans CJK SC" w:eastAsia="Noto Sans CJK SC"/>
          <w:b/>
          <w:color w:val="1F4E79"/>
          <w:sz w:val="26"/>
        </w:rPr>
        <w:t>参考文档</w:t>
      </w:r>
    </w:p>
    <w:p>
      <w:pPr>
        <w:pStyle w:val="ListBullet"/>
        <w:spacing w:before="0" w:after="40" w:line="300" w:lineRule="auto"/>
      </w:pPr>
      <w:r>
        <w:rPr>
          <w:rFonts w:ascii="Noto Sans CJK SC" w:hAnsi="Noto Sans CJK SC" w:eastAsia="Noto Sans CJK SC"/>
          <w:sz w:val="21"/>
        </w:rPr>
        <w:t>迅投知识库《XtQuant.Xttrade 交易模块》：dict.thinktrader.net/nativeApi/xttrader.html</w:t>
      </w:r>
    </w:p>
    <w:p>
      <w:pPr>
        <w:pStyle w:val="ListBullet"/>
        <w:spacing w:before="0" w:after="40" w:line="300" w:lineRule="auto"/>
      </w:pPr>
      <w:r>
        <w:rPr>
          <w:rFonts w:ascii="Noto Sans CJK SC" w:hAnsi="Noto Sans CJK SC" w:eastAsia="Noto Sans CJK SC"/>
          <w:sz w:val="21"/>
        </w:rPr>
        <w:t>迅投知识库《XtQuant.XtData 行情模块》：dict.thinktrader.net/nativeApi/xtdata.html</w:t>
      </w:r>
    </w:p>
    <w:p>
      <w:pPr>
        <w:pStyle w:val="ListBullet"/>
        <w:spacing w:before="0" w:after="40" w:line="300" w:lineRule="auto"/>
      </w:pPr>
      <w:r>
        <w:rPr>
          <w:rFonts w:ascii="Noto Sans CJK SC" w:hAnsi="Noto Sans CJK SC" w:eastAsia="Noto Sans CJK SC"/>
          <w:sz w:val="21"/>
        </w:rPr>
        <w:t>迅投知识库《完整实例》：dict.thinktrader.net/nativeApi/code_examples.html</w:t>
      </w:r>
    </w:p>
    <w:p>
      <w:pPr>
        <w:pStyle w:val="ListBullet"/>
        <w:spacing w:before="0" w:after="40" w:line="300" w:lineRule="auto"/>
      </w:pPr>
      <w:r>
        <w:rPr>
          <w:rFonts w:ascii="Noto Sans CJK SC" w:hAnsi="Noto Sans CJK SC" w:eastAsia="Noto Sans CJK SC"/>
          <w:sz w:val="21"/>
        </w:rPr>
        <w:t>迅投知识库《常见问题》：dict.thinktrader.net/nativeApi/question_function.html</w:t>
      </w:r>
    </w:p>
    <w:p>
      <w:pPr>
        <w:pStyle w:val="ListBullet"/>
        <w:spacing w:before="0" w:after="40" w:line="300" w:lineRule="auto"/>
      </w:pPr>
      <w:r>
        <w:rPr>
          <w:rFonts w:ascii="Noto Sans CJK SC" w:hAnsi="Noto Sans CJK SC" w:eastAsia="Noto Sans CJK SC"/>
          <w:sz w:val="21"/>
        </w:rPr>
        <w:t>迅投知识库《快速开始》：dict.thinktrader.net/nativeApi/start_now.html</w:t>
      </w:r>
    </w:p>
    <w:p>
      <w:pPr>
        <w:pStyle w:val="Heading1"/>
        <w:keepNext/>
        <w:pageBreakBefore w:val="0"/>
      </w:pPr>
      <w:r>
        <w:rPr>
          <w:rFonts w:ascii="Noto Sans CJK SC" w:hAnsi="Noto Sans CJK SC" w:eastAsia="Noto Sans CJK SC"/>
          <w:b/>
          <w:color w:val="143A5F"/>
          <w:sz w:val="32"/>
        </w:rPr>
        <w:t>附录B. 关键状态机</w:t>
      </w:r>
    </w:p>
    <w:p>
      <w:pPr>
        <w:pStyle w:val="Heading2"/>
        <w:keepNext/>
      </w:pPr>
      <w:r>
        <w:rPr>
          <w:rFonts w:ascii="Noto Sans CJK SC" w:hAnsi="Noto Sans CJK SC" w:eastAsia="Noto Sans CJK SC"/>
          <w:b/>
          <w:color w:val="1F4E79"/>
          <w:sz w:val="26"/>
        </w:rPr>
        <w:t>B.1 系统运行状态</w:t>
      </w:r>
    </w:p>
    <w:tbl>
      <w:tblPr>
        <w:tblW w:type="auto" w:w="0"/>
        <w:jc w:val="center"/>
        <w:tblLook w:firstColumn="1" w:firstRow="1" w:lastColumn="0" w:lastRow="0" w:noHBand="0" w:noVBand="1" w:val="04A0"/>
      </w:tblPr>
      <w:tblGrid>
        <w:gridCol w:w="9972"/>
      </w:tblGrid>
      <w:tr>
        <w:trPr>
          <w:trHeight w:hRule="atLeast"/>
        </w:trPr>
        <w:tc>
          <w:tcPr>
            <w:tcW w:type="dxa" w:w="9972"/>
            <w:shd w:fill="F5F6F7"/>
            <w:tcMar>
              <w:top w:w="100" w:type="dxa"/>
              <w:start w:w="140" w:type="dxa"/>
              <w:bottom w:w="100" w:type="dxa"/>
              <w:end w:w="140" w:type="dxa"/>
            </w:tcMar>
          </w:tcPr>
          <w:p>
            <w:pPr>
              <w:spacing w:before="0" w:after="0" w:line="252" w:lineRule="auto"/>
            </w:pPr>
            <w:r>
              <w:rPr>
                <w:rFonts w:ascii="Noto Sans Mono CJK SC" w:hAnsi="Noto Sans Mono CJK SC" w:eastAsia="Noto Sans Mono CJK SC"/>
                <w:color w:val="2D3741"/>
                <w:sz w:val="17"/>
              </w:rPr>
              <w:t>BOOTING → CONNECTING → RECONCILING → READY_PAUSED → AUTO / SELL_ONLY / MANUAL / HALT</w:t>
            </w:r>
          </w:p>
        </w:tc>
      </w:tr>
    </w:tbl>
    <w:p>
      <w:pPr>
        <w:spacing w:after="20"/>
      </w:pPr>
    </w:p>
    <w:p>
      <w:pPr>
        <w:pStyle w:val="Heading2"/>
        <w:keepNext/>
      </w:pPr>
      <w:r>
        <w:rPr>
          <w:rFonts w:ascii="Noto Sans CJK SC" w:hAnsi="Noto Sans CJK SC" w:eastAsia="Noto Sans CJK SC"/>
          <w:b/>
          <w:color w:val="1F4E79"/>
          <w:sz w:val="26"/>
        </w:rPr>
        <w:t>B.2 Plan状态</w:t>
      </w:r>
    </w:p>
    <w:tbl>
      <w:tblPr>
        <w:tblW w:type="auto" w:w="0"/>
        <w:jc w:val="center"/>
        <w:tblLook w:firstColumn="1" w:firstRow="1" w:lastColumn="0" w:lastRow="0" w:noHBand="0" w:noVBand="1" w:val="04A0"/>
      </w:tblPr>
      <w:tblGrid>
        <w:gridCol w:w="9972"/>
      </w:tblGrid>
      <w:tr>
        <w:trPr>
          <w:trHeight w:hRule="atLeast"/>
        </w:trPr>
        <w:tc>
          <w:tcPr>
            <w:tcW w:type="dxa" w:w="9972"/>
            <w:shd w:fill="F5F6F7"/>
            <w:tcMar>
              <w:top w:w="100" w:type="dxa"/>
              <w:start w:w="140" w:type="dxa"/>
              <w:bottom w:w="100" w:type="dxa"/>
              <w:end w:w="140" w:type="dxa"/>
            </w:tcMar>
          </w:tcPr>
          <w:p>
            <w:pPr>
              <w:spacing w:before="0" w:after="0" w:line="252" w:lineRule="auto"/>
            </w:pPr>
            <w:r>
              <w:rPr>
                <w:rFonts w:ascii="Noto Sans Mono CJK SC" w:hAnsi="Noto Sans Mono CJK SC" w:eastAsia="Noto Sans Mono CJK SC"/>
                <w:color w:val="2D3741"/>
                <w:sz w:val="17"/>
              </w:rPr>
              <w:t>CALCULATING → DRAFT → READY → RUNNING → COMPLETED</w:t>
            </w:r>
            <w:r>
              <w:rPr>
                <w:rFonts w:ascii="Noto Sans CJK SC" w:hAnsi="Noto Sans CJK SC" w:eastAsia="Noto Sans CJK SC"/>
              </w:rPr>
              <w:br/>
            </w:r>
            <w:r>
              <w:rPr>
                <w:rFonts w:ascii="Noto Sans Mono CJK SC" w:hAnsi="Noto Sans Mono CJK SC" w:eastAsia="Noto Sans Mono CJK SC"/>
                <w:color w:val="2D3741"/>
                <w:sz w:val="17"/>
              </w:rPr>
              <w:t xml:space="preserve">                         ├→ CANCELLED</w:t>
            </w:r>
            <w:r>
              <w:rPr>
                <w:rFonts w:ascii="Noto Sans CJK SC" w:hAnsi="Noto Sans CJK SC" w:eastAsia="Noto Sans CJK SC"/>
              </w:rPr>
              <w:br/>
            </w:r>
            <w:r>
              <w:rPr>
                <w:rFonts w:ascii="Noto Sans Mono CJK SC" w:hAnsi="Noto Sans Mono CJK SC" w:eastAsia="Noto Sans Mono CJK SC"/>
                <w:color w:val="2D3741"/>
                <w:sz w:val="17"/>
              </w:rPr>
              <w:t xml:space="preserve">                         └→ EXPIRED</w:t>
            </w:r>
          </w:p>
        </w:tc>
      </w:tr>
    </w:tbl>
    <w:p>
      <w:pPr>
        <w:spacing w:after="20"/>
      </w:pPr>
    </w:p>
    <w:p>
      <w:pPr>
        <w:pStyle w:val="Heading2"/>
        <w:keepNext/>
      </w:pPr>
      <w:r>
        <w:rPr>
          <w:rFonts w:ascii="Noto Sans CJK SC" w:hAnsi="Noto Sans CJK SC" w:eastAsia="Noto Sans CJK SC"/>
          <w:b/>
          <w:color w:val="1F4E79"/>
          <w:sz w:val="26"/>
        </w:rPr>
        <w:t>B.3 Order状态</w:t>
      </w:r>
    </w:p>
    <w:tbl>
      <w:tblPr>
        <w:tblW w:type="auto" w:w="0"/>
        <w:jc w:val="center"/>
        <w:tblLook w:firstColumn="1" w:firstRow="1" w:lastColumn="0" w:lastRow="0" w:noHBand="0" w:noVBand="1" w:val="04A0"/>
      </w:tblPr>
      <w:tblGrid>
        <w:gridCol w:w="9972"/>
      </w:tblGrid>
      <w:tr>
        <w:trPr>
          <w:trHeight w:hRule="atLeast"/>
        </w:trPr>
        <w:tc>
          <w:tcPr>
            <w:tcW w:type="dxa" w:w="9972"/>
            <w:shd w:fill="F5F6F7"/>
            <w:tcMar>
              <w:top w:w="100" w:type="dxa"/>
              <w:start w:w="140" w:type="dxa"/>
              <w:bottom w:w="100" w:type="dxa"/>
              <w:end w:w="140" w:type="dxa"/>
            </w:tcMar>
          </w:tcPr>
          <w:p>
            <w:pPr>
              <w:spacing w:before="0" w:after="0" w:line="252" w:lineRule="auto"/>
            </w:pPr>
            <w:r>
              <w:rPr>
                <w:rFonts w:ascii="Noto Sans Mono CJK SC" w:hAnsi="Noto Sans Mono CJK SC" w:eastAsia="Noto Sans Mono CJK SC"/>
                <w:color w:val="2D3741"/>
                <w:sz w:val="17"/>
              </w:rPr>
              <w:t>CREATED → VALIDATED → SUBMITTED → ACKED → PARTIAL_FILLED → FILLED</w:t>
            </w:r>
            <w:r>
              <w:rPr>
                <w:rFonts w:ascii="Noto Sans CJK SC" w:hAnsi="Noto Sans CJK SC" w:eastAsia="Noto Sans CJK SC"/>
              </w:rPr>
              <w:br/>
            </w:r>
            <w:r>
              <w:rPr>
                <w:rFonts w:ascii="Noto Sans Mono CJK SC" w:hAnsi="Noto Sans Mono CJK SC" w:eastAsia="Noto Sans Mono CJK SC"/>
                <w:color w:val="2D3741"/>
                <w:sz w:val="17"/>
              </w:rPr>
              <w:t xml:space="preserve">                                      ├→ CANCEL_PENDING → CANCELLED</w:t>
            </w:r>
            <w:r>
              <w:rPr>
                <w:rFonts w:ascii="Noto Sans CJK SC" w:hAnsi="Noto Sans CJK SC" w:eastAsia="Noto Sans CJK SC"/>
              </w:rPr>
              <w:br/>
            </w:r>
            <w:r>
              <w:rPr>
                <w:rFonts w:ascii="Noto Sans Mono CJK SC" w:hAnsi="Noto Sans Mono CJK SC" w:eastAsia="Noto Sans Mono CJK SC"/>
                <w:color w:val="2D3741"/>
                <w:sz w:val="17"/>
              </w:rPr>
              <w:t xml:space="preserve">                                      ├→ REJECTED</w:t>
            </w:r>
            <w:r>
              <w:rPr>
                <w:rFonts w:ascii="Noto Sans CJK SC" w:hAnsi="Noto Sans CJK SC" w:eastAsia="Noto Sans CJK SC"/>
              </w:rPr>
              <w:br/>
            </w:r>
            <w:r>
              <w:rPr>
                <w:rFonts w:ascii="Noto Sans Mono CJK SC" w:hAnsi="Noto Sans Mono CJK SC" w:eastAsia="Noto Sans Mono CJK SC"/>
                <w:color w:val="2D3741"/>
                <w:sz w:val="17"/>
              </w:rPr>
              <w:t xml:space="preserve">                                      └→ UNKNOWN</w:t>
            </w:r>
          </w:p>
        </w:tc>
      </w:tr>
    </w:tbl>
    <w:p>
      <w:pPr>
        <w:spacing w:after="20"/>
      </w:pPr>
    </w:p>
    <w:p>
      <w:pPr>
        <w:pStyle w:val="Heading2"/>
        <w:keepNext/>
      </w:pPr>
      <w:r>
        <w:rPr>
          <w:rFonts w:ascii="Noto Sans CJK SC" w:hAnsi="Noto Sans CJK SC" w:eastAsia="Noto Sans CJK SC"/>
          <w:b/>
          <w:color w:val="1F4E79"/>
          <w:sz w:val="26"/>
        </w:rPr>
        <w:t>B.4 Exit状态</w:t>
      </w:r>
    </w:p>
    <w:tbl>
      <w:tblPr>
        <w:tblW w:type="auto" w:w="0"/>
        <w:jc w:val="center"/>
        <w:tblLook w:firstColumn="1" w:firstRow="1" w:lastColumn="0" w:lastRow="0" w:noHBand="0" w:noVBand="1" w:val="04A0"/>
      </w:tblPr>
      <w:tblGrid>
        <w:gridCol w:w="9972"/>
      </w:tblGrid>
      <w:tr>
        <w:trPr>
          <w:trHeight w:hRule="atLeast"/>
        </w:trPr>
        <w:tc>
          <w:tcPr>
            <w:tcW w:type="dxa" w:w="9972"/>
            <w:shd w:fill="F5F6F7"/>
            <w:tcMar>
              <w:top w:w="100" w:type="dxa"/>
              <w:start w:w="140" w:type="dxa"/>
              <w:bottom w:w="100" w:type="dxa"/>
              <w:end w:w="140" w:type="dxa"/>
            </w:tcMar>
          </w:tcPr>
          <w:p>
            <w:pPr>
              <w:spacing w:before="0" w:after="0" w:line="252" w:lineRule="auto"/>
            </w:pPr>
            <w:r>
              <w:rPr>
                <w:rFonts w:ascii="Noto Sans Mono CJK SC" w:hAnsi="Noto Sans Mono CJK SC" w:eastAsia="Noto Sans Mono CJK SC"/>
                <w:color w:val="2D3741"/>
                <w:sz w:val="17"/>
              </w:rPr>
              <w:t>WAIT_OPEN → FULL_POSITION → PROFIT_ARMED / HALF_POSITION → FULL_SELL_PENDING → EXITED</w:t>
            </w:r>
            <w:r>
              <w:rPr>
                <w:rFonts w:ascii="Noto Sans CJK SC" w:hAnsi="Noto Sans CJK SC" w:eastAsia="Noto Sans CJK SC"/>
              </w:rPr>
              <w:br/>
            </w:r>
            <w:r>
              <w:rPr>
                <w:rFonts w:ascii="Noto Sans Mono CJK SC" w:hAnsi="Noto Sans Mono CJK SC" w:eastAsia="Noto Sans Mono CJK SC"/>
                <w:color w:val="2D3741"/>
                <w:sz w:val="17"/>
              </w:rPr>
              <w:t xml:space="preserve">                        ├→ MANUAL</w:t>
            </w:r>
            <w:r>
              <w:rPr>
                <w:rFonts w:ascii="Noto Sans CJK SC" w:hAnsi="Noto Sans CJK SC" w:eastAsia="Noto Sans CJK SC"/>
              </w:rPr>
              <w:br/>
            </w:r>
            <w:r>
              <w:rPr>
                <w:rFonts w:ascii="Noto Sans Mono CJK SC" w:hAnsi="Noto Sans Mono CJK SC" w:eastAsia="Noto Sans Mono CJK SC"/>
                <w:color w:val="2D3741"/>
                <w:sz w:val="17"/>
              </w:rPr>
              <w:t xml:space="preserve">                        └→ UNSELLABLE / ERROR_HOLD</w:t>
            </w:r>
          </w:p>
        </w:tc>
      </w:tr>
    </w:tbl>
    <w:p>
      <w:pPr>
        <w:spacing w:after="20"/>
      </w:pPr>
    </w:p>
    <w:p>
      <w:pPr>
        <w:pStyle w:val="Heading1"/>
        <w:keepNext/>
        <w:pageBreakBefore w:val="0"/>
      </w:pPr>
      <w:r>
        <w:rPr>
          <w:rFonts w:ascii="Noto Sans CJK SC" w:hAnsi="Noto Sans CJK SC" w:eastAsia="Noto Sans CJK SC"/>
          <w:b/>
          <w:color w:val="143A5F"/>
          <w:sz w:val="32"/>
        </w:rPr>
        <w:t>附录C. V1建议默认配置（仅作为初始工程参数）</w:t>
      </w:r>
    </w:p>
    <w:tbl>
      <w:tblPr>
        <w:tblW w:type="auto" w:w="0"/>
        <w:jc w:val="center"/>
        <w:tblLayout w:type="autofit"/>
        <w:tblLook w:firstColumn="1" w:firstRow="1" w:lastColumn="0" w:lastRow="0" w:noHBand="0" w:noVBand="1" w:val="04A0"/>
      </w:tblPr>
      <w:tblGrid>
        <w:gridCol w:w="9972"/>
      </w:tblGrid>
      <w:tr>
        <w:trPr>
          <w:trHeight w:hRule="atLeast"/>
        </w:trPr>
        <w:tc>
          <w:tcPr>
            <w:tcW w:type="dxa" w:w="9972"/>
            <w:shd w:fill="FFF2CC"/>
            <w:tcMar>
              <w:top w:w="140" w:type="dxa"/>
              <w:start w:w="180" w:type="dxa"/>
              <w:bottom w:w="140" w:type="dxa"/>
              <w:end w:w="180" w:type="dxa"/>
            </w:tcMar>
          </w:tcPr>
          <w:p>
            <w:pPr>
              <w:spacing w:before="0" w:after="60" w:line="300" w:lineRule="auto"/>
            </w:pPr>
            <w:r>
              <w:rPr>
                <w:rFonts w:ascii="Noto Sans CJK SC" w:hAnsi="Noto Sans CJK SC" w:eastAsia="Noto Sans CJK SC"/>
                <w:b/>
                <w:color w:val="194367"/>
                <w:sz w:val="21"/>
              </w:rPr>
              <w:t>注意</w:t>
            </w:r>
          </w:p>
          <w:p>
            <w:pPr>
              <w:spacing w:before="0" w:after="0" w:line="300" w:lineRule="auto"/>
            </w:pPr>
            <w:r>
              <w:rPr>
                <w:rFonts w:ascii="Noto Sans CJK SC" w:hAnsi="Noto Sans CJK SC" w:eastAsia="Noto Sans CJK SC"/>
                <w:sz w:val="20"/>
              </w:rPr>
              <w:t>以下仅用于第一版开发和测试，不是对收益最优的最终策略参数。策略参数应通过历史回测、Tick Replay、Shadow和小资金实盘持续优化，并在量化后台版本化。</w:t>
            </w:r>
          </w:p>
        </w:tc>
      </w:tr>
    </w:tbl>
    <w:p>
      <w:pPr>
        <w:spacing w:after="20"/>
      </w:pP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rHeight w:hRule="atLeast"/>
          <w:tblHeader w:val="true"/>
          <w:cantSplit/>
        </w:trPr>
        <w:tc>
          <w:tcPr>
            <w:tcW w:type="dxa" w:w="1531"/>
            <w:shd w:fill="1F4E78"/>
            <w:tcMar>
              <w:top w:w="90" w:type="dxa"/>
              <w:start w:w="90" w:type="dxa"/>
              <w:bottom w:w="90" w:type="dxa"/>
              <w:end w:w="90" w:type="dxa"/>
            </w:tcMar>
            <w:vAlign w:val="center"/>
          </w:tcPr>
          <w:p>
            <w:pPr>
              <w:spacing w:before="0" w:after="0" w:line="240" w:lineRule="auto"/>
              <w:jc w:val="center"/>
            </w:pPr>
            <w:r>
              <w:rPr>
                <w:rFonts w:ascii="Noto Sans CJK SC" w:hAnsi="Noto Sans CJK SC" w:eastAsia="Noto Sans CJK SC"/>
                <w:b/>
                <w:color w:val="FFFFFF"/>
                <w:sz w:val="18"/>
              </w:rPr>
              <w:t>配置域</w:t>
            </w:r>
          </w:p>
        </w:tc>
        <w:tc>
          <w:tcPr>
            <w:tcW w:type="dxa" w:w="2381"/>
            <w:shd w:fill="1F4E78"/>
            <w:tcMar>
              <w:top w:w="90" w:type="dxa"/>
              <w:start w:w="90" w:type="dxa"/>
              <w:bottom w:w="90" w:type="dxa"/>
              <w:end w:w="90" w:type="dxa"/>
            </w:tcMar>
            <w:vAlign w:val="center"/>
          </w:tcPr>
          <w:p>
            <w:pPr>
              <w:spacing w:before="0" w:after="0" w:line="240" w:lineRule="auto"/>
              <w:jc w:val="center"/>
            </w:pPr>
            <w:r>
              <w:rPr>
                <w:rFonts w:ascii="Noto Sans CJK SC" w:hAnsi="Noto Sans CJK SC" w:eastAsia="Noto Sans CJK SC"/>
                <w:b/>
                <w:color w:val="FFFFFF"/>
                <w:sz w:val="18"/>
              </w:rPr>
              <w:t>参数</w:t>
            </w:r>
          </w:p>
        </w:tc>
        <w:tc>
          <w:tcPr>
            <w:tcW w:type="dxa" w:w="3288"/>
            <w:shd w:fill="1F4E78"/>
            <w:tcMar>
              <w:top w:w="90" w:type="dxa"/>
              <w:start w:w="90" w:type="dxa"/>
              <w:bottom w:w="90" w:type="dxa"/>
              <w:end w:w="90" w:type="dxa"/>
            </w:tcMar>
            <w:vAlign w:val="center"/>
          </w:tcPr>
          <w:p>
            <w:pPr>
              <w:spacing w:before="0" w:after="0" w:line="240" w:lineRule="auto"/>
              <w:jc w:val="center"/>
            </w:pPr>
            <w:r>
              <w:rPr>
                <w:rFonts w:ascii="Noto Sans CJK SC" w:hAnsi="Noto Sans CJK SC" w:eastAsia="Noto Sans CJK SC"/>
                <w:b/>
                <w:color w:val="FFFFFF"/>
                <w:sz w:val="18"/>
              </w:rPr>
              <w:t>初始值/原则</w:t>
            </w:r>
          </w:p>
        </w:tc>
        <w:tc>
          <w:tcPr>
            <w:tcW w:type="dxa" w:w="1701"/>
            <w:shd w:fill="1F4E78"/>
            <w:tcMar>
              <w:top w:w="90" w:type="dxa"/>
              <w:start w:w="90" w:type="dxa"/>
              <w:bottom w:w="90" w:type="dxa"/>
              <w:end w:w="90" w:type="dxa"/>
            </w:tcMar>
            <w:vAlign w:val="center"/>
          </w:tcPr>
          <w:p>
            <w:pPr>
              <w:spacing w:before="0" w:after="0" w:line="240" w:lineRule="auto"/>
              <w:jc w:val="center"/>
            </w:pPr>
            <w:r>
              <w:rPr>
                <w:rFonts w:ascii="Noto Sans CJK SC" w:hAnsi="Noto Sans CJK SC" w:eastAsia="Noto Sans CJK SC"/>
                <w:b/>
                <w:color w:val="FFFFFF"/>
                <w:sz w:val="18"/>
              </w:rPr>
              <w:t>正式归属</w:t>
            </w:r>
          </w:p>
        </w:tc>
      </w:tr>
      <w:tr>
        <w:trPr>
          <w:cantSplit/>
          <w:trHeight w:hRule="atLeast"/>
        </w:trPr>
        <w:tc>
          <w:tcPr>
            <w:tcW w:type="dxa" w:w="1531"/>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Portfolio</w:t>
            </w:r>
          </w:p>
        </w:tc>
        <w:tc>
          <w:tcPr>
            <w:tcW w:type="dxa" w:w="2381"/>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最大股票数</w:t>
            </w:r>
          </w:p>
        </w:tc>
        <w:tc>
          <w:tcPr>
            <w:tcW w:type="dxa" w:w="3288"/>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15（Hard Limit）</w:t>
            </w:r>
          </w:p>
        </w:tc>
        <w:tc>
          <w:tcPr>
            <w:tcW w:type="dxa" w:w="1701"/>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Windows Hard Safety</w:t>
            </w:r>
          </w:p>
        </w:tc>
      </w:tr>
      <w:tr>
        <w:trPr>
          <w:cantSplit/>
          <w:trHeight w:hRule="atLeast"/>
        </w:trPr>
        <w:tc>
          <w:tcPr>
            <w:tcW w:type="dxa" w:w="1531"/>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Portfolio</w:t>
            </w:r>
          </w:p>
        </w:tc>
        <w:tc>
          <w:tcPr>
            <w:tcW w:type="dxa" w:w="2381"/>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目标总仓位</w:t>
            </w:r>
          </w:p>
        </w:tc>
        <w:tc>
          <w:tcPr>
            <w:tcW w:type="dxa" w:w="3288"/>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由TradePlan提供，如50/60/70%</w:t>
            </w:r>
          </w:p>
        </w:tc>
        <w:tc>
          <w:tcPr>
            <w:tcW w:type="dxa" w:w="1701"/>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后台</w:t>
            </w:r>
          </w:p>
        </w:tc>
      </w:tr>
      <w:tr>
        <w:trPr>
          <w:cantSplit/>
          <w:trHeight w:hRule="atLeast"/>
        </w:trPr>
        <w:tc>
          <w:tcPr>
            <w:tcW w:type="dxa" w:w="1531"/>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Entry</w:t>
            </w:r>
          </w:p>
        </w:tc>
        <w:tc>
          <w:tcPr>
            <w:tcW w:type="dxa" w:w="2381"/>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开始执行</w:t>
            </w:r>
          </w:p>
        </w:tc>
        <w:tc>
          <w:tcPr>
            <w:tcW w:type="dxa" w:w="3288"/>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14:35:00</w:t>
            </w:r>
          </w:p>
        </w:tc>
        <w:tc>
          <w:tcPr>
            <w:tcW w:type="dxa" w:w="1701"/>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后台Entry Policy</w:t>
            </w:r>
          </w:p>
        </w:tc>
      </w:tr>
      <w:tr>
        <w:trPr>
          <w:cantSplit/>
          <w:trHeight w:hRule="atLeast"/>
        </w:trPr>
        <w:tc>
          <w:tcPr>
            <w:tcW w:type="dxa" w:w="1531"/>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Entry</w:t>
            </w:r>
          </w:p>
        </w:tc>
        <w:tc>
          <w:tcPr>
            <w:tcW w:type="dxa" w:w="2381"/>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停止新增普通买单</w:t>
            </w:r>
          </w:p>
        </w:tc>
        <w:tc>
          <w:tcPr>
            <w:tcW w:type="dxa" w:w="3288"/>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约14:56:30</w:t>
            </w:r>
          </w:p>
        </w:tc>
        <w:tc>
          <w:tcPr>
            <w:tcW w:type="dxa" w:w="1701"/>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后台Entry Policy</w:t>
            </w:r>
          </w:p>
        </w:tc>
      </w:tr>
      <w:tr>
        <w:trPr>
          <w:cantSplit/>
          <w:trHeight w:hRule="atLeast"/>
        </w:trPr>
        <w:tc>
          <w:tcPr>
            <w:tcW w:type="dxa" w:w="1531"/>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Entry</w:t>
            </w:r>
          </w:p>
        </w:tc>
        <w:tc>
          <w:tcPr>
            <w:tcW w:type="dxa" w:w="2381"/>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最大追价/滑点</w:t>
            </w:r>
          </w:p>
        </w:tc>
        <w:tc>
          <w:tcPr>
            <w:tcW w:type="dxa" w:w="3288"/>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策略化配置；V1从保守阈值起</w:t>
            </w:r>
          </w:p>
        </w:tc>
        <w:tc>
          <w:tcPr>
            <w:tcW w:type="dxa" w:w="1701"/>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后台Execution Policy</w:t>
            </w:r>
          </w:p>
        </w:tc>
      </w:tr>
      <w:tr>
        <w:trPr>
          <w:cantSplit/>
          <w:trHeight w:hRule="atLeast"/>
        </w:trPr>
        <w:tc>
          <w:tcPr>
            <w:tcW w:type="dxa" w:w="1531"/>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Order</w:t>
            </w:r>
          </w:p>
        </w:tc>
        <w:tc>
          <w:tcPr>
            <w:tcW w:type="dxa" w:w="2381"/>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单股票同方向活动订单</w:t>
            </w:r>
          </w:p>
        </w:tc>
        <w:tc>
          <w:tcPr>
            <w:tcW w:type="dxa" w:w="3288"/>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原则上1</w:t>
            </w:r>
          </w:p>
        </w:tc>
        <w:tc>
          <w:tcPr>
            <w:tcW w:type="dxa" w:w="1701"/>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Windows</w:t>
            </w:r>
          </w:p>
        </w:tc>
      </w:tr>
      <w:tr>
        <w:trPr>
          <w:cantSplit/>
          <w:trHeight w:hRule="atLeast"/>
        </w:trPr>
        <w:tc>
          <w:tcPr>
            <w:tcW w:type="dxa" w:w="1531"/>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Order</w:t>
            </w:r>
          </w:p>
        </w:tc>
        <w:tc>
          <w:tcPr>
            <w:tcW w:type="dxa" w:w="2381"/>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订单超时</w:t>
            </w:r>
          </w:p>
        </w:tc>
        <w:tc>
          <w:tcPr>
            <w:tcW w:type="dxa" w:w="3288"/>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按流动性2-5秒动态处理</w:t>
            </w:r>
          </w:p>
        </w:tc>
        <w:tc>
          <w:tcPr>
            <w:tcW w:type="dxa" w:w="1701"/>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后台Execution + Windows执行</w:t>
            </w:r>
          </w:p>
        </w:tc>
      </w:tr>
      <w:tr>
        <w:trPr>
          <w:cantSplit/>
          <w:trHeight w:hRule="atLeast"/>
        </w:trPr>
        <w:tc>
          <w:tcPr>
            <w:tcW w:type="dxa" w:w="1531"/>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Exit</w:t>
            </w:r>
          </w:p>
        </w:tc>
        <w:tc>
          <w:tcPr>
            <w:tcW w:type="dxa" w:w="2381"/>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高开卖一半</w:t>
            </w:r>
          </w:p>
        </w:tc>
        <w:tc>
          <w:tcPr>
            <w:tcW w:type="dxa" w:w="3288"/>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3% / 50%（当前基线）</w:t>
            </w:r>
          </w:p>
        </w:tc>
        <w:tc>
          <w:tcPr>
            <w:tcW w:type="dxa" w:w="1701"/>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后台Exit Policy</w:t>
            </w:r>
          </w:p>
        </w:tc>
      </w:tr>
      <w:tr>
        <w:trPr>
          <w:cantSplit/>
          <w:trHeight w:hRule="atLeast"/>
        </w:trPr>
        <w:tc>
          <w:tcPr>
            <w:tcW w:type="dxa" w:w="1531"/>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Exit</w:t>
            </w:r>
          </w:p>
        </w:tc>
        <w:tc>
          <w:tcPr>
            <w:tcW w:type="dxa" w:w="2381"/>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盈利保护启动</w:t>
            </w:r>
          </w:p>
        </w:tc>
        <w:tc>
          <w:tcPr>
            <w:tcW w:type="dxa" w:w="3288"/>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3.5%（当前基线）</w:t>
            </w:r>
          </w:p>
        </w:tc>
        <w:tc>
          <w:tcPr>
            <w:tcW w:type="dxa" w:w="1701"/>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后台Exit Policy</w:t>
            </w:r>
          </w:p>
        </w:tc>
      </w:tr>
      <w:tr>
        <w:trPr>
          <w:cantSplit/>
          <w:trHeight w:hRule="atLeast"/>
        </w:trPr>
        <w:tc>
          <w:tcPr>
            <w:tcW w:type="dxa" w:w="1531"/>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Exit</w:t>
            </w:r>
          </w:p>
        </w:tc>
        <w:tc>
          <w:tcPr>
            <w:tcW w:type="dxa" w:w="2381"/>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7%全卖</w:t>
            </w:r>
          </w:p>
        </w:tc>
        <w:tc>
          <w:tcPr>
            <w:tcW w:type="dxa" w:w="3288"/>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当前基线</w:t>
            </w:r>
          </w:p>
        </w:tc>
        <w:tc>
          <w:tcPr>
            <w:tcW w:type="dxa" w:w="1701"/>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后台Exit Policy</w:t>
            </w:r>
          </w:p>
        </w:tc>
      </w:tr>
      <w:tr>
        <w:trPr>
          <w:cantSplit/>
          <w:trHeight w:hRule="atLeast"/>
        </w:trPr>
        <w:tc>
          <w:tcPr>
            <w:tcW w:type="dxa" w:w="1531"/>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Exit</w:t>
            </w:r>
          </w:p>
        </w:tc>
        <w:tc>
          <w:tcPr>
            <w:tcW w:type="dxa" w:w="2381"/>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10:30规则</w:t>
            </w:r>
          </w:p>
        </w:tc>
        <w:tc>
          <w:tcPr>
            <w:tcW w:type="dxa" w:w="3288"/>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支持STRICT/CONFIRM</w:t>
            </w:r>
          </w:p>
        </w:tc>
        <w:tc>
          <w:tcPr>
            <w:tcW w:type="dxa" w:w="1701"/>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后台Exit Policy</w:t>
            </w:r>
          </w:p>
        </w:tc>
      </w:tr>
      <w:tr>
        <w:trPr>
          <w:cantSplit/>
          <w:trHeight w:hRule="atLeast"/>
        </w:trPr>
        <w:tc>
          <w:tcPr>
            <w:tcW w:type="dxa" w:w="1531"/>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Exit</w:t>
            </w:r>
          </w:p>
        </w:tc>
        <w:tc>
          <w:tcPr>
            <w:tcW w:type="dxa" w:w="2381"/>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11:00规则</w:t>
            </w:r>
          </w:p>
        </w:tc>
        <w:tc>
          <w:tcPr>
            <w:tcW w:type="dxa" w:w="3288"/>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支持条件化亏损退出</w:t>
            </w:r>
          </w:p>
        </w:tc>
        <w:tc>
          <w:tcPr>
            <w:tcW w:type="dxa" w:w="1701"/>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后台Exit Policy</w:t>
            </w:r>
          </w:p>
        </w:tc>
      </w:tr>
      <w:tr>
        <w:trPr>
          <w:cantSplit/>
          <w:trHeight w:hRule="atLeast"/>
        </w:trPr>
        <w:tc>
          <w:tcPr>
            <w:tcW w:type="dxa" w:w="1531"/>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Market</w:t>
            </w:r>
          </w:p>
        </w:tc>
        <w:tc>
          <w:tcPr>
            <w:tcW w:type="dxa" w:w="2381"/>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Tick陈旧阈值</w:t>
            </w:r>
          </w:p>
        </w:tc>
        <w:tc>
          <w:tcPr>
            <w:tcW w:type="dxa" w:w="3288"/>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初始2秒，实测调优</w:t>
            </w:r>
          </w:p>
        </w:tc>
        <w:tc>
          <w:tcPr>
            <w:tcW w:type="dxa" w:w="1701"/>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Windows Hard Safety</w:t>
            </w:r>
          </w:p>
        </w:tc>
      </w:tr>
      <w:tr>
        <w:trPr>
          <w:cantSplit/>
          <w:trHeight w:hRule="atLeast"/>
        </w:trPr>
        <w:tc>
          <w:tcPr>
            <w:tcW w:type="dxa" w:w="1531"/>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Reconcile</w:t>
            </w:r>
          </w:p>
        </w:tc>
        <w:tc>
          <w:tcPr>
            <w:tcW w:type="dxa" w:w="2381"/>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持仓校验</w:t>
            </w:r>
          </w:p>
        </w:tc>
        <w:tc>
          <w:tcPr>
            <w:tcW w:type="dxa" w:w="3288"/>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约15秒</w:t>
            </w:r>
          </w:p>
        </w:tc>
        <w:tc>
          <w:tcPr>
            <w:tcW w:type="dxa" w:w="1701"/>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Windows基础设施</w:t>
            </w:r>
          </w:p>
        </w:tc>
      </w:tr>
      <w:tr>
        <w:trPr>
          <w:cantSplit/>
          <w:trHeight w:hRule="atLeast"/>
        </w:trPr>
        <w:tc>
          <w:tcPr>
            <w:tcW w:type="dxa" w:w="1531"/>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Reconcile</w:t>
            </w:r>
          </w:p>
        </w:tc>
        <w:tc>
          <w:tcPr>
            <w:tcW w:type="dxa" w:w="2381"/>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资产校验</w:t>
            </w:r>
          </w:p>
        </w:tc>
        <w:tc>
          <w:tcPr>
            <w:tcW w:type="dxa" w:w="3288"/>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约30秒</w:t>
            </w:r>
          </w:p>
        </w:tc>
        <w:tc>
          <w:tcPr>
            <w:tcW w:type="dxa" w:w="1701"/>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Windows基础设施</w:t>
            </w:r>
          </w:p>
        </w:tc>
      </w:tr>
      <w:tr>
        <w:trPr>
          <w:cantSplit/>
          <w:trHeight w:hRule="atLeast"/>
        </w:trPr>
        <w:tc>
          <w:tcPr>
            <w:tcW w:type="dxa" w:w="1531"/>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Control</w:t>
            </w:r>
          </w:p>
        </w:tc>
        <w:tc>
          <w:tcPr>
            <w:tcW w:type="dxa" w:w="2381"/>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重启后模式</w:t>
            </w:r>
          </w:p>
        </w:tc>
        <w:tc>
          <w:tcPr>
            <w:tcW w:type="dxa" w:w="3288"/>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READY_PAUSED，人工确认恢复</w:t>
            </w:r>
          </w:p>
        </w:tc>
        <w:tc>
          <w:tcPr>
            <w:tcW w:type="dxa" w:w="1701"/>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Windows</w:t>
            </w:r>
          </w:p>
        </w:tc>
      </w:tr>
      <w:tr>
        <w:trPr>
          <w:cantSplit/>
          <w:trHeight w:hRule="atLeast"/>
        </w:trPr>
        <w:tc>
          <w:tcPr>
            <w:tcW w:type="dxa" w:w="1531"/>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Control</w:t>
            </w:r>
          </w:p>
        </w:tc>
        <w:tc>
          <w:tcPr>
            <w:tcW w:type="dxa" w:w="2381"/>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后台不可用</w:t>
            </w:r>
          </w:p>
        </w:tc>
        <w:tc>
          <w:tcPr>
            <w:tcW w:type="dxa" w:w="3288"/>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执行已加载Plan；新Plan不可获取</w:t>
            </w:r>
          </w:p>
        </w:tc>
        <w:tc>
          <w:tcPr>
            <w:tcW w:type="dxa" w:w="1701"/>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Windows</w:t>
            </w:r>
          </w:p>
        </w:tc>
      </w:tr>
      <w:tr>
        <w:trPr>
          <w:cantSplit/>
          <w:trHeight w:hRule="atLeast"/>
        </w:trPr>
        <w:tc>
          <w:tcPr>
            <w:tcW w:type="dxa" w:w="1531"/>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Control</w:t>
            </w:r>
          </w:p>
        </w:tc>
        <w:tc>
          <w:tcPr>
            <w:tcW w:type="dxa" w:w="2381"/>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本地Override</w:t>
            </w:r>
          </w:p>
        </w:tc>
        <w:tc>
          <w:tcPr>
            <w:tcW w:type="dxa" w:w="3288"/>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优先级高于后台普通指令</w:t>
            </w:r>
          </w:p>
        </w:tc>
        <w:tc>
          <w:tcPr>
            <w:tcW w:type="dxa" w:w="1701"/>
            <w:shd w:fill="F7FAFC"/>
            <w:tcMar>
              <w:top w:w="80" w:type="dxa"/>
              <w:start w:w="80" w:type="dxa"/>
              <w:bottom w:w="80" w:type="dxa"/>
              <w:end w:w="80" w:type="dxa"/>
            </w:tcMar>
            <w:vAlign w:val="center"/>
          </w:tcPr>
          <w:p>
            <w:pPr>
              <w:spacing w:before="0" w:after="0" w:line="259" w:lineRule="auto"/>
            </w:pPr>
            <w:r>
              <w:rPr>
                <w:rFonts w:ascii="Noto Sans CJK SC" w:hAnsi="Noto Sans CJK SC" w:eastAsia="Noto Sans CJK SC"/>
                <w:sz w:val="18"/>
              </w:rPr>
              <w:t>Windows</w:t>
            </w:r>
          </w:p>
        </w:tc>
      </w:tr>
    </w:tbl>
    <w:p>
      <w:pPr>
        <w:spacing w:after="40"/>
      </w:pPr>
    </w:p>
    <w:p>
      <w:pPr>
        <w:pStyle w:val="Heading1"/>
        <w:keepNext/>
        <w:pageBreakBefore w:val="0"/>
      </w:pPr>
      <w:r>
        <w:rPr>
          <w:rFonts w:ascii="Noto Sans CJK SC" w:hAnsi="Noto Sans CJK SC" w:eastAsia="Noto Sans CJK SC"/>
          <w:b/>
          <w:color w:val="143A5F"/>
          <w:sz w:val="32"/>
        </w:rPr>
        <w:t>结语：本方案的核心判断</w:t>
      </w:r>
    </w:p>
    <w:p>
      <w:pPr>
        <w:spacing w:before="0" w:after="100" w:line="300" w:lineRule="auto"/>
      </w:pPr>
      <w:r>
        <w:rPr>
          <w:rFonts w:ascii="Noto Sans CJK SC" w:hAnsi="Noto Sans CJK SC" w:eastAsia="Noto Sans CJK SC"/>
        </w:rPr>
        <w:t>这套系统的真正难点不是“调用QMT买卖股票”，而是把策略意图可靠地转换为真实成交，并在资金扩大、网络异常、部分成交、人工干预和策略迭代的情况下始终保持状态一致。按照本方案，当前6只尾盘股只是第一套Strategy/Policy插件；未来扩展至最多15只股票、多策略并行时，QMT接入、订单系统、风险、同步、对账和控制面保持不变。</w:t>
      </w:r>
    </w:p>
    <w:p>
      <w:pPr>
        <w:spacing w:before="0" w:after="100" w:line="300" w:lineRule="auto"/>
      </w:pPr>
      <w:r>
        <w:rPr>
          <w:rFonts w:ascii="Noto Sans CJK SC" w:hAnsi="Noto Sans CJK SC" w:eastAsia="Noto Sans CJK SC"/>
        </w:rPr>
        <w:t>正式开发应从P0 QMT适配与POC开始，再构建Trading Runtime核心框架，最后把当前尾盘Entry/Exit Policy接入。任何资金放大都应以真实滑点、容量、异常率和对账稳定性为前提，而不是仅以策略回测收益为前提。</w:t>
      </w:r>
    </w:p>
    <w:sectPr w:rsidR="00FC693F" w:rsidRPr="0006063C" w:rsidSect="00034616">
      <w:headerReference w:type="default" r:id="rId9"/>
      <w:footerReference w:type="default" r:id="rId10"/>
      <w:pgSz w:w="12240" w:h="15840"/>
      <w:pgMar w:top="1134"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olor w:val="787878"/>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eastAsia="Noto Sans CJK SC"/>
        <w:color w:val="6E7882"/>
        <w:sz w:val="16"/>
      </w:rPr>
      <w:t>尾盘量化自动交易系统架构设计方案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00"/>
    </w:pPr>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color w:val="143A5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SC" w:hAnsi="Noto Sans CJK SC" w:eastAsia="Noto Sans CJK SC"/>
      <w:i/>
      <w:iCs/>
      <w:color w:val="465564"/>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