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ind w:hanging="0"/>
        <w:jc w:val="left"/>
        <w:rPr>
          <w:spacing w:val="40"/>
        </w:rPr>
      </w:pPr>
      <w:r>
        <w:rPr>
          <w:spacing w:val="40"/>
        </w:rPr>
      </w:r>
    </w:p>
    <w:p>
      <w:pPr>
        <w:pStyle w:val="Normal"/>
        <w:spacing w:before="60" w:after="60"/>
        <w:ind w:firstLine="883"/>
        <w:jc w:val="center"/>
        <w:rPr>
          <w:rFonts w:eastAsia="楷体_GB2312;楷体"/>
          <w:b/>
          <w:b/>
          <w:spacing w:val="40"/>
          <w:sz w:val="36"/>
        </w:rPr>
      </w:pPr>
      <w:r>
        <w:rPr>
          <w:rFonts w:eastAsia="楷体_GB2312;楷体"/>
          <w:b/>
          <w:spacing w:val="40"/>
          <w:sz w:val="36"/>
        </w:rPr>
      </w:r>
    </w:p>
    <w:p>
      <w:pPr>
        <w:pStyle w:val="Normal"/>
        <w:spacing w:before="60" w:after="60"/>
        <w:ind w:firstLine="883"/>
        <w:jc w:val="center"/>
        <w:rPr>
          <w:rFonts w:eastAsia="楷体_GB2312;楷体"/>
          <w:b/>
          <w:b/>
          <w:spacing w:val="40"/>
          <w:sz w:val="36"/>
        </w:rPr>
      </w:pPr>
      <w:r>
        <w:rPr>
          <w:rFonts w:eastAsia="楷体_GB2312;楷体"/>
          <w:b/>
          <w:spacing w:val="40"/>
          <w:sz w:val="36"/>
        </w:rPr>
      </w:r>
    </w:p>
    <w:p>
      <w:pPr>
        <w:pStyle w:val="Normal"/>
        <w:spacing w:before="60" w:after="60"/>
        <w:ind w:hanging="0"/>
        <w:jc w:val="center"/>
        <w:rPr>
          <w:rFonts w:eastAsia="楷体_GB2312;楷体"/>
          <w:b/>
          <w:b/>
          <w:spacing w:val="40"/>
          <w:sz w:val="36"/>
        </w:rPr>
      </w:pPr>
      <w:r>
        <w:rPr>
          <w:rFonts w:eastAsia="楷体_GB2312;楷体"/>
          <w:b/>
          <w:spacing w:val="40"/>
          <w:sz w:val="36"/>
        </w:rPr>
        <w:drawing>
          <wp:inline distT="0" distB="0" distL="0" distR="0">
            <wp:extent cx="2130425" cy="397510"/>
            <wp:effectExtent l="0" t="0" r="0" b="0"/>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rcRect l="-6" t="-31" r="-6" b="-31"/>
                    <a:stretch>
                      <a:fillRect/>
                    </a:stretch>
                  </pic:blipFill>
                  <pic:spPr bwMode="auto">
                    <a:xfrm>
                      <a:off x="0" y="0"/>
                      <a:ext cx="2130425" cy="397510"/>
                    </a:xfrm>
                    <a:prstGeom prst="rect">
                      <a:avLst/>
                    </a:prstGeom>
                  </pic:spPr>
                </pic:pic>
              </a:graphicData>
            </a:graphic>
          </wp:inline>
        </w:drawing>
      </w:r>
    </w:p>
    <w:p>
      <w:pPr>
        <w:pStyle w:val="Normal"/>
        <w:spacing w:before="60" w:after="60"/>
        <w:ind w:firstLine="883"/>
        <w:jc w:val="center"/>
        <w:rPr>
          <w:rFonts w:eastAsia="楷体_GB2312;楷体"/>
          <w:b/>
          <w:b/>
          <w:spacing w:val="40"/>
          <w:sz w:val="36"/>
        </w:rPr>
      </w:pPr>
      <w:r>
        <w:rPr>
          <w:rFonts w:eastAsia="楷体_GB2312;楷体"/>
          <w:b/>
          <w:spacing w:val="40"/>
          <w:sz w:val="36"/>
        </w:rPr>
      </w:r>
    </w:p>
    <w:p>
      <w:pPr>
        <w:pStyle w:val="Normal"/>
        <w:spacing w:before="60" w:after="60"/>
        <w:ind w:hanging="0"/>
        <w:jc w:val="center"/>
        <w:rPr/>
      </w:pPr>
      <w:r>
        <w:rPr>
          <w:b/>
          <w:spacing w:val="40"/>
          <w:sz w:val="48"/>
        </w:rPr>
        <w:t>本科毕业论文（设计）开题报告</w:t>
      </w:r>
    </w:p>
    <w:p>
      <w:pPr>
        <w:pStyle w:val="Normal"/>
        <w:spacing w:before="60" w:after="60"/>
        <w:ind w:firstLine="643"/>
        <w:rPr>
          <w:b/>
          <w:b/>
          <w:spacing w:val="40"/>
          <w:sz w:val="32"/>
        </w:rPr>
      </w:pPr>
      <w:r>
        <w:rPr>
          <w:b/>
          <w:spacing w:val="40"/>
          <w:sz w:val="32"/>
        </w:rPr>
      </w:r>
    </w:p>
    <w:p>
      <w:pPr>
        <w:pStyle w:val="Normal"/>
        <w:spacing w:before="60" w:after="60"/>
        <w:ind w:hanging="0"/>
        <w:rPr>
          <w:b/>
          <w:b/>
          <w:sz w:val="32"/>
        </w:rPr>
      </w:pPr>
      <w:r>
        <w:rPr>
          <w:b/>
          <w:sz w:val="32"/>
        </w:rPr>
      </w:r>
    </w:p>
    <w:p>
      <w:pPr>
        <w:pStyle w:val="Normal"/>
        <w:spacing w:before="60" w:after="60"/>
        <w:ind w:firstLine="904"/>
        <w:rPr>
          <w:b/>
          <w:b/>
          <w:sz w:val="36"/>
        </w:rPr>
      </w:pPr>
      <w:r>
        <w:rPr>
          <w:b/>
          <w:sz w:val="36"/>
        </w:rPr>
        <w:t>题</w:t>
      </w:r>
      <w:r>
        <w:rPr>
          <w:rFonts w:eastAsia="Times New Roman"/>
          <w:b/>
          <w:sz w:val="36"/>
        </w:rPr>
        <w:t xml:space="preserve"> </w:t>
      </w:r>
      <w:r>
        <w:rPr>
          <w:b/>
          <w:sz w:val="36"/>
        </w:rPr>
        <w:t>目：基于</w:t>
      </w:r>
      <w:r>
        <w:rPr>
          <w:rFonts w:eastAsia="Times New Roman"/>
          <w:b/>
          <w:sz w:val="36"/>
        </w:rPr>
        <w:t xml:space="preserve"> </w:t>
      </w:r>
      <w:r>
        <w:rPr>
          <w:b/>
          <w:sz w:val="36"/>
        </w:rPr>
        <w:t xml:space="preserve">Biomni </w:t>
      </w:r>
      <w:r>
        <w:rPr>
          <w:b/>
          <w:sz w:val="36"/>
        </w:rPr>
        <w:t>框架的强化学习智能体复现与优化研究</w:t>
      </w:r>
    </w:p>
    <w:p>
      <w:pPr>
        <w:pStyle w:val="Normal"/>
        <w:spacing w:lineRule="auto" w:line="360" w:before="60" w:after="60"/>
        <w:ind w:firstLine="643"/>
        <w:rPr>
          <w:b/>
          <w:b/>
          <w:sz w:val="32"/>
        </w:rPr>
      </w:pPr>
      <w:r>
        <w:rPr>
          <w:b/>
          <w:sz w:val="32"/>
        </w:rPr>
      </w:r>
    </w:p>
    <w:p>
      <w:pPr>
        <w:pStyle w:val="Normal"/>
        <w:spacing w:lineRule="auto" w:line="360" w:before="60" w:after="60"/>
        <w:ind w:firstLine="643"/>
        <w:rPr>
          <w:b/>
          <w:b/>
          <w:sz w:val="32"/>
          <w:u w:val="single"/>
        </w:rPr>
      </w:pPr>
      <w:r>
        <w:rPr>
          <w:b/>
          <w:sz w:val="32"/>
          <w:u w:val="single"/>
        </w:rPr>
      </w:r>
    </w:p>
    <w:p>
      <w:pPr>
        <w:pStyle w:val="Normal"/>
        <w:spacing w:lineRule="auto" w:line="360" w:before="60" w:after="60"/>
        <w:ind w:firstLine="643"/>
        <w:rPr>
          <w:b/>
          <w:b/>
          <w:sz w:val="32"/>
          <w:u w:val="single"/>
        </w:rPr>
      </w:pPr>
      <w:r>
        <w:rPr>
          <w:b/>
          <w:sz w:val="32"/>
          <w:u w:val="single"/>
        </w:rPr>
      </w:r>
    </w:p>
    <w:p>
      <w:pPr>
        <w:pStyle w:val="Normal"/>
        <w:spacing w:lineRule="auto" w:line="360" w:before="60" w:after="60"/>
        <w:ind w:firstLine="643"/>
        <w:rPr>
          <w:b/>
          <w:b/>
          <w:sz w:val="32"/>
          <w:u w:val="single"/>
        </w:rPr>
      </w:pPr>
      <w:r>
        <w:rPr>
          <w:b/>
          <w:sz w:val="32"/>
          <w:u w:val="single"/>
        </w:rPr>
      </w:r>
    </w:p>
    <w:p>
      <w:pPr>
        <w:pStyle w:val="Normal"/>
        <w:spacing w:lineRule="auto" w:line="360" w:before="192" w:after="60"/>
        <w:ind w:right="-9" w:firstLine="2204"/>
        <w:rPr/>
      </w:pPr>
      <w:r>
        <w:rPr>
          <w:b/>
          <w:sz w:val="32"/>
        </w:rPr>
        <w:t>专</w:t>
      </w:r>
      <w:r>
        <w:rPr>
          <w:rFonts w:eastAsia="Times New Roman"/>
          <w:b/>
          <w:sz w:val="32"/>
        </w:rPr>
        <w:t xml:space="preserve">    </w:t>
      </w:r>
      <w:r>
        <w:rPr>
          <w:b/>
          <w:sz w:val="32"/>
        </w:rPr>
        <w:t>业</w:t>
      </w:r>
      <w:r>
        <w:rPr>
          <w:rFonts w:eastAsia="Times New Roman"/>
          <w:b/>
          <w:sz w:val="32"/>
        </w:rPr>
        <w:t xml:space="preserve"> </w:t>
      </w:r>
      <w:r>
        <w:rPr>
          <w:rFonts w:eastAsia="Times New Roman"/>
          <w:b/>
          <w:sz w:val="32"/>
          <w:u w:val="single"/>
        </w:rPr>
        <w:t xml:space="preserve">      </w:t>
      </w:r>
      <w:r>
        <w:rPr>
          <w:b/>
          <w:sz w:val="32"/>
          <w:u w:val="single"/>
        </w:rPr>
        <w:t>人工智能</w:t>
      </w:r>
      <w:r>
        <w:rPr>
          <w:rFonts w:eastAsia="Times New Roman"/>
          <w:b/>
          <w:sz w:val="32"/>
          <w:u w:val="single"/>
        </w:rPr>
        <w:t xml:space="preserve">       </w:t>
      </w:r>
    </w:p>
    <w:p>
      <w:pPr>
        <w:pStyle w:val="Normal"/>
        <w:spacing w:lineRule="auto" w:line="360" w:before="192" w:after="60"/>
        <w:ind w:firstLine="2204"/>
        <w:rPr/>
      </w:pPr>
      <w:r>
        <w:rPr>
          <w:b/>
          <w:sz w:val="32"/>
        </w:rPr>
        <w:t>学</w:t>
      </w:r>
      <w:r>
        <w:rPr>
          <w:rFonts w:eastAsia="Times New Roman"/>
          <w:b/>
          <w:sz w:val="32"/>
        </w:rPr>
        <w:t xml:space="preserve">    </w:t>
      </w:r>
      <w:r>
        <w:rPr>
          <w:b/>
          <w:sz w:val="32"/>
        </w:rPr>
        <w:t>生</w:t>
      </w:r>
      <w:r>
        <w:rPr>
          <w:rFonts w:eastAsia="Times New Roman"/>
          <w:b/>
          <w:sz w:val="32"/>
        </w:rPr>
        <w:t xml:space="preserve"> </w:t>
      </w:r>
      <w:r>
        <w:rPr>
          <w:rFonts w:eastAsia="Times New Roman"/>
          <w:b/>
          <w:sz w:val="32"/>
          <w:u w:val="single"/>
        </w:rPr>
        <w:t xml:space="preserve">        </w:t>
      </w:r>
      <w:r>
        <w:rPr>
          <w:b/>
          <w:sz w:val="32"/>
          <w:u w:val="single"/>
        </w:rPr>
        <w:t>王梁</w:t>
      </w:r>
      <w:r>
        <w:rPr>
          <w:rFonts w:eastAsia="Times New Roman"/>
          <w:b/>
          <w:sz w:val="32"/>
          <w:u w:val="single"/>
        </w:rPr>
        <w:t xml:space="preserve">         </w:t>
      </w:r>
    </w:p>
    <w:p>
      <w:pPr>
        <w:pStyle w:val="Normal"/>
        <w:spacing w:lineRule="auto" w:line="360" w:before="192" w:after="60"/>
        <w:ind w:right="-9" w:firstLine="2204"/>
        <w:rPr/>
      </w:pPr>
      <w:r>
        <w:rPr>
          <w:b/>
          <w:sz w:val="32"/>
        </w:rPr>
        <w:t>学</w:t>
      </w:r>
      <w:r>
        <w:rPr>
          <w:rFonts w:eastAsia="Times New Roman"/>
          <w:b/>
          <w:sz w:val="32"/>
        </w:rPr>
        <w:t xml:space="preserve">    </w:t>
      </w:r>
      <w:r>
        <w:rPr>
          <w:b/>
          <w:sz w:val="32"/>
        </w:rPr>
        <w:t>号</w:t>
      </w:r>
      <w:r>
        <w:rPr>
          <w:rFonts w:eastAsia="Times New Roman"/>
          <w:b/>
          <w:sz w:val="32"/>
        </w:rPr>
        <w:t xml:space="preserve"> </w:t>
      </w:r>
      <w:r>
        <w:rPr>
          <w:rFonts w:eastAsia="Times New Roman"/>
          <w:b/>
          <w:sz w:val="32"/>
          <w:u w:val="single"/>
        </w:rPr>
        <w:t xml:space="preserve">     </w:t>
      </w:r>
      <w:r>
        <w:rPr>
          <w:b/>
          <w:sz w:val="32"/>
          <w:u w:val="single"/>
        </w:rPr>
        <w:t xml:space="preserve">2022211067      </w:t>
      </w:r>
    </w:p>
    <w:p>
      <w:pPr>
        <w:pStyle w:val="Normal"/>
        <w:spacing w:lineRule="auto" w:line="360" w:before="192" w:after="60"/>
        <w:ind w:firstLine="2204"/>
        <w:rPr/>
      </w:pPr>
      <w:r>
        <w:rPr>
          <w:b/>
          <w:sz w:val="32"/>
        </w:rPr>
        <w:t>指导教师</w:t>
      </w:r>
      <w:r>
        <w:rPr>
          <w:rFonts w:eastAsia="Times New Roman"/>
          <w:b/>
          <w:sz w:val="32"/>
        </w:rPr>
        <w:t xml:space="preserve"> </w:t>
      </w:r>
      <w:r>
        <w:rPr>
          <w:rFonts w:eastAsia="Times New Roman"/>
          <w:b/>
          <w:sz w:val="32"/>
          <w:u w:val="single"/>
        </w:rPr>
        <w:t xml:space="preserve">       </w:t>
      </w:r>
      <w:r>
        <w:rPr>
          <w:b/>
          <w:sz w:val="32"/>
          <w:u w:val="single"/>
        </w:rPr>
        <w:t>柳青林</w:t>
      </w:r>
      <w:r>
        <w:rPr>
          <w:rFonts w:eastAsia="Times New Roman"/>
          <w:b/>
          <w:sz w:val="32"/>
          <w:u w:val="single"/>
        </w:rPr>
        <w:t xml:space="preserve">        </w:t>
      </w:r>
    </w:p>
    <w:p>
      <w:pPr>
        <w:pStyle w:val="Normal"/>
        <w:spacing w:lineRule="auto" w:line="360" w:before="192" w:after="60"/>
        <w:ind w:firstLine="2204"/>
        <w:rPr/>
      </w:pPr>
      <w:r>
        <w:rPr>
          <w:b/>
          <w:sz w:val="32"/>
        </w:rPr>
        <w:t>日</w:t>
      </w:r>
      <w:r>
        <w:rPr>
          <w:rFonts w:eastAsia="Times New Roman"/>
          <w:b/>
          <w:sz w:val="32"/>
        </w:rPr>
        <w:t xml:space="preserve">    </w:t>
      </w:r>
      <w:r>
        <w:rPr>
          <w:b/>
          <w:sz w:val="32"/>
        </w:rPr>
        <w:t>期</w:t>
      </w:r>
      <w:r>
        <w:rPr>
          <w:rFonts w:eastAsia="Times New Roman"/>
          <w:b/>
          <w:sz w:val="32"/>
        </w:rPr>
        <w:t xml:space="preserve"> </w:t>
      </w:r>
      <w:r>
        <w:rPr>
          <w:rFonts w:eastAsia="Times New Roman"/>
          <w:b/>
          <w:sz w:val="32"/>
          <w:u w:val="single"/>
        </w:rPr>
        <w:t xml:space="preserve">      </w:t>
      </w:r>
      <w:r>
        <w:rPr>
          <w:b/>
          <w:sz w:val="32"/>
          <w:u w:val="single"/>
        </w:rPr>
        <w:t xml:space="preserve">2025.11.8       </w:t>
      </w:r>
    </w:p>
    <w:p>
      <w:pPr>
        <w:pStyle w:val="Normal"/>
        <w:snapToGrid w:val="false"/>
        <w:spacing w:before="60" w:after="60"/>
        <w:ind w:firstLine="643"/>
        <w:rPr>
          <w:b/>
          <w:b/>
          <w:sz w:val="32"/>
          <w:u w:val="single"/>
        </w:rPr>
      </w:pPr>
      <w:r>
        <w:rPr>
          <w:b/>
          <w:sz w:val="32"/>
          <w:u w:val="single"/>
        </w:rPr>
      </w:r>
    </w:p>
    <w:p>
      <w:pPr>
        <w:pStyle w:val="Normal"/>
        <w:snapToGrid w:val="false"/>
        <w:spacing w:before="60" w:after="60"/>
        <w:ind w:firstLine="643"/>
        <w:rPr>
          <w:b/>
          <w:b/>
          <w:sz w:val="32"/>
        </w:rPr>
      </w:pPr>
      <w:r>
        <w:rPr>
          <w:b/>
          <w:sz w:val="32"/>
        </w:rPr>
      </w:r>
    </w:p>
    <w:p>
      <w:pPr>
        <w:pStyle w:val="Normal"/>
        <w:snapToGrid w:val="false"/>
        <w:spacing w:before="60" w:after="60"/>
        <w:ind w:hanging="0"/>
        <w:jc w:val="center"/>
        <w:rPr>
          <w:rFonts w:eastAsia="隶书"/>
          <w:b/>
          <w:b/>
          <w:sz w:val="36"/>
          <w:szCs w:val="36"/>
        </w:rPr>
      </w:pPr>
      <w:r>
        <w:rPr>
          <w:rFonts w:eastAsia="隶书"/>
          <w:b/>
          <w:sz w:val="36"/>
          <w:szCs w:val="36"/>
        </w:rPr>
        <w:t>哈尔滨工业大学教务处制</w:t>
      </w:r>
    </w:p>
    <w:p>
      <w:pPr>
        <w:pStyle w:val="Style40"/>
        <w:rPr>
          <w:rFonts w:cs="Times New Roman"/>
          <w:b/>
          <w:b/>
        </w:rPr>
      </w:pPr>
      <w:r>
        <w:rPr>
          <w:rFonts w:cs="Times New Roman"/>
          <w:b/>
        </w:rPr>
        <w:t>说</w:t>
      </w:r>
      <w:r>
        <w:rPr>
          <w:rFonts w:cs="Times New Roman" w:eastAsia="Times New Roman"/>
          <w:b/>
        </w:rPr>
        <w:t xml:space="preserve">      </w:t>
      </w:r>
      <w:r>
        <w:rPr>
          <w:rFonts w:cs="Times New Roman"/>
          <w:b/>
        </w:rPr>
        <w:t>明</w:t>
      </w:r>
    </w:p>
    <w:p>
      <w:pPr>
        <w:pStyle w:val="Style41"/>
        <w:spacing w:before="120" w:after="120"/>
        <w:rPr>
          <w:b/>
          <w:b/>
        </w:rPr>
      </w:pPr>
      <w:r>
        <w:rPr>
          <w:b/>
        </w:rPr>
        <w:t>一、开题报告主要内容</w:t>
      </w:r>
    </w:p>
    <w:p>
      <w:pPr>
        <w:pStyle w:val="Style42"/>
        <w:spacing w:before="120" w:after="120"/>
        <w:rPr/>
      </w:pPr>
      <w:r>
        <w:rPr/>
        <w:t>1</w:t>
      </w:r>
      <w:r>
        <w:rPr/>
        <w:t>．课题来源及研究的目的和意义</w:t>
      </w:r>
    </w:p>
    <w:p>
      <w:pPr>
        <w:pStyle w:val="Style42"/>
        <w:spacing w:before="120" w:after="120"/>
        <w:ind w:firstLine="240"/>
        <w:rPr/>
      </w:pPr>
      <w:r>
        <w:rPr>
          <w:rFonts w:eastAsia="宋体;SimSun"/>
          <w:sz w:val="24"/>
        </w:rPr>
        <w:t>（正文</w:t>
      </w:r>
      <w:r>
        <w:rPr>
          <w:rFonts w:eastAsia="Times New Roman"/>
          <w:sz w:val="24"/>
        </w:rPr>
        <w:t xml:space="preserve">  </w:t>
      </w:r>
      <w:r>
        <w:rPr>
          <w:rFonts w:eastAsia="宋体;SimSun"/>
          <w:sz w:val="24"/>
        </w:rPr>
        <w:t>宋体小</w:t>
      </w:r>
      <w:r>
        <w:rPr>
          <w:rFonts w:eastAsia="宋体;SimSun"/>
          <w:sz w:val="24"/>
        </w:rPr>
        <w:t>4</w:t>
      </w:r>
      <w:r>
        <w:rPr>
          <w:rFonts w:eastAsia="宋体;SimSun"/>
          <w:sz w:val="24"/>
        </w:rPr>
        <w:t>号字，行距</w:t>
      </w:r>
      <w:r>
        <w:rPr>
          <w:rFonts w:eastAsia="宋体;SimSun"/>
          <w:sz w:val="24"/>
        </w:rPr>
        <w:t>1.25</w:t>
      </w:r>
      <w:r>
        <w:rPr>
          <w:rFonts w:eastAsia="宋体;SimSun"/>
          <w:sz w:val="24"/>
        </w:rPr>
        <w:t>倍，段前</w:t>
      </w:r>
      <w:r>
        <w:rPr>
          <w:rFonts w:eastAsia="宋体;SimSun"/>
          <w:sz w:val="24"/>
        </w:rPr>
        <w:t>0</w:t>
      </w:r>
      <w:r>
        <w:rPr>
          <w:rFonts w:eastAsia="宋体;SimSun"/>
          <w:sz w:val="24"/>
        </w:rPr>
        <w:t>行，段后</w:t>
      </w:r>
      <w:r>
        <w:rPr>
          <w:rFonts w:eastAsia="宋体;SimSun"/>
          <w:sz w:val="24"/>
        </w:rPr>
        <w:t>0</w:t>
      </w:r>
      <w:r>
        <w:rPr>
          <w:rFonts w:eastAsia="宋体;SimSun"/>
          <w:sz w:val="24"/>
        </w:rPr>
        <w:t>行）</w:t>
      </w:r>
    </w:p>
    <w:p>
      <w:pPr>
        <w:pStyle w:val="Style42"/>
        <w:spacing w:before="120" w:after="120"/>
        <w:rPr>
          <w:szCs w:val="28"/>
        </w:rPr>
      </w:pPr>
      <w:r>
        <w:rPr>
          <w:szCs w:val="28"/>
        </w:rPr>
        <w:t>2</w:t>
      </w:r>
      <w:r>
        <w:rPr>
          <w:szCs w:val="28"/>
        </w:rPr>
        <w:t>．国内外在该方向的研究现状及分析</w:t>
      </w:r>
    </w:p>
    <w:p>
      <w:pPr>
        <w:pStyle w:val="Style42"/>
        <w:spacing w:before="120" w:after="120"/>
        <w:rPr>
          <w:szCs w:val="28"/>
        </w:rPr>
      </w:pPr>
      <w:r>
        <w:rPr>
          <w:szCs w:val="28"/>
        </w:rPr>
        <w:t>3</w:t>
      </w:r>
      <w:r>
        <w:rPr>
          <w:szCs w:val="28"/>
        </w:rPr>
        <w:t>．主要研究内容</w:t>
      </w:r>
    </w:p>
    <w:p>
      <w:pPr>
        <w:pStyle w:val="Style42"/>
        <w:spacing w:before="120" w:after="120"/>
        <w:rPr>
          <w:szCs w:val="28"/>
        </w:rPr>
      </w:pPr>
      <w:r>
        <w:rPr>
          <w:szCs w:val="28"/>
        </w:rPr>
        <w:t xml:space="preserve">4.  </w:t>
      </w:r>
      <w:r>
        <w:rPr>
          <w:szCs w:val="28"/>
        </w:rPr>
        <w:t>研究方案</w:t>
      </w:r>
    </w:p>
    <w:p>
      <w:pPr>
        <w:pStyle w:val="Style42"/>
        <w:spacing w:before="120" w:after="120"/>
        <w:rPr>
          <w:szCs w:val="28"/>
        </w:rPr>
      </w:pPr>
      <w:r>
        <w:rPr>
          <w:szCs w:val="28"/>
        </w:rPr>
        <w:t>5</w:t>
      </w:r>
      <w:r>
        <w:rPr>
          <w:szCs w:val="28"/>
        </w:rPr>
        <w:t>．进度安排，预期达到的目标</w:t>
      </w:r>
    </w:p>
    <w:p>
      <w:pPr>
        <w:pStyle w:val="Style42"/>
        <w:spacing w:before="120" w:after="120"/>
        <w:rPr>
          <w:szCs w:val="28"/>
        </w:rPr>
      </w:pPr>
      <w:r>
        <w:rPr>
          <w:szCs w:val="28"/>
        </w:rPr>
        <w:t>6</w:t>
      </w:r>
      <w:r>
        <w:rPr>
          <w:szCs w:val="28"/>
        </w:rPr>
        <w:t>．课题已具备和所需的条件、经费</w:t>
      </w:r>
    </w:p>
    <w:p>
      <w:pPr>
        <w:pStyle w:val="Style42"/>
        <w:spacing w:before="120" w:after="120"/>
        <w:rPr>
          <w:szCs w:val="28"/>
        </w:rPr>
      </w:pPr>
      <w:r>
        <w:rPr>
          <w:szCs w:val="28"/>
        </w:rPr>
        <w:t>7</w:t>
      </w:r>
      <w:r>
        <w:rPr>
          <w:szCs w:val="28"/>
        </w:rPr>
        <w:t>．研究过程中可能遇到的困难和问题，解决的措施</w:t>
      </w:r>
    </w:p>
    <w:p>
      <w:pPr>
        <w:pStyle w:val="Style42"/>
        <w:spacing w:before="120" w:after="120"/>
        <w:rPr>
          <w:szCs w:val="28"/>
        </w:rPr>
      </w:pPr>
      <w:r>
        <w:rPr>
          <w:szCs w:val="28"/>
        </w:rPr>
        <w:t>8</w:t>
      </w:r>
      <w:r>
        <w:rPr>
          <w:szCs w:val="28"/>
        </w:rPr>
        <w:t>．主要参考文献</w:t>
      </w:r>
    </w:p>
    <w:p>
      <w:pPr>
        <w:pStyle w:val="Style41"/>
        <w:spacing w:before="120" w:after="120"/>
        <w:rPr>
          <w:b/>
          <w:b/>
        </w:rPr>
      </w:pPr>
      <w:r>
        <w:rPr>
          <w:b/>
        </w:rPr>
        <w:t>二、开题报告要求</w:t>
      </w:r>
    </w:p>
    <w:p>
      <w:pPr>
        <w:pStyle w:val="Style41"/>
        <w:spacing w:before="120" w:after="120"/>
        <w:rPr>
          <w:sz w:val="28"/>
          <w:szCs w:val="28"/>
        </w:rPr>
      </w:pPr>
      <w:r>
        <w:rPr>
          <w:sz w:val="28"/>
          <w:szCs w:val="28"/>
        </w:rPr>
        <w:t>1</w:t>
      </w:r>
      <w:r>
        <w:rPr>
          <w:sz w:val="28"/>
          <w:szCs w:val="28"/>
        </w:rPr>
        <w:t>．开题报告的字数应在</w:t>
      </w:r>
      <w:r>
        <w:rPr>
          <w:sz w:val="28"/>
          <w:szCs w:val="28"/>
        </w:rPr>
        <w:t>3000</w:t>
      </w:r>
      <w:r>
        <w:rPr>
          <w:sz w:val="28"/>
          <w:szCs w:val="28"/>
        </w:rPr>
        <w:t>字以上。</w:t>
      </w:r>
    </w:p>
    <w:p>
      <w:pPr>
        <w:pStyle w:val="Style41"/>
        <w:spacing w:before="120" w:after="120"/>
        <w:rPr>
          <w:sz w:val="28"/>
          <w:szCs w:val="28"/>
        </w:rPr>
      </w:pPr>
      <w:r>
        <w:rPr>
          <w:sz w:val="28"/>
          <w:szCs w:val="28"/>
        </w:rPr>
        <w:t>2</w:t>
      </w:r>
      <w:r>
        <w:rPr>
          <w:sz w:val="28"/>
          <w:szCs w:val="28"/>
        </w:rPr>
        <w:t>．参考文献的要求：</w:t>
      </w:r>
    </w:p>
    <w:p>
      <w:pPr>
        <w:pStyle w:val="Normal"/>
        <w:spacing w:before="60" w:after="60"/>
        <w:ind w:firstLine="480"/>
        <w:jc w:val="left"/>
        <w:rPr>
          <w:color w:val="000000"/>
        </w:rPr>
      </w:pPr>
      <w:bookmarkStart w:id="0" w:name="OLE_LINK4"/>
      <w:bookmarkEnd w:id="0"/>
      <w:r>
        <w:rPr/>
        <w:t>（</w:t>
      </w:r>
      <w:r>
        <w:rPr/>
        <w:t>1</w:t>
      </w:r>
      <w:r>
        <w:rPr/>
        <w:t>）本科毕业论文（设计）的</w:t>
      </w:r>
      <w:bookmarkStart w:id="1" w:name="OLE_LINK9"/>
      <w:r>
        <w:rPr/>
        <w:t>参考文献一般不少于</w:t>
      </w:r>
      <w:r>
        <w:rPr/>
        <w:t>15</w:t>
      </w:r>
      <w:r>
        <w:rPr/>
        <w:t>篇，外文文献不少于</w:t>
      </w:r>
      <w:r>
        <w:rPr/>
        <w:t>3</w:t>
      </w:r>
      <w:r>
        <w:rPr/>
        <w:t>篇</w:t>
      </w:r>
      <w:bookmarkEnd w:id="1"/>
      <w:r>
        <w:rPr/>
        <w:t>（特殊专业可酌情确定明确要求），应有近两年的参考文献。产品说明书、未公开发表的研究报告不宜作为参考资料。</w:t>
      </w:r>
    </w:p>
    <w:p>
      <w:pPr>
        <w:pStyle w:val="Style43"/>
        <w:ind w:firstLine="480"/>
        <w:rPr/>
      </w:pPr>
      <w:r>
        <w:rPr>
          <w:rFonts w:eastAsia="宋体;SimSun"/>
        </w:rPr>
        <w:t>（</w:t>
      </w:r>
      <w:r>
        <w:rPr>
          <w:rFonts w:eastAsia="宋体;SimSun"/>
        </w:rPr>
        <w:t>2</w:t>
      </w:r>
      <w:r>
        <w:rPr>
          <w:rFonts w:eastAsia="宋体;SimSun"/>
        </w:rPr>
        <w:t>）参考文献按在开题报告中出现的次序列出。</w:t>
      </w:r>
    </w:p>
    <w:p>
      <w:pPr>
        <w:pStyle w:val="Style43"/>
        <w:spacing w:before="60" w:after="60"/>
        <w:ind w:firstLine="480"/>
        <w:rPr/>
      </w:pPr>
      <w:r>
        <w:rPr>
          <w:rFonts w:eastAsia="宋体;SimSun"/>
        </w:rPr>
        <w:t>（</w:t>
      </w:r>
      <w:r>
        <w:rPr>
          <w:rFonts w:eastAsia="宋体;SimSun"/>
        </w:rPr>
        <w:t>3</w:t>
      </w:r>
      <w:r>
        <w:rPr>
          <w:rFonts w:eastAsia="宋体;SimSun"/>
        </w:rPr>
        <w:t>）参考文献书写顺序：序号</w:t>
      </w:r>
      <w:r>
        <w:rPr>
          <w:rFonts w:eastAsia="Times New Roman"/>
        </w:rPr>
        <w:t xml:space="preserve"> </w:t>
      </w:r>
      <w:r>
        <w:rPr>
          <w:rFonts w:eastAsia="宋体;SimSun"/>
        </w:rPr>
        <w:t>作者</w:t>
      </w:r>
      <w:r>
        <w:rPr>
          <w:rFonts w:eastAsia="宋体;SimSun"/>
        </w:rPr>
        <w:t>.</w:t>
      </w:r>
      <w:r>
        <w:rPr>
          <w:rFonts w:eastAsia="宋体;SimSun"/>
        </w:rPr>
        <w:t>文章名</w:t>
      </w:r>
      <w:r>
        <w:rPr>
          <w:rFonts w:eastAsia="宋体;SimSun"/>
        </w:rPr>
        <w:t>.</w:t>
      </w:r>
      <w:r>
        <w:rPr>
          <w:rFonts w:eastAsia="宋体;SimSun"/>
        </w:rPr>
        <w:t>学术刊物名</w:t>
      </w:r>
      <w:r>
        <w:rPr>
          <w:rFonts w:eastAsia="宋体;SimSun"/>
        </w:rPr>
        <w:t>.</w:t>
      </w:r>
      <w:r>
        <w:rPr>
          <w:rFonts w:eastAsia="宋体;SimSun"/>
        </w:rPr>
        <w:t>年，卷（期）：引用起止页。</w:t>
      </w:r>
    </w:p>
    <w:p>
      <w:pPr>
        <w:pStyle w:val="Normal"/>
        <w:spacing w:before="60" w:after="60"/>
        <w:ind w:hanging="0"/>
        <w:rPr>
          <w:rFonts w:eastAsia="宋体;SimSun"/>
          <w:b/>
          <w:b/>
          <w:bCs/>
          <w:color w:val="000000"/>
        </w:rPr>
      </w:pPr>
      <w:r>
        <w:rPr>
          <w:rFonts w:eastAsia="宋体;SimSun"/>
          <w:b/>
          <w:bCs/>
          <w:color w:val="000000"/>
        </w:rPr>
      </w:r>
      <w:bookmarkStart w:id="2" w:name="OLE_LINK4"/>
      <w:bookmarkStart w:id="3" w:name="OLE_LINK4"/>
      <w:bookmarkEnd w:id="3"/>
    </w:p>
    <w:p>
      <w:pPr>
        <w:pStyle w:val="Normal"/>
        <w:spacing w:before="60" w:after="60"/>
        <w:ind w:hanging="0"/>
        <w:rPr>
          <w:b/>
          <w:b/>
          <w:bCs/>
          <w:color w:val="000000"/>
        </w:rPr>
      </w:pPr>
      <w:r>
        <w:rPr>
          <w:b/>
          <w:bCs/>
          <w:color w:val="000000"/>
        </w:rPr>
      </w:r>
    </w:p>
    <w:p>
      <w:pPr>
        <w:pStyle w:val="Normal"/>
        <w:spacing w:before="60" w:after="60"/>
        <w:ind w:hanging="0"/>
        <w:rPr>
          <w:b/>
          <w:b/>
          <w:bCs/>
          <w:color w:val="000000"/>
        </w:rPr>
      </w:pPr>
      <w:r>
        <w:rPr>
          <w:b/>
          <w:bCs/>
          <w:color w:val="000000"/>
        </w:rPr>
      </w:r>
    </w:p>
    <w:p>
      <w:pPr>
        <w:pStyle w:val="Normal"/>
        <w:spacing w:before="60" w:after="60"/>
        <w:ind w:hanging="0"/>
        <w:rPr>
          <w:b/>
          <w:b/>
          <w:bCs/>
          <w:color w:val="000000"/>
        </w:rPr>
      </w:pPr>
      <w:r>
        <w:rPr>
          <w:b/>
          <w:bCs/>
          <w:color w:val="000000"/>
        </w:rPr>
      </w:r>
    </w:p>
    <w:p>
      <w:pPr>
        <w:pStyle w:val="Normal"/>
        <w:spacing w:before="60" w:after="60"/>
        <w:ind w:hanging="0"/>
        <w:rPr>
          <w:b/>
          <w:b/>
          <w:bCs/>
          <w:color w:val="000000"/>
        </w:rPr>
      </w:pPr>
      <w:r>
        <w:rPr>
          <w:b/>
          <w:bCs/>
          <w:color w:val="000000"/>
        </w:rPr>
      </w:r>
    </w:p>
    <w:p>
      <w:pPr>
        <w:pStyle w:val="Normal"/>
        <w:spacing w:before="60" w:after="60"/>
        <w:ind w:hanging="0"/>
        <w:rPr>
          <w:b/>
          <w:b/>
          <w:bCs/>
          <w:color w:val="000000"/>
        </w:rPr>
      </w:pPr>
      <w:r>
        <w:rPr>
          <w:b/>
          <w:bCs/>
          <w:color w:val="000000"/>
        </w:rPr>
      </w:r>
    </w:p>
    <w:p>
      <w:pPr>
        <w:pStyle w:val="Normal"/>
        <w:spacing w:before="60" w:after="60"/>
        <w:ind w:hanging="0"/>
        <w:rPr>
          <w:b/>
          <w:b/>
          <w:bCs/>
          <w:color w:val="000000"/>
        </w:rPr>
      </w:pPr>
      <w:r>
        <w:rPr>
          <w:b/>
          <w:bCs/>
          <w:color w:val="000000"/>
        </w:rPr>
      </w:r>
    </w:p>
    <w:p>
      <w:pPr>
        <w:pStyle w:val="Normal"/>
        <w:spacing w:before="60" w:after="60"/>
        <w:ind w:hanging="0"/>
        <w:rPr>
          <w:b/>
          <w:b/>
          <w:bCs/>
          <w:color w:val="000000"/>
        </w:rPr>
      </w:pPr>
      <w:r>
        <w:rPr>
          <w:b/>
          <w:bCs/>
          <w:color w:val="000000"/>
        </w:rPr>
      </w:r>
    </w:p>
    <w:p>
      <w:pPr>
        <w:pStyle w:val="Normal"/>
        <w:spacing w:before="60" w:after="60"/>
        <w:ind w:hanging="0"/>
        <w:rPr>
          <w:b/>
          <w:b/>
          <w:bCs/>
          <w:color w:val="000000"/>
        </w:rPr>
      </w:pPr>
      <w:r>
        <w:rPr>
          <w:b/>
          <w:bCs/>
          <w:color w:val="000000"/>
        </w:rPr>
      </w:r>
    </w:p>
    <w:p>
      <w:pPr>
        <w:pStyle w:val="Normal"/>
        <w:spacing w:before="60" w:after="60"/>
        <w:ind w:hanging="0"/>
        <w:rPr/>
      </w:pPr>
      <w:r>
        <w:rPr>
          <w:rFonts w:eastAsia="黑体;SimHei"/>
          <w:color w:val="000000"/>
          <w:sz w:val="28"/>
          <w:szCs w:val="28"/>
        </w:rPr>
        <w:t>1</w:t>
      </w:r>
      <w:r>
        <w:rPr>
          <w:rFonts w:eastAsia="黑体;SimHei"/>
          <w:color w:val="000000"/>
          <w:sz w:val="28"/>
          <w:szCs w:val="28"/>
        </w:rPr>
        <w:t>．课题来源及研究的目的与意义</w:t>
      </w:r>
    </w:p>
    <w:p>
      <w:pPr>
        <w:pStyle w:val="Normal"/>
        <w:spacing w:before="60" w:after="60"/>
        <w:ind w:hanging="0"/>
        <w:rPr/>
      </w:pPr>
      <w:r>
        <w:rPr>
          <w:rFonts w:eastAsia="黑体;SimHei"/>
          <w:color w:val="000000"/>
        </w:rPr>
        <w:t>1.1</w:t>
      </w:r>
      <w:r>
        <w:rPr>
          <w:rFonts w:eastAsia="黑体;SimHei"/>
          <w:color w:val="000000"/>
        </w:rPr>
        <w:t>课题来源：</w:t>
      </w:r>
    </w:p>
    <w:p>
      <w:pPr>
        <w:pStyle w:val="Normal"/>
        <w:spacing w:before="60" w:after="60"/>
        <w:ind w:firstLine="480"/>
        <w:rPr/>
      </w:pPr>
      <w:r>
        <w:rPr>
          <w:color w:val="000000"/>
        </w:rPr>
        <w:t>本课题来源于上海浦江实验室</w:t>
      </w:r>
      <w:r>
        <w:rPr>
          <w:color w:val="000000"/>
        </w:rPr>
        <w:t>AI lab</w:t>
      </w:r>
      <w:r>
        <w:rPr>
          <w:color w:val="000000"/>
        </w:rPr>
        <w:t>实验室，旨在通过复现</w:t>
      </w:r>
      <w:r>
        <w:rPr>
          <w:color w:val="000000"/>
        </w:rPr>
        <w:t>Biomni</w:t>
      </w:r>
      <w:r>
        <w:rPr>
          <w:color w:val="000000"/>
        </w:rPr>
        <w:t>框架</w:t>
      </w:r>
      <w:r>
        <w:rPr>
          <w:color w:val="000000"/>
        </w:rPr>
        <w:t>[1]</w:t>
      </w:r>
      <w:r>
        <w:rPr>
          <w:color w:val="000000"/>
        </w:rPr>
        <w:t>，并结合强化学习（</w:t>
      </w:r>
      <w:r>
        <w:rPr>
          <w:color w:val="000000"/>
        </w:rPr>
        <w:t>RL</w:t>
      </w:r>
      <w:r>
        <w:rPr>
          <w:color w:val="000000"/>
        </w:rPr>
        <w:t>）优化其智能体系统。这个框架创新性地融合</w:t>
      </w:r>
      <w:r>
        <w:rPr>
          <w:color w:val="000000"/>
        </w:rPr>
        <w:t>"</w:t>
      </w:r>
      <w:r>
        <w:rPr>
          <w:color w:val="000000"/>
        </w:rPr>
        <w:t>检索增强规划、代码执行与专业数据库工具</w:t>
      </w:r>
      <w:r>
        <w:rPr>
          <w:color w:val="000000"/>
        </w:rPr>
        <w:t>"</w:t>
      </w:r>
      <w:r>
        <w:rPr>
          <w:color w:val="000000"/>
        </w:rPr>
        <w:t>三大模块，已经实现了对文献综述、实验方案设计、组学数据分析、临床队列解读等跨领域研究任务的自主化支撑。根据官方介绍所说，</w:t>
      </w:r>
      <w:r>
        <w:rPr>
          <w:color w:val="000000"/>
        </w:rPr>
        <w:t>Biomni</w:t>
      </w:r>
      <w:r>
        <w:rPr>
          <w:color w:val="000000"/>
        </w:rPr>
        <w:t>目前集成了</w:t>
      </w:r>
      <w:r>
        <w:rPr>
          <w:color w:val="000000"/>
        </w:rPr>
        <w:t>150</w:t>
      </w:r>
      <w:r>
        <w:rPr>
          <w:color w:val="000000"/>
        </w:rPr>
        <w:t>余种专用工具，接入了</w:t>
      </w:r>
      <w:r>
        <w:rPr>
          <w:color w:val="000000"/>
        </w:rPr>
        <w:t>59</w:t>
      </w:r>
      <w:r>
        <w:rPr>
          <w:color w:val="000000"/>
        </w:rPr>
        <w:t>个数据库与</w:t>
      </w:r>
      <w:r>
        <w:rPr>
          <w:color w:val="000000"/>
        </w:rPr>
        <w:t>100</w:t>
      </w:r>
      <w:r>
        <w:rPr>
          <w:color w:val="000000"/>
        </w:rPr>
        <w:t>余款软件，并配套</w:t>
      </w:r>
      <w:r>
        <w:rPr>
          <w:color w:val="000000"/>
        </w:rPr>
        <w:t>A1</w:t>
      </w:r>
      <w:r>
        <w:rPr>
          <w:color w:val="000000"/>
        </w:rPr>
        <w:t>（</w:t>
      </w:r>
      <w:r>
        <w:rPr>
          <w:color w:val="000000"/>
        </w:rPr>
        <w:t>Agent</w:t>
      </w:r>
      <w:r>
        <w:rPr>
          <w:color w:val="000000"/>
        </w:rPr>
        <w:t>）与</w:t>
      </w:r>
      <w:r>
        <w:rPr>
          <w:color w:val="000000"/>
        </w:rPr>
        <w:t>E1</w:t>
      </w:r>
      <w:r>
        <w:rPr>
          <w:color w:val="000000"/>
        </w:rPr>
        <w:t>（</w:t>
      </w:r>
      <w:r>
        <w:rPr>
          <w:color w:val="000000"/>
        </w:rPr>
        <w:t>Environment</w:t>
      </w:r>
      <w:r>
        <w:rPr>
          <w:color w:val="000000"/>
        </w:rPr>
        <w:t>）两大核心组件，构建起了一个</w:t>
      </w:r>
      <w:r>
        <w:rPr>
          <w:color w:val="000000"/>
        </w:rPr>
        <w:t>"</w:t>
      </w:r>
      <w:r>
        <w:rPr>
          <w:color w:val="000000"/>
        </w:rPr>
        <w:t>文献研读—数据查询—代码生成—结果输出</w:t>
      </w:r>
      <w:r>
        <w:rPr>
          <w:color w:val="000000"/>
        </w:rPr>
        <w:t>"</w:t>
      </w:r>
      <w:r>
        <w:rPr>
          <w:color w:val="000000"/>
        </w:rPr>
        <w:t>的端到端科研工作流。</w:t>
      </w:r>
    </w:p>
    <w:p>
      <w:pPr>
        <w:pStyle w:val="Normal"/>
        <w:keepNext w:val="true"/>
        <w:spacing w:before="60" w:after="60"/>
        <w:ind w:firstLine="199"/>
        <w:jc w:val="center"/>
        <w:rPr>
          <w:lang w:val="en-US" w:eastAsia="en-US"/>
        </w:rPr>
      </w:pPr>
      <w:r>
        <w:rPr>
          <w:lang w:val="en-US" w:eastAsia="en-US"/>
        </w:rPr>
        <w:drawing>
          <wp:inline distT="0" distB="0" distL="0" distR="0">
            <wp:extent cx="3719830" cy="4313555"/>
            <wp:effectExtent l="0" t="0" r="0" b="0"/>
            <wp:docPr id="2"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
                    <pic:cNvPicPr>
                      <a:picLocks noChangeAspect="1" noChangeArrowheads="1"/>
                    </pic:cNvPicPr>
                  </pic:nvPicPr>
                  <pic:blipFill>
                    <a:blip r:embed="rId3"/>
                    <a:srcRect l="-8" t="-7" r="-8" b="-7"/>
                    <a:stretch>
                      <a:fillRect/>
                    </a:stretch>
                  </pic:blipFill>
                  <pic:spPr bwMode="auto">
                    <a:xfrm>
                      <a:off x="0" y="0"/>
                      <a:ext cx="3719830" cy="4313555"/>
                    </a:xfrm>
                    <a:prstGeom prst="rect">
                      <a:avLst/>
                    </a:prstGeom>
                  </pic:spPr>
                </pic:pic>
              </a:graphicData>
            </a:graphic>
          </wp:inline>
        </w:drawing>
      </w:r>
    </w:p>
    <w:p>
      <w:pPr>
        <w:pStyle w:val="Style28"/>
        <w:spacing w:before="60" w:after="60"/>
        <w:ind w:hanging="0"/>
        <w:jc w:val="center"/>
        <w:rPr>
          <w:rFonts w:ascii="Times New Roman" w:hAnsi="Times New Roman" w:cs="Times New Roman"/>
          <w:color w:val="000000"/>
        </w:rPr>
      </w:pPr>
      <w:r>
        <w:rPr>
          <w:rFonts w:ascii="Times New Roman" w:hAnsi="Times New Roman" w:cs="Times New Roman"/>
        </w:rPr>
        <w:t>图</w:t>
      </w:r>
      <w:r>
        <w:rPr>
          <w:rFonts w:ascii="Times New Roman" w:hAnsi="Times New Roman" w:cs="Times New Roman" w:eastAsia="Times New Roman"/>
        </w:rPr>
        <w:t xml:space="preserve">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w:t>
      </w:r>
      <w:r>
        <w:rPr>
          <w:rFonts w:cs="Times New Roman" w:ascii="Times New Roman" w:hAnsi="Times New Roman"/>
        </w:rPr>
        <w:t>Biomni</w:t>
      </w:r>
    </w:p>
    <w:p>
      <w:pPr>
        <w:pStyle w:val="Normal"/>
        <w:spacing w:before="60" w:after="60"/>
        <w:ind w:firstLine="480"/>
        <w:rPr>
          <w:color w:val="000000"/>
        </w:rPr>
      </w:pPr>
      <w:r>
        <w:rPr>
          <w:color w:val="000000"/>
        </w:rPr>
        <w:t>在此基础上，</w:t>
      </w:r>
      <w:r>
        <w:rPr>
          <w:color w:val="000000"/>
        </w:rPr>
        <w:t>Biomni</w:t>
      </w:r>
      <w:r>
        <w:rPr>
          <w:color w:val="000000"/>
        </w:rPr>
        <w:t>团队进一步预告了基于端到端强化学习（</w:t>
      </w:r>
      <w:r>
        <w:rPr>
          <w:color w:val="000000"/>
        </w:rPr>
        <w:t>RL</w:t>
      </w:r>
      <w:r>
        <w:rPr>
          <w:color w:val="000000"/>
        </w:rPr>
        <w:t>）训练的升级版本</w:t>
      </w:r>
      <w:r>
        <w:rPr>
          <w:color w:val="000000"/>
        </w:rPr>
        <w:t>Biomni-R0[2]</w:t>
      </w:r>
      <w:r>
        <w:rPr>
          <w:color w:val="000000"/>
        </w:rPr>
        <w:t>。然而，当前该团队仅发布技术预览与动态更新，还没有全面开源训练代码与细节。针对这一现状，我计划在</w:t>
      </w:r>
      <w:r>
        <w:rPr>
          <w:color w:val="000000"/>
        </w:rPr>
        <w:t>Biomni</w:t>
      </w:r>
      <w:r>
        <w:rPr>
          <w:color w:val="000000"/>
        </w:rPr>
        <w:t>开源框架基础上，系统复现</w:t>
      </w:r>
      <w:r>
        <w:rPr>
          <w:color w:val="000000"/>
        </w:rPr>
        <w:t>Biomni-R0</w:t>
      </w:r>
      <w:r>
        <w:rPr>
          <w:color w:val="000000"/>
        </w:rPr>
        <w:t>的核心技术思想，并开展工程化优化，最终形成可复现的</w:t>
      </w:r>
      <w:r>
        <w:rPr>
          <w:color w:val="000000"/>
        </w:rPr>
        <w:t>RL</w:t>
      </w:r>
      <w:r>
        <w:rPr>
          <w:color w:val="000000"/>
        </w:rPr>
        <w:t>训练与评测系统</w:t>
      </w:r>
      <w:r>
        <w:rPr>
          <w:color w:val="000000"/>
        </w:rPr>
        <w:t>。</w:t>
      </w:r>
      <w:r>
        <w:rPr>
          <w:rFonts w:eastAsia="Times New Roman"/>
          <w:color w:val="000000"/>
        </w:rPr>
        <w:t xml:space="preserve"> </w:t>
      </w:r>
    </w:p>
    <w:p>
      <w:pPr>
        <w:pStyle w:val="Normal"/>
        <w:keepNext w:val="true"/>
        <w:spacing w:before="60" w:after="60"/>
        <w:ind w:hanging="0"/>
        <w:jc w:val="center"/>
        <w:rPr>
          <w:lang w:val="en-US" w:eastAsia="en-US"/>
        </w:rPr>
      </w:pPr>
      <w:r>
        <w:rPr>
          <w:lang w:val="en-US" w:eastAsia="en-US"/>
        </w:rPr>
        <w:drawing>
          <wp:inline distT="0" distB="0" distL="0" distR="0">
            <wp:extent cx="4824730" cy="318960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rcRect l="-5" t="-7" r="-5" b="-7"/>
                    <a:stretch>
                      <a:fillRect/>
                    </a:stretch>
                  </pic:blipFill>
                  <pic:spPr bwMode="auto">
                    <a:xfrm>
                      <a:off x="0" y="0"/>
                      <a:ext cx="4824730" cy="3189605"/>
                    </a:xfrm>
                    <a:prstGeom prst="rect">
                      <a:avLst/>
                    </a:prstGeom>
                  </pic:spPr>
                </pic:pic>
              </a:graphicData>
            </a:graphic>
          </wp:inline>
        </w:drawing>
      </w:r>
    </w:p>
    <w:p>
      <w:pPr>
        <w:pStyle w:val="Style28"/>
        <w:spacing w:before="60" w:after="60"/>
        <w:ind w:hanging="0"/>
        <w:jc w:val="center"/>
        <w:rPr>
          <w:rFonts w:ascii="Times New Roman" w:hAnsi="Times New Roman" w:cs="Times New Roman"/>
          <w:lang w:val="en-US" w:eastAsia="en-US"/>
        </w:rPr>
      </w:pPr>
      <w:r>
        <w:rPr>
          <w:rFonts w:ascii="Times New Roman" w:hAnsi="Times New Roman" w:cs="Times New Roman"/>
        </w:rPr>
        <w:t>图</w:t>
      </w:r>
      <w:r>
        <w:rPr>
          <w:rFonts w:ascii="Times New Roman" w:hAnsi="Times New Roman" w:cs="Times New Roman" w:eastAsia="Times New Roman"/>
        </w:rPr>
        <w:t xml:space="preserve">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w:t>
      </w:r>
      <w:r>
        <w:rPr>
          <w:rFonts w:cs="Times New Roman" w:ascii="Times New Roman" w:hAnsi="Times New Roman"/>
        </w:rPr>
        <w:t>Biomni-R0</w:t>
      </w:r>
      <w:r>
        <w:rPr>
          <w:rFonts w:ascii="Times New Roman" w:hAnsi="Times New Roman" w:cs="Times New Roman"/>
        </w:rPr>
        <w:t>技术预览</w:t>
      </w:r>
    </w:p>
    <w:p>
      <w:pPr>
        <w:pStyle w:val="Normal"/>
        <w:spacing w:before="60" w:after="60"/>
        <w:ind w:hanging="0"/>
        <w:rPr>
          <w:rFonts w:eastAsia="黑体;SimHei"/>
          <w:color w:val="000000"/>
        </w:rPr>
      </w:pPr>
      <w:r>
        <w:rPr>
          <w:rFonts w:eastAsia="黑体;SimHei"/>
          <w:color w:val="000000"/>
        </w:rPr>
        <w:t>1.2</w:t>
      </w:r>
      <w:r>
        <w:rPr>
          <w:rFonts w:eastAsia="黑体;SimHei"/>
          <w:color w:val="000000"/>
        </w:rPr>
        <w:t>研究目的</w:t>
      </w:r>
      <w:r>
        <w:rPr>
          <w:rFonts w:eastAsia="黑体;SimHei"/>
          <w:color w:val="000000"/>
        </w:rPr>
        <w:t>与意义</w:t>
      </w:r>
      <w:r>
        <w:rPr>
          <w:rFonts w:eastAsia="黑体;SimHei"/>
          <w:color w:val="000000"/>
        </w:rPr>
        <w:t>：</w:t>
      </w:r>
    </w:p>
    <w:p>
      <w:pPr>
        <w:pStyle w:val="Normal"/>
        <w:spacing w:before="60" w:after="60"/>
        <w:ind w:firstLine="480"/>
        <w:rPr/>
      </w:pPr>
      <w:r>
        <w:rPr>
          <w:color w:val="000000"/>
        </w:rPr>
        <w:t>本研究的主要目标是基于</w:t>
      </w:r>
      <w:r>
        <w:rPr>
          <w:color w:val="000000"/>
        </w:rPr>
        <w:t>现有的</w:t>
      </w:r>
      <w:r>
        <w:rPr>
          <w:color w:val="000000"/>
        </w:rPr>
        <w:t>Biomni</w:t>
      </w:r>
      <w:r>
        <w:rPr>
          <w:color w:val="000000"/>
        </w:rPr>
        <w:t>开源框架，复现并优化其升级版</w:t>
      </w:r>
      <w:r>
        <w:rPr>
          <w:color w:val="000000"/>
        </w:rPr>
        <w:t>Biomni-R0</w:t>
      </w:r>
      <w:r>
        <w:rPr>
          <w:color w:val="000000"/>
        </w:rPr>
        <w:t>的强化学习智能体系统。之所以开展这项研究，主要基于以下几个方面的需求和原因：</w:t>
      </w:r>
    </w:p>
    <w:p>
      <w:pPr>
        <w:pStyle w:val="Normal"/>
        <w:tabs>
          <w:tab w:val="clear" w:pos="420"/>
          <w:tab w:val="left" w:pos="720" w:leader="none"/>
        </w:tabs>
        <w:spacing w:before="60" w:after="60"/>
        <w:ind w:firstLine="480"/>
        <w:rPr>
          <w:color w:val="000000"/>
        </w:rPr>
      </w:pPr>
      <w:r>
        <w:rPr>
          <w:color w:val="000000"/>
        </w:rPr>
        <w:t>首先</w:t>
      </w:r>
      <w:r>
        <w:rPr>
          <w:color w:val="000000"/>
        </w:rPr>
        <w:t>，在生物医学智能体领域，其关于强化学习的应用存在一定的研究空白。</w:t>
      </w:r>
      <w:r>
        <w:rPr>
          <w:color w:val="000000"/>
        </w:rPr>
        <w:t>尽管在生物医学领域，智能体技术，尤其是强化学习（</w:t>
      </w:r>
      <w:r>
        <w:rPr>
          <w:color w:val="000000"/>
        </w:rPr>
        <w:t>RL</w:t>
      </w:r>
      <w:r>
        <w:rPr>
          <w:color w:val="000000"/>
        </w:rPr>
        <w:t>）的应用已有一定进展，但大多数现有研究主要集中在工具整合和任务规划层面，缺乏对</w:t>
      </w:r>
      <w:r>
        <w:rPr>
          <w:color w:val="000000"/>
        </w:rPr>
        <w:t>RL</w:t>
      </w:r>
      <w:r>
        <w:rPr>
          <w:color w:val="000000"/>
        </w:rPr>
        <w:t>核心问题的深入探讨</w:t>
      </w:r>
      <w:r>
        <w:rPr>
          <w:color w:val="000000"/>
        </w:rPr>
        <w:t>。因此，我们希望</w:t>
      </w:r>
      <w:r>
        <w:rPr>
          <w:color w:val="000000"/>
        </w:rPr>
        <w:t>在奖励信号设计、策略更新稳定性以及跨工具长程依赖等方面</w:t>
      </w:r>
      <w:r>
        <w:rPr>
          <w:color w:val="000000"/>
        </w:rPr>
        <w:t>展开深度的研究，进行反复测试与评价，调整优化策略，以期能有所发现和改进</w:t>
      </w:r>
      <w:r>
        <w:rPr>
          <w:color w:val="000000"/>
        </w:rPr>
        <w:t>。</w:t>
      </w:r>
    </w:p>
    <w:p>
      <w:pPr>
        <w:pStyle w:val="Normal"/>
        <w:tabs>
          <w:tab w:val="clear" w:pos="420"/>
          <w:tab w:val="left" w:pos="720" w:leader="none"/>
        </w:tabs>
        <w:spacing w:before="60" w:after="60"/>
        <w:ind w:firstLine="480"/>
        <w:rPr>
          <w:color w:val="000000"/>
        </w:rPr>
      </w:pPr>
      <w:r>
        <w:rPr>
          <w:color w:val="000000"/>
        </w:rPr>
        <w:t>其次</w:t>
      </w:r>
      <w:r>
        <w:rPr>
          <w:color w:val="000000"/>
        </w:rPr>
        <w:t>，该研究计划能够有效</w:t>
      </w:r>
      <w:r>
        <w:rPr>
          <w:color w:val="000000"/>
        </w:rPr>
        <w:t>提升</w:t>
      </w:r>
      <w:r>
        <w:rPr>
          <w:color w:val="000000"/>
        </w:rPr>
        <w:t>Biomni</w:t>
      </w:r>
      <w:r>
        <w:rPr>
          <w:color w:val="000000"/>
        </w:rPr>
        <w:t>框架的智能体性能。</w:t>
      </w:r>
      <w:r>
        <w:rPr>
          <w:color w:val="000000"/>
        </w:rPr>
        <w:t>Biomni</w:t>
      </w:r>
      <w:r>
        <w:rPr>
          <w:color w:val="000000"/>
        </w:rPr>
        <w:t>框架作为一个生物医学领域的通用智能体平台，已经具备强大的工具整合与跨学科任务支持能力。然而，当前框架仍</w:t>
      </w:r>
      <w:r>
        <w:rPr>
          <w:color w:val="000000"/>
        </w:rPr>
        <w:t>缺少关于</w:t>
      </w:r>
      <w:r>
        <w:rPr>
          <w:color w:val="000000"/>
        </w:rPr>
        <w:t>强化学习方面的</w:t>
      </w:r>
      <w:r>
        <w:rPr>
          <w:color w:val="000000"/>
        </w:rPr>
        <w:t>尝试</w:t>
      </w:r>
      <w:r>
        <w:rPr>
          <w:color w:val="000000"/>
        </w:rPr>
        <w:t>。通过本研究的复现和优化，</w:t>
      </w:r>
      <w:r>
        <w:rPr>
          <w:color w:val="000000"/>
        </w:rPr>
        <w:t>我们</w:t>
      </w:r>
      <w:r>
        <w:rPr>
          <w:color w:val="000000"/>
        </w:rPr>
        <w:t>期望</w:t>
      </w:r>
      <w:r>
        <w:rPr>
          <w:color w:val="000000"/>
        </w:rPr>
        <w:t>开拓其在强化学习技术上的应用</w:t>
      </w:r>
      <w:r>
        <w:rPr>
          <w:color w:val="000000"/>
        </w:rPr>
        <w:t>，使智能体能够更高效地解决实际任务</w:t>
      </w:r>
      <w:r>
        <w:rPr>
          <w:color w:val="000000"/>
        </w:rPr>
        <w:t>。</w:t>
      </w:r>
      <w:r>
        <w:rPr>
          <w:rFonts w:eastAsia="Times New Roman"/>
          <w:color w:val="000000"/>
        </w:rPr>
        <w:t xml:space="preserve"> </w:t>
      </w:r>
    </w:p>
    <w:p>
      <w:pPr>
        <w:pStyle w:val="Normal"/>
        <w:spacing w:before="60" w:after="60"/>
        <w:ind w:firstLine="480"/>
        <w:rPr/>
      </w:pPr>
      <w:r>
        <w:rPr>
          <w:color w:val="000000"/>
        </w:rPr>
        <w:t>最后</w:t>
      </w:r>
      <w:r>
        <w:rPr>
          <w:color w:val="000000"/>
        </w:rPr>
        <w:t>，鉴于当前</w:t>
      </w:r>
      <w:r>
        <w:rPr>
          <w:color w:val="000000"/>
        </w:rPr>
        <w:t>生物医学领域科研自动化的迫切需求</w:t>
      </w:r>
      <w:r>
        <w:rPr>
          <w:color w:val="000000"/>
        </w:rPr>
        <w:t>，以及</w:t>
      </w:r>
      <w:r>
        <w:rPr>
          <w:color w:val="000000"/>
        </w:rPr>
        <w:t>医学研究逐步向个性化、精准化方向发展</w:t>
      </w:r>
      <w:r>
        <w:rPr>
          <w:color w:val="000000"/>
        </w:rPr>
        <w:t>的趋势</w:t>
      </w:r>
      <w:r>
        <w:rPr>
          <w:color w:val="000000"/>
        </w:rPr>
        <w:t>，生物医学领域</w:t>
      </w:r>
      <w:r>
        <w:rPr>
          <w:color w:val="000000"/>
        </w:rPr>
        <w:t>在</w:t>
      </w:r>
      <w:r>
        <w:rPr>
          <w:color w:val="000000"/>
        </w:rPr>
        <w:t>高效、智能的科研工具和自动化系统</w:t>
      </w:r>
      <w:r>
        <w:rPr>
          <w:color w:val="000000"/>
        </w:rPr>
        <w:t>方面的尝试已然是必经之路</w:t>
      </w:r>
      <w:r>
        <w:rPr>
          <w:color w:val="000000"/>
        </w:rPr>
        <w:t>。通过强化学习与智能体技术</w:t>
      </w:r>
      <w:r>
        <w:rPr>
          <w:color w:val="000000"/>
        </w:rPr>
        <w:t>相结合的方式</w:t>
      </w:r>
      <w:r>
        <w:rPr>
          <w:color w:val="000000"/>
        </w:rPr>
        <w:t>，能够在较少人工干预的情况下，</w:t>
      </w:r>
      <w:r>
        <w:rPr>
          <w:color w:val="000000"/>
        </w:rPr>
        <w:t>自主</w:t>
      </w:r>
      <w:r>
        <w:rPr>
          <w:color w:val="000000"/>
        </w:rPr>
        <w:t>完成如疾病诊断、基因组分析等高价值任务，</w:t>
      </w:r>
      <w:r>
        <w:rPr>
          <w:color w:val="000000"/>
        </w:rPr>
        <w:t>这将</w:t>
      </w:r>
      <w:r>
        <w:rPr>
          <w:color w:val="000000"/>
        </w:rPr>
        <w:t>为临床转化和科研自动化提供</w:t>
      </w:r>
      <w:r>
        <w:rPr>
          <w:color w:val="000000"/>
        </w:rPr>
        <w:t>有效的</w:t>
      </w:r>
      <w:r>
        <w:rPr>
          <w:color w:val="000000"/>
        </w:rPr>
        <w:t>技术支持，推动生物医学研究的快速进展。</w:t>
      </w:r>
    </w:p>
    <w:p>
      <w:pPr>
        <w:pStyle w:val="Normal"/>
        <w:spacing w:before="60" w:after="60"/>
        <w:ind w:hanging="0"/>
        <w:rPr/>
      </w:pPr>
      <w:bookmarkStart w:id="4" w:name="OLE_LINK1"/>
      <w:bookmarkEnd w:id="4"/>
      <w:r>
        <w:rPr>
          <w:rFonts w:eastAsia="黑体;SimHei"/>
          <w:color w:val="000000"/>
          <w:sz w:val="28"/>
          <w:szCs w:val="28"/>
        </w:rPr>
        <w:t>2</w:t>
      </w:r>
      <w:r>
        <w:rPr>
          <w:rFonts w:eastAsia="黑体;SimHei"/>
          <w:color w:val="000000"/>
          <w:sz w:val="28"/>
          <w:szCs w:val="28"/>
        </w:rPr>
        <w:t>．国内外在该方向的研究现状及分析</w:t>
      </w:r>
    </w:p>
    <w:p>
      <w:pPr>
        <w:pStyle w:val="Normal"/>
        <w:spacing w:before="60" w:after="60"/>
        <w:ind w:firstLine="480"/>
        <w:rPr/>
      </w:pPr>
      <w:bookmarkStart w:id="5" w:name="OLE_LINK1"/>
      <w:bookmarkEnd w:id="5"/>
      <w:r>
        <w:rPr>
          <w:color w:val="000000"/>
        </w:rPr>
        <w:t>近年来，生物医学领域在人工智能技术的推动下取得了显著进展，尤其是在智能体应用和任务优化方面。智能体技术</w:t>
      </w:r>
      <w:r>
        <w:rPr>
          <w:color w:val="000000"/>
        </w:rPr>
        <w:t>+</w:t>
      </w:r>
      <w:r>
        <w:rPr>
          <w:color w:val="000000"/>
        </w:rPr>
        <w:t>强化学习</w:t>
      </w:r>
      <w:r>
        <w:rPr>
          <w:color w:val="000000"/>
        </w:rPr>
        <w:t>的广泛</w:t>
      </w:r>
      <w:r>
        <w:rPr>
          <w:color w:val="000000"/>
        </w:rPr>
        <w:t>应用，正在逐步改变科学研究的传统模式。这些</w:t>
      </w:r>
      <w:r>
        <w:rPr>
          <w:color w:val="000000"/>
        </w:rPr>
        <w:t>改变既</w:t>
      </w:r>
      <w:r>
        <w:rPr>
          <w:color w:val="000000"/>
        </w:rPr>
        <w:t>体现在技术本身的发展</w:t>
      </w:r>
      <w:r>
        <w:rPr>
          <w:color w:val="000000"/>
        </w:rPr>
        <w:t>与进化中</w:t>
      </w:r>
      <w:r>
        <w:rPr>
          <w:color w:val="000000"/>
        </w:rPr>
        <w:t>，还反映在应用场景的扩展和交叉学科的融合上。</w:t>
      </w:r>
    </w:p>
    <w:p>
      <w:pPr>
        <w:pStyle w:val="Normal"/>
        <w:spacing w:before="60" w:after="60"/>
        <w:ind w:hanging="0"/>
        <w:rPr/>
      </w:pPr>
      <w:r>
        <w:rPr>
          <w:rFonts w:eastAsia="黑体;SimHei"/>
          <w:color w:val="000000"/>
        </w:rPr>
        <w:t>2.1</w:t>
      </w:r>
      <w:r>
        <w:rPr>
          <w:rFonts w:eastAsia="黑体;SimHei"/>
          <w:color w:val="000000"/>
        </w:rPr>
        <w:t>国外研究现状</w:t>
      </w:r>
    </w:p>
    <w:p>
      <w:pPr>
        <w:pStyle w:val="Normal"/>
        <w:spacing w:before="60" w:after="60"/>
        <w:ind w:firstLine="480"/>
        <w:rPr/>
      </w:pPr>
      <w:r>
        <w:rPr>
          <w:color w:val="000000"/>
        </w:rPr>
        <w:t>在国外，强化学习在生物医学智能体的研究中已有一定积累。</w:t>
      </w:r>
      <w:r>
        <w:rPr>
          <w:color w:val="000000"/>
        </w:rPr>
        <w:t>关于我们即将展开研究的</w:t>
      </w:r>
      <w:r>
        <w:rPr>
          <w:color w:val="000000"/>
        </w:rPr>
        <w:t>斯坦福大学的</w:t>
      </w:r>
      <w:r>
        <w:rPr>
          <w:color w:val="000000"/>
        </w:rPr>
        <w:t>Biomni</w:t>
      </w:r>
      <w:r>
        <w:rPr>
          <w:color w:val="000000"/>
        </w:rPr>
        <w:t>项目</w:t>
      </w:r>
      <w:r>
        <w:rPr>
          <w:color w:val="000000"/>
        </w:rPr>
        <w:t>[1]</w:t>
      </w:r>
      <w:r>
        <w:rPr>
          <w:color w:val="000000"/>
        </w:rPr>
        <w:t>：</w:t>
      </w:r>
      <w:r>
        <w:rPr>
          <w:color w:val="000000"/>
        </w:rPr>
        <w:t>这一框架集成了检索增强规划</w:t>
      </w:r>
      <w:r>
        <w:rPr>
          <w:color w:val="000000"/>
        </w:rPr>
        <w:t>[3]</w:t>
      </w:r>
      <w:r>
        <w:rPr>
          <w:color w:val="000000"/>
        </w:rPr>
        <w:t>、代码执行与专业数据库工具等模块，旨在通过智能体</w:t>
      </w:r>
      <w:r>
        <w:rPr>
          <w:color w:val="000000"/>
        </w:rPr>
        <w:t>+</w:t>
      </w:r>
      <w:r>
        <w:rPr>
          <w:color w:val="000000"/>
        </w:rPr>
        <w:t>强化学习，</w:t>
      </w:r>
      <w:r>
        <w:rPr>
          <w:color w:val="000000"/>
        </w:rPr>
        <w:t>实现</w:t>
      </w:r>
      <w:r>
        <w:rPr>
          <w:color w:val="000000"/>
        </w:rPr>
        <w:t>文献综述、实验方案设计、组学数据分析等</w:t>
      </w:r>
      <w:r>
        <w:rPr>
          <w:color w:val="000000"/>
        </w:rPr>
        <w:t>多方面</w:t>
      </w:r>
      <w:r>
        <w:rPr>
          <w:color w:val="000000"/>
        </w:rPr>
        <w:t>复杂的跨学科任务。</w:t>
      </w:r>
    </w:p>
    <w:p>
      <w:pPr>
        <w:pStyle w:val="Normal"/>
        <w:spacing w:before="60" w:after="60"/>
        <w:ind w:firstLine="480"/>
        <w:rPr/>
      </w:pPr>
      <w:r>
        <w:rPr>
          <w:color w:val="000000"/>
        </w:rPr>
        <w:t>此外，</w:t>
      </w:r>
      <w:r>
        <w:rPr>
          <w:color w:val="000000"/>
        </w:rPr>
        <w:t>Biomni-R0</w:t>
      </w:r>
      <w:r>
        <w:rPr>
          <w:color w:val="000000"/>
        </w:rPr>
        <w:t>的出现进一步推动了强化学习在生物医学领域的应用</w:t>
      </w:r>
      <w:r>
        <w:rPr>
          <w:color w:val="000000"/>
        </w:rPr>
        <w:t>[2]</w:t>
      </w:r>
      <w:r>
        <w:rPr>
          <w:color w:val="000000"/>
        </w:rPr>
        <w:t>。</w:t>
      </w:r>
      <w:r>
        <w:rPr>
          <w:color w:val="000000"/>
        </w:rPr>
        <w:t>它</w:t>
      </w:r>
      <w:r>
        <w:rPr>
          <w:color w:val="000000"/>
        </w:rPr>
        <w:t>通过端到端的</w:t>
      </w:r>
      <w:r>
        <w:rPr>
          <w:color w:val="000000"/>
        </w:rPr>
        <w:t>RL</w:t>
      </w:r>
      <w:r>
        <w:rPr>
          <w:color w:val="000000"/>
        </w:rPr>
        <w:t>训练机制，优化了多步推理和工具调用的闭环性能。然而，对于奖励信号设计、策略更新稳定性以及跨工具的长程依赖等关键问题的系统化研究</w:t>
      </w:r>
      <w:r>
        <w:rPr>
          <w:color w:val="000000"/>
        </w:rPr>
        <w:t>，该项目</w:t>
      </w:r>
      <w:r>
        <w:rPr>
          <w:color w:val="000000"/>
        </w:rPr>
        <w:t>仍处于起步阶段，尚未实现全面的开源和技术细节的发布。</w:t>
      </w:r>
    </w:p>
    <w:p>
      <w:pPr>
        <w:pStyle w:val="Normal"/>
        <w:spacing w:before="60" w:after="60"/>
        <w:ind w:firstLine="480"/>
        <w:rPr/>
      </w:pPr>
      <w:r>
        <w:rPr>
          <w:color w:val="000000"/>
        </w:rPr>
        <w:t>与</w:t>
      </w:r>
      <w:r>
        <w:rPr>
          <w:color w:val="000000"/>
        </w:rPr>
        <w:t>Biomni</w:t>
      </w:r>
      <w:r>
        <w:rPr>
          <w:color w:val="000000"/>
        </w:rPr>
        <w:t>相似</w:t>
      </w:r>
      <w:r>
        <w:rPr>
          <w:color w:val="000000"/>
        </w:rPr>
        <w:t>的项目中，</w:t>
      </w:r>
      <w:r>
        <w:rPr>
          <w:color w:val="000000"/>
        </w:rPr>
        <w:t>其他研究者也在探索强化学习在科学任务中的应用</w:t>
      </w:r>
      <w:r>
        <w:rPr>
          <w:color w:val="000000"/>
        </w:rPr>
        <w:t>，这进一步说明了这一方向研究的必要性与重要性</w:t>
      </w:r>
      <w:r>
        <w:rPr>
          <w:color w:val="000000"/>
        </w:rPr>
        <w:t>。例如，</w:t>
      </w:r>
      <w:r>
        <w:rPr>
          <w:color w:val="000000"/>
        </w:rPr>
        <w:t>ChemCrow</w:t>
      </w:r>
      <w:r>
        <w:rPr>
          <w:color w:val="000000"/>
        </w:rPr>
        <w:t>项目通过结合大语言模型与化学工具</w:t>
      </w:r>
      <w:r>
        <w:rPr>
          <w:color w:val="000000"/>
        </w:rPr>
        <w:t>[4]</w:t>
      </w:r>
      <w:r>
        <w:rPr>
          <w:color w:val="000000"/>
        </w:rPr>
        <w:t>，增强了机器在化学研究中的智能推理能力</w:t>
      </w:r>
      <w:r>
        <w:rPr>
          <w:color w:val="000000"/>
        </w:rPr>
        <w:t>；</w:t>
      </w:r>
      <w:r>
        <w:rPr>
          <w:color w:val="000000"/>
        </w:rPr>
        <w:t>BioGPT</w:t>
      </w:r>
      <w:r>
        <w:rPr>
          <w:color w:val="000000"/>
        </w:rPr>
        <w:t>项目则专注于生物医学文本生成</w:t>
      </w:r>
      <w:r>
        <w:rPr>
          <w:color w:val="000000"/>
        </w:rPr>
        <w:t>[5]</w:t>
      </w:r>
      <w:r>
        <w:rPr>
          <w:color w:val="000000"/>
        </w:rPr>
        <w:t>，利用预训练的生成模型来推动生物学信息的挖掘与生成。这些研究虽然侧重不同，但</w:t>
      </w:r>
      <w:r>
        <w:rPr>
          <w:color w:val="000000"/>
        </w:rPr>
        <w:t>都是为了</w:t>
      </w:r>
      <w:r>
        <w:rPr>
          <w:color w:val="000000"/>
        </w:rPr>
        <w:t>通过智能体来提升生物医学领域的自动化水平，减少人工干预。</w:t>
      </w:r>
    </w:p>
    <w:p>
      <w:pPr>
        <w:pStyle w:val="Normal"/>
        <w:spacing w:before="60" w:after="60"/>
        <w:ind w:hanging="0"/>
        <w:rPr/>
      </w:pPr>
      <w:r>
        <w:rPr>
          <w:rFonts w:eastAsia="黑体;SimHei"/>
          <w:color w:val="000000"/>
        </w:rPr>
        <w:t>2.2</w:t>
      </w:r>
      <w:r>
        <w:rPr>
          <w:rFonts w:eastAsia="黑体;SimHei"/>
          <w:color w:val="000000"/>
        </w:rPr>
        <w:t>国内研究现状</w:t>
      </w:r>
    </w:p>
    <w:p>
      <w:pPr>
        <w:pStyle w:val="Normal"/>
        <w:spacing w:before="60" w:after="60"/>
        <w:ind w:firstLine="480"/>
        <w:rPr>
          <w:color w:val="000000"/>
        </w:rPr>
      </w:pPr>
      <w:r>
        <w:rPr>
          <w:color w:val="000000"/>
        </w:rPr>
        <w:t>在国内，强化学习在生物医学领域的应用研究虽起步较晚，但近年来也获得了诸多关注。特别是在医学影像分析与药物筛选等领域，强化学习和深度学习技术已初步应用。</w:t>
      </w:r>
    </w:p>
    <w:p>
      <w:pPr>
        <w:pStyle w:val="Normal"/>
        <w:spacing w:before="60" w:after="60"/>
        <w:ind w:firstLine="480"/>
        <w:rPr>
          <w:color w:val="000000"/>
        </w:rPr>
      </w:pPr>
      <w:r>
        <w:rPr>
          <w:color w:val="000000"/>
        </w:rPr>
        <w:t>例如，有关于基于强化学习和自监督学习的多生物医学事件抽取研究</w:t>
      </w:r>
      <w:r>
        <w:rPr>
          <w:color w:val="000000"/>
        </w:rPr>
        <w:t>[6]</w:t>
      </w:r>
      <w:r>
        <w:rPr>
          <w:color w:val="000000"/>
        </w:rPr>
        <w:t>，帮助其进行相关领域的知识库和知识图谱构建；也有关于基于强化学习的远监督样本选取方法，提高了从文档中筛选出高质量的、与任务相关的句子的精度</w:t>
      </w:r>
      <w:r>
        <w:rPr>
          <w:color w:val="000000"/>
        </w:rPr>
        <w:t>[7]</w:t>
      </w:r>
      <w:r>
        <w:rPr>
          <w:color w:val="000000"/>
        </w:rPr>
        <w:t>。然而，对于像</w:t>
      </w:r>
      <w:r>
        <w:rPr>
          <w:color w:val="000000"/>
        </w:rPr>
        <w:t>Biomni</w:t>
      </w:r>
      <w:r>
        <w:rPr>
          <w:color w:val="000000"/>
        </w:rPr>
        <w:t>那样集合大体量工具、数据库与软件的框架，我们目前还没有公开的、同等规模和成熟度的系统，更多的是像前文提到的那样，在特定的应用方向上扎根和发展。</w:t>
      </w:r>
    </w:p>
    <w:p>
      <w:pPr>
        <w:pStyle w:val="Normal"/>
        <w:spacing w:before="60" w:after="60"/>
        <w:ind w:hanging="0"/>
        <w:rPr>
          <w:rFonts w:eastAsia="黑体;SimHei"/>
          <w:color w:val="000000"/>
        </w:rPr>
      </w:pPr>
      <w:r>
        <w:rPr>
          <w:rFonts w:eastAsia="黑体;SimHei"/>
          <w:color w:val="000000"/>
        </w:rPr>
        <w:t>2.3</w:t>
      </w:r>
      <w:r>
        <w:rPr>
          <w:rFonts w:eastAsia="黑体;SimHei"/>
          <w:color w:val="000000"/>
        </w:rPr>
        <w:t>国内外研究的差距与挑战</w:t>
      </w:r>
    </w:p>
    <w:p>
      <w:pPr>
        <w:pStyle w:val="Normal"/>
        <w:spacing w:before="60" w:after="60"/>
        <w:ind w:firstLine="480"/>
        <w:rPr>
          <w:color w:val="000000"/>
        </w:rPr>
      </w:pPr>
      <w:r>
        <w:rPr>
          <w:color w:val="000000"/>
        </w:rPr>
        <w:t>从整体上看，国内外在此领域的研究进展虽然迅速，但对于强化学习在生物医学领域的深度应用和优化仍处于初步阶段</w:t>
      </w:r>
      <w:r>
        <w:rPr>
          <w:color w:val="000000"/>
        </w:rPr>
        <w:t>。这也是为什么我们需要</w:t>
      </w:r>
      <w:r>
        <w:rPr>
          <w:color w:val="000000"/>
        </w:rPr>
        <w:t>对于如何更好地设计奖励函数、提高策略稳定性以及处理跨工具任务的长期依赖等问题，</w:t>
      </w:r>
      <w:r>
        <w:rPr>
          <w:color w:val="000000"/>
        </w:rPr>
        <w:t>进行</w:t>
      </w:r>
      <w:r>
        <w:rPr>
          <w:color w:val="000000"/>
        </w:rPr>
        <w:t>大量的理论研究和实验验证。</w:t>
      </w:r>
    </w:p>
    <w:p>
      <w:pPr>
        <w:pStyle w:val="Normal"/>
        <w:spacing w:before="60" w:after="60"/>
        <w:ind w:hanging="0"/>
        <w:rPr/>
      </w:pPr>
      <w:bookmarkStart w:id="6" w:name="OLE_LINK2"/>
      <w:bookmarkEnd w:id="6"/>
      <w:r>
        <w:rPr>
          <w:rFonts w:eastAsia="黑体;SimHei"/>
          <w:color w:val="000000"/>
          <w:sz w:val="28"/>
          <w:szCs w:val="28"/>
        </w:rPr>
        <w:t>3</w:t>
      </w:r>
      <w:r>
        <w:rPr>
          <w:rFonts w:eastAsia="黑体;SimHei"/>
          <w:color w:val="000000"/>
          <w:sz w:val="28"/>
          <w:szCs w:val="28"/>
        </w:rPr>
        <w:t>．主要研究内容</w:t>
      </w:r>
    </w:p>
    <w:p>
      <w:pPr>
        <w:pStyle w:val="Normal"/>
        <w:spacing w:before="60" w:after="60"/>
        <w:ind w:firstLine="480"/>
        <w:rPr/>
      </w:pPr>
      <w:bookmarkStart w:id="7" w:name="OLE_LINK2"/>
      <w:bookmarkEnd w:id="7"/>
      <w:r>
        <w:rPr>
          <w:color w:val="000000"/>
        </w:rPr>
        <w:t>围绕“在</w:t>
      </w:r>
      <w:r>
        <w:rPr>
          <w:rFonts w:eastAsia="Times New Roman"/>
          <w:color w:val="000000"/>
        </w:rPr>
        <w:t xml:space="preserve"> </w:t>
      </w:r>
      <w:r>
        <w:rPr>
          <w:color w:val="000000"/>
        </w:rPr>
        <w:t xml:space="preserve">Biomni </w:t>
      </w:r>
      <w:r>
        <w:rPr>
          <w:color w:val="000000"/>
        </w:rPr>
        <w:t>开源框架上复现并优化</w:t>
      </w:r>
      <w:r>
        <w:rPr>
          <w:rFonts w:eastAsia="Times New Roman"/>
          <w:color w:val="000000"/>
        </w:rPr>
        <w:t xml:space="preserve"> </w:t>
      </w:r>
      <w:r>
        <w:rPr>
          <w:color w:val="000000"/>
        </w:rPr>
        <w:t>Biomni-R0”</w:t>
      </w:r>
      <w:r>
        <w:rPr>
          <w:color w:val="000000"/>
        </w:rPr>
        <w:t>的目标，我把主要工作拆成“算法层—系统层—评测层”三条主线，既保证可复现，又能落地到具体任务场景（如文献综述、组学分析、实验设计等）。其中算法是核心，系统是载体，评测是闭环。开题文本里已明确了复现与评测的方向（如</w:t>
      </w:r>
      <w:r>
        <w:rPr>
          <w:rFonts w:eastAsia="Times New Roman"/>
          <w:color w:val="000000"/>
        </w:rPr>
        <w:t xml:space="preserve"> </w:t>
      </w:r>
      <w:r>
        <w:rPr>
          <w:color w:val="000000"/>
        </w:rPr>
        <w:t xml:space="preserve">A1/E1 </w:t>
      </w:r>
      <w:r>
        <w:rPr>
          <w:color w:val="000000"/>
        </w:rPr>
        <w:t>组件、端到端</w:t>
      </w:r>
      <w:r>
        <w:rPr>
          <w:rFonts w:eastAsia="Times New Roman"/>
          <w:color w:val="000000"/>
        </w:rPr>
        <w:t xml:space="preserve"> </w:t>
      </w:r>
      <w:r>
        <w:rPr>
          <w:color w:val="000000"/>
        </w:rPr>
        <w:t>RL</w:t>
      </w:r>
      <w:r>
        <w:rPr>
          <w:color w:val="000000"/>
        </w:rPr>
        <w:t>、</w:t>
      </w:r>
      <w:r>
        <w:rPr>
          <w:color w:val="000000"/>
        </w:rPr>
        <w:t xml:space="preserve">LAB-Bench </w:t>
      </w:r>
      <w:r>
        <w:rPr>
          <w:color w:val="000000"/>
        </w:rPr>
        <w:t>等），这里做成体系化的落地方案。</w:t>
      </w:r>
    </w:p>
    <w:p>
      <w:pPr>
        <w:pStyle w:val="Normal"/>
        <w:spacing w:before="60" w:after="60"/>
        <w:ind w:hanging="0"/>
        <w:rPr/>
      </w:pPr>
      <w:r>
        <w:rPr>
          <w:rFonts w:eastAsia="黑体;SimHei"/>
          <w:color w:val="000000"/>
        </w:rPr>
        <w:t>3.1</w:t>
      </w:r>
      <w:r>
        <w:rPr>
          <w:rFonts w:eastAsia="黑体;SimHei"/>
          <w:color w:val="000000"/>
        </w:rPr>
        <w:t>算法复现与基线建立</w:t>
      </w:r>
    </w:p>
    <w:p>
      <w:pPr>
        <w:pStyle w:val="Normal"/>
        <w:spacing w:before="60" w:after="60"/>
        <w:ind w:firstLine="480"/>
        <w:rPr>
          <w:color w:val="000000"/>
        </w:rPr>
      </w:pPr>
      <w:r>
        <w:rPr>
          <w:color w:val="000000"/>
        </w:rPr>
        <w:t>这里计划先用</w:t>
      </w:r>
      <w:r>
        <w:rPr>
          <w:rFonts w:eastAsia="Times New Roman"/>
          <w:color w:val="000000"/>
        </w:rPr>
        <w:t xml:space="preserve"> </w:t>
      </w:r>
      <w:r>
        <w:rPr>
          <w:color w:val="000000"/>
        </w:rPr>
        <w:t xml:space="preserve">Biomni </w:t>
      </w:r>
      <w:r>
        <w:rPr>
          <w:color w:val="000000"/>
        </w:rPr>
        <w:t>公开案例与脚本日志做监督预训练，得到一个可用的“工具使用</w:t>
      </w:r>
      <w:r>
        <w:rPr>
          <w:color w:val="000000"/>
        </w:rPr>
        <w:t>/</w:t>
      </w:r>
      <w:r>
        <w:rPr>
          <w:color w:val="000000"/>
        </w:rPr>
        <w:t>检索</w:t>
      </w:r>
      <w:r>
        <w:rPr>
          <w:color w:val="000000"/>
        </w:rPr>
        <w:t>/</w:t>
      </w:r>
      <w:r>
        <w:rPr>
          <w:color w:val="000000"/>
        </w:rPr>
        <w:t>规划”初始策略，再进入</w:t>
      </w:r>
      <w:r>
        <w:rPr>
          <w:rFonts w:eastAsia="Times New Roman"/>
          <w:color w:val="000000"/>
        </w:rPr>
        <w:t xml:space="preserve"> </w:t>
      </w:r>
      <w:r>
        <w:rPr>
          <w:color w:val="000000"/>
        </w:rPr>
        <w:t xml:space="preserve">RL </w:t>
      </w:r>
      <w:r>
        <w:rPr>
          <w:color w:val="000000"/>
        </w:rPr>
        <w:t>微调阶段，降低纯</w:t>
      </w:r>
      <w:r>
        <w:rPr>
          <w:rFonts w:eastAsia="Times New Roman"/>
          <w:color w:val="000000"/>
        </w:rPr>
        <w:t xml:space="preserve"> </w:t>
      </w:r>
      <w:r>
        <w:rPr>
          <w:color w:val="000000"/>
        </w:rPr>
        <w:t xml:space="preserve">RL </w:t>
      </w:r>
      <w:r>
        <w:rPr>
          <w:color w:val="000000"/>
        </w:rPr>
        <w:t>的探索成本与不稳定性。该思路与开题目标一致：不依赖未公开细节，先把端到端流程跑通，再做强化优化。</w:t>
      </w:r>
    </w:p>
    <w:p>
      <w:pPr>
        <w:pStyle w:val="Normal"/>
        <w:spacing w:before="60" w:after="60"/>
        <w:ind w:firstLine="480"/>
        <w:rPr/>
      </w:pPr>
      <w:r>
        <w:rPr>
          <w:color w:val="000000"/>
        </w:rPr>
        <w:t>接下来是策略优化基线，经过调查，现有的主流优化策略包括：</w:t>
      </w:r>
      <w:r>
        <w:rPr>
          <w:b/>
          <w:bCs/>
          <w:color w:val="000000"/>
        </w:rPr>
        <w:t>PPO / SAC / A2C(A3C)</w:t>
      </w:r>
      <w:r>
        <w:rPr>
          <w:b/>
          <w:bCs/>
          <w:color w:val="000000"/>
        </w:rPr>
        <w:t>。</w:t>
      </w:r>
      <w:r>
        <w:rPr>
          <w:color w:val="000000"/>
        </w:rPr>
        <w:t>我在这里以</w:t>
      </w:r>
      <w:r>
        <w:rPr>
          <w:color w:val="000000"/>
        </w:rPr>
        <w:t>PPO</w:t>
      </w:r>
      <w:r>
        <w:rPr>
          <w:color w:val="000000"/>
        </w:rPr>
        <w:t>作为首选在线优化器</w:t>
      </w:r>
      <w:r>
        <w:rPr>
          <w:color w:val="000000"/>
        </w:rPr>
        <w:t>[</w:t>
      </w:r>
      <w:r>
        <w:rPr>
          <w:color w:val="000000"/>
        </w:rPr>
        <w:t>8</w:t>
      </w:r>
      <w:r>
        <w:rPr>
          <w:color w:val="000000"/>
        </w:rPr>
        <w:t>],</w:t>
      </w:r>
      <w:r>
        <w:rPr>
          <w:color w:val="000000"/>
        </w:rPr>
        <w:t>这是基于其前身</w:t>
      </w:r>
      <w:r>
        <w:rPr>
          <w:color w:val="000000"/>
        </w:rPr>
        <w:t>TRPO</w:t>
      </w:r>
      <w:r>
        <w:rPr>
          <w:color w:val="000000"/>
        </w:rPr>
        <w:t>的改进</w:t>
      </w:r>
      <w:r>
        <w:rPr>
          <w:color w:val="000000"/>
        </w:rPr>
        <w:t>[</w:t>
      </w:r>
      <w:r>
        <w:rPr>
          <w:color w:val="000000"/>
        </w:rPr>
        <w:t>9</w:t>
      </w:r>
      <w:r>
        <w:rPr>
          <w:color w:val="000000"/>
        </w:rPr>
        <w:t>]</w:t>
      </w:r>
      <w:r>
        <w:rPr>
          <w:color w:val="000000"/>
        </w:rPr>
        <w:t>，兼顾稳定与效率；并且以</w:t>
      </w:r>
      <w:r>
        <w:rPr>
          <w:color w:val="000000"/>
        </w:rPr>
        <w:t>SAC</w:t>
      </w:r>
      <w:r>
        <w:rPr>
          <w:color w:val="000000"/>
        </w:rPr>
        <w:t>作为离线</w:t>
      </w:r>
      <w:r>
        <w:rPr>
          <w:color w:val="000000"/>
        </w:rPr>
        <w:t>/</w:t>
      </w:r>
      <w:r>
        <w:rPr>
          <w:color w:val="000000"/>
        </w:rPr>
        <w:t>混合数据场景的补充（最大熵正则、</w:t>
      </w:r>
      <w:r>
        <w:rPr>
          <w:color w:val="000000"/>
        </w:rPr>
        <w:t xml:space="preserve">Q </w:t>
      </w:r>
      <w:r>
        <w:rPr>
          <w:color w:val="000000"/>
        </w:rPr>
        <w:t>函数更稳），适合多工具、长决策链</w:t>
      </w:r>
      <w:r>
        <w:rPr>
          <w:color w:val="000000"/>
        </w:rPr>
        <w:t>[</w:t>
      </w:r>
      <w:r>
        <w:rPr>
          <w:color w:val="000000"/>
        </w:rPr>
        <w:t>10</w:t>
      </w:r>
      <w:r>
        <w:rPr>
          <w:color w:val="000000"/>
        </w:rPr>
        <w:t>]</w:t>
      </w:r>
      <w:r>
        <w:rPr>
          <w:color w:val="000000"/>
        </w:rPr>
        <w:t>；最后以</w:t>
      </w:r>
      <w:r>
        <w:rPr>
          <w:color w:val="000000"/>
        </w:rPr>
        <w:t>A2C/A3C</w:t>
      </w:r>
      <w:r>
        <w:rPr>
          <w:color w:val="000000"/>
        </w:rPr>
        <w:t>作为轻量对照，观察异步更新对复杂任务的收益与上限</w:t>
      </w:r>
      <w:r>
        <w:rPr>
          <w:color w:val="000000"/>
        </w:rPr>
        <w:t>[</w:t>
      </w:r>
      <w:r>
        <w:rPr>
          <w:color w:val="000000"/>
        </w:rPr>
        <w:t>11</w:t>
      </w:r>
      <w:r>
        <w:rPr>
          <w:color w:val="000000"/>
        </w:rPr>
        <w:t>]</w:t>
      </w:r>
      <w:r>
        <w:rPr>
          <w:color w:val="000000"/>
        </w:rPr>
        <w:t>。三者统一在同一“观测—动作—奖励”接口下做可复现实验（同一回放格式、同一日志结构、同一评测指标），确保横向对比公平。</w:t>
      </w:r>
    </w:p>
    <w:p>
      <w:pPr>
        <w:pStyle w:val="Normal"/>
        <w:spacing w:before="60" w:after="60"/>
        <w:ind w:firstLine="420"/>
        <w:rPr/>
      </w:pPr>
      <w:r>
        <w:rPr>
          <w:color w:val="000000"/>
        </w:rPr>
        <w:t>最后把智能体的动作拆成两层：上层做“任务</w:t>
      </w:r>
      <w:r>
        <w:rPr>
          <w:color w:val="000000"/>
        </w:rPr>
        <w:t>-</w:t>
      </w:r>
      <w:r>
        <w:rPr>
          <w:color w:val="000000"/>
        </w:rPr>
        <w:t>子目标</w:t>
      </w:r>
      <w:r>
        <w:rPr>
          <w:color w:val="000000"/>
        </w:rPr>
        <w:t>-</w:t>
      </w:r>
      <w:r>
        <w:rPr>
          <w:color w:val="000000"/>
        </w:rPr>
        <w:t>工具序列”的轻规划：先检索再代码执行，下层做单步工具参数与执行控制。这样既能保证任务全局性，又能细化每一步的可学习信号，方便奖励塑形与错误定位。</w:t>
      </w:r>
    </w:p>
    <w:p>
      <w:pPr>
        <w:pStyle w:val="Normal"/>
        <w:keepNext w:val="true"/>
        <w:spacing w:before="60" w:after="60"/>
        <w:ind w:hanging="0"/>
        <w:jc w:val="center"/>
        <w:rPr>
          <w:lang w:val="en-US" w:eastAsia="en-US"/>
        </w:rPr>
      </w:pPr>
      <w:r>
        <w:rPr>
          <w:lang w:val="en-US" w:eastAsia="en-US"/>
        </w:rPr>
        <w:drawing>
          <wp:inline distT="0" distB="0" distL="0" distR="0">
            <wp:extent cx="5899150" cy="136271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rcRect l="-3" t="-15" r="-3" b="-15"/>
                    <a:stretch>
                      <a:fillRect/>
                    </a:stretch>
                  </pic:blipFill>
                  <pic:spPr bwMode="auto">
                    <a:xfrm>
                      <a:off x="0" y="0"/>
                      <a:ext cx="5899150" cy="1362710"/>
                    </a:xfrm>
                    <a:prstGeom prst="rect">
                      <a:avLst/>
                    </a:prstGeom>
                  </pic:spPr>
                </pic:pic>
              </a:graphicData>
            </a:graphic>
          </wp:inline>
        </w:drawing>
      </w:r>
    </w:p>
    <w:p>
      <w:pPr>
        <w:pStyle w:val="Style28"/>
        <w:spacing w:before="60" w:after="60"/>
        <w:ind w:left="3780" w:hanging="0"/>
        <w:rPr>
          <w:rFonts w:ascii="Times New Roman" w:hAnsi="Times New Roman" w:cs="Times New Roman"/>
          <w:color w:val="000000"/>
        </w:rPr>
      </w:pPr>
      <w:r>
        <w:rPr>
          <w:rFonts w:ascii="Times New Roman" w:hAnsi="Times New Roman" w:cs="Times New Roman"/>
        </w:rPr>
        <w:t>图</w:t>
      </w:r>
      <w:r>
        <w:rPr>
          <w:rFonts w:ascii="Times New Roman" w:hAnsi="Times New Roman" w:cs="Times New Roman" w:eastAsia="Times New Roman"/>
        </w:rPr>
        <w:t xml:space="preserve">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：算法流程图</w:t>
      </w:r>
    </w:p>
    <w:p>
      <w:pPr>
        <w:pStyle w:val="Normal"/>
        <w:spacing w:before="60" w:after="60"/>
        <w:ind w:hanging="0"/>
        <w:rPr>
          <w:rFonts w:eastAsia="黑体;SimHei"/>
          <w:color w:val="000000"/>
        </w:rPr>
      </w:pPr>
      <w:r>
        <w:rPr>
          <w:rFonts w:eastAsia="黑体;SimHei"/>
          <w:color w:val="000000"/>
        </w:rPr>
        <w:t>3.2</w:t>
      </w:r>
      <w:r>
        <w:rPr>
          <w:rFonts w:eastAsia="黑体;SimHei"/>
          <w:color w:val="000000"/>
        </w:rPr>
        <w:t>系统构建</w:t>
      </w:r>
    </w:p>
    <w:p>
      <w:pPr>
        <w:pStyle w:val="Normal"/>
        <w:spacing w:before="60" w:after="60"/>
        <w:ind w:firstLine="480"/>
        <w:rPr/>
      </w:pPr>
      <w:r>
        <w:rPr>
          <w:color w:val="000000"/>
        </w:rPr>
        <w:t>这里的重点在于把</w:t>
      </w:r>
      <w:r>
        <w:rPr>
          <w:color w:val="000000"/>
        </w:rPr>
        <w:t>A1</w:t>
      </w:r>
      <w:r>
        <w:rPr>
          <w:color w:val="000000"/>
        </w:rPr>
        <w:t>（</w:t>
      </w:r>
      <w:r>
        <w:rPr>
          <w:color w:val="000000"/>
        </w:rPr>
        <w:t>Agent</w:t>
      </w:r>
      <w:r>
        <w:rPr>
          <w:color w:val="000000"/>
        </w:rPr>
        <w:t>）与</w:t>
      </w:r>
      <w:r>
        <w:rPr>
          <w:color w:val="000000"/>
        </w:rPr>
        <w:t>E1</w:t>
      </w:r>
      <w:r>
        <w:rPr>
          <w:color w:val="000000"/>
        </w:rPr>
        <w:t>（</w:t>
      </w:r>
      <w:r>
        <w:rPr>
          <w:color w:val="000000"/>
        </w:rPr>
        <w:t>Environment</w:t>
      </w:r>
      <w:r>
        <w:rPr>
          <w:color w:val="000000"/>
        </w:rPr>
        <w:t>）缝合好，让任何任务都能套同一套观测—动作—奖励—日志的通用接口。我将整个网页系统划分为三个部分：环境，智能体与评测。</w:t>
      </w:r>
    </w:p>
    <w:p>
      <w:pPr>
        <w:pStyle w:val="Normal"/>
        <w:spacing w:before="60" w:after="60"/>
        <w:ind w:firstLine="480"/>
        <w:rPr/>
      </w:pPr>
      <w:r>
        <w:rPr>
          <w:color w:val="000000"/>
        </w:rPr>
        <w:t>在环境侧，把文献检索、数据库查询、代码执行、数据可视化等工具适配成统一的“可声明工具”，每个工具都提供能力描述、参数模式、校验器与干跑（</w:t>
      </w:r>
      <w:r>
        <w:rPr>
          <w:color w:val="000000"/>
        </w:rPr>
        <w:t>dry-run</w:t>
      </w:r>
      <w:r>
        <w:rPr>
          <w:color w:val="000000"/>
        </w:rPr>
        <w:t>），并配速率限制与缓存层，降低外部依赖的偶发性。</w:t>
      </w:r>
    </w:p>
    <w:p>
      <w:pPr>
        <w:pStyle w:val="Normal"/>
        <w:spacing w:before="60" w:after="60"/>
        <w:ind w:firstLine="480"/>
        <w:rPr>
          <w:color w:val="000000"/>
        </w:rPr>
      </w:pPr>
      <w:r>
        <w:rPr>
          <w:color w:val="000000"/>
        </w:rPr>
        <w:t>在智能体侧，将策略、价值函数、回放缓冲、优势估计、学习率与</w:t>
      </w:r>
      <w:r>
        <w:rPr>
          <w:color w:val="000000"/>
        </w:rPr>
        <w:t>KL</w:t>
      </w:r>
      <w:r>
        <w:rPr>
          <w:color w:val="000000"/>
        </w:rPr>
        <w:t>调度器做成解耦组件，任何一次超参或结构变更都通过配置文件驱动，配合随机种子与</w:t>
      </w:r>
      <w:r>
        <w:rPr>
          <w:color w:val="000000"/>
        </w:rPr>
        <w:t>Docker</w:t>
      </w:r>
      <w:r>
        <w:rPr>
          <w:color w:val="000000"/>
        </w:rPr>
        <w:t>环境锁定，做到“改一处、知全局”。整条训练链路中，我会把每一步决策都记录成结构化轨迹（观测、动作、工具返回、奖励、日志），支持可视化回放与差分对比；关键节点（如奖励分解、优势曲线、熵与</w:t>
      </w:r>
      <w:r>
        <w:rPr>
          <w:color w:val="000000"/>
        </w:rPr>
        <w:t>KL</w:t>
      </w:r>
      <w:r>
        <w:rPr>
          <w:color w:val="000000"/>
        </w:rPr>
        <w:t>、各类失败码分布）都会落到监控面板上，便于快速定位训练不稳的来源。</w:t>
      </w:r>
    </w:p>
    <w:p>
      <w:pPr>
        <w:pStyle w:val="Normal"/>
        <w:spacing w:before="60" w:after="60"/>
        <w:ind w:firstLine="480"/>
        <w:rPr/>
      </w:pPr>
      <w:r>
        <w:rPr>
          <w:color w:val="000000"/>
        </w:rPr>
        <w:t>最后关于评测部分，它并不是“最后一步”，而是系统的一部分。我需要实现离线重放评测（同一任务、同一工具快照）和在线抽样评测（少量新题增量验证）两种模式，让策略的每一次更新都有即时、客观的体感指标。工程上需要补齐以下三个部分：配置与权重的版本化、任务与工具的详细清单、以及一键复现实验的可视化系统，让别人也能在我的机器之外把结果复出来。</w:t>
      </w:r>
    </w:p>
    <w:p>
      <w:pPr>
        <w:pStyle w:val="Normal"/>
        <w:keepNext w:val="true"/>
        <w:spacing w:before="60" w:after="60"/>
        <w:ind w:hanging="0"/>
        <w:jc w:val="center"/>
        <w:rPr>
          <w:lang w:val="en-US" w:eastAsia="en-US"/>
        </w:rPr>
      </w:pPr>
      <w:r>
        <w:rPr>
          <w:lang w:val="en-US" w:eastAsia="en-US"/>
        </w:rPr>
        <w:drawing>
          <wp:inline distT="0" distB="0" distL="0" distR="0">
            <wp:extent cx="5902325" cy="3712210"/>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rcRect l="-3" t="-5" r="-3" b="-5"/>
                    <a:stretch>
                      <a:fillRect/>
                    </a:stretch>
                  </pic:blipFill>
                  <pic:spPr bwMode="auto">
                    <a:xfrm>
                      <a:off x="0" y="0"/>
                      <a:ext cx="5902325" cy="3712210"/>
                    </a:xfrm>
                    <a:prstGeom prst="rect">
                      <a:avLst/>
                    </a:prstGeom>
                  </pic:spPr>
                </pic:pic>
              </a:graphicData>
            </a:graphic>
          </wp:inline>
        </w:drawing>
      </w:r>
    </w:p>
    <w:p>
      <w:pPr>
        <w:pStyle w:val="Style28"/>
        <w:spacing w:before="60" w:after="60"/>
        <w:ind w:left="3780" w:hanging="0"/>
        <w:rPr>
          <w:rFonts w:ascii="Times New Roman" w:hAnsi="Times New Roman" w:cs="Times New Roman"/>
          <w:color w:val="000000"/>
        </w:rPr>
      </w:pPr>
      <w:r>
        <w:rPr>
          <w:rFonts w:ascii="Times New Roman" w:hAnsi="Times New Roman" w:cs="Times New Roman"/>
        </w:rPr>
        <w:t>图</w:t>
      </w:r>
      <w:r>
        <w:rPr>
          <w:rFonts w:ascii="Times New Roman" w:hAnsi="Times New Roman" w:cs="Times New Roman" w:eastAsia="Times New Roman"/>
        </w:rPr>
        <w:t xml:space="preserve"> </w:t>
      </w:r>
      <w:r>
        <w:rPr>
          <w:rFonts w:ascii="Times New Roman" w:hAnsi="Times New Roman" w:cs="Times New Roman"/>
        </w:rPr>
        <w:fldChar w:fldCharType="begin"/>
      </w:r>
      <w:r>
        <w:rPr>
          <w:rFonts w:ascii="Times New Roman" w:hAnsi="Times New Roman" w:cs="Times New Roman"/>
        </w:rPr>
        <w:instrText xml:space="preserve"> SEQ 图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：系统架构图</w:t>
      </w:r>
    </w:p>
    <w:p>
      <w:pPr>
        <w:pStyle w:val="Normal"/>
        <w:spacing w:before="60" w:after="60"/>
        <w:ind w:hanging="0"/>
        <w:rPr/>
      </w:pPr>
      <w:bookmarkStart w:id="8" w:name="OLE_LINK3"/>
      <w:bookmarkEnd w:id="8"/>
      <w:r>
        <w:rPr>
          <w:rFonts w:eastAsia="黑体;SimHei"/>
          <w:color w:val="000000"/>
          <w:sz w:val="30"/>
          <w:szCs w:val="30"/>
        </w:rPr>
        <w:t>4</w:t>
      </w:r>
      <w:r>
        <w:rPr>
          <w:rFonts w:eastAsia="黑体;SimHei"/>
          <w:color w:val="000000"/>
          <w:sz w:val="30"/>
          <w:szCs w:val="30"/>
        </w:rPr>
        <w:t>．研究方案与技术路线</w:t>
      </w:r>
    </w:p>
    <w:p>
      <w:pPr>
        <w:pStyle w:val="Normal"/>
        <w:spacing w:before="60" w:after="60"/>
        <w:ind w:hanging="0"/>
        <w:rPr/>
      </w:pPr>
      <w:bookmarkStart w:id="9" w:name="OLE_LINK3"/>
      <w:bookmarkEnd w:id="9"/>
      <w:r>
        <w:rPr>
          <w:rFonts w:eastAsia="黑体;SimHei"/>
          <w:color w:val="000000"/>
        </w:rPr>
        <w:t>4.1</w:t>
      </w:r>
      <w:r>
        <w:rPr>
          <w:rFonts w:eastAsia="黑体;SimHei"/>
          <w:color w:val="000000"/>
        </w:rPr>
        <w:t>研究方案</w:t>
      </w:r>
    </w:p>
    <w:p>
      <w:pPr>
        <w:pStyle w:val="Normal"/>
        <w:spacing w:before="60" w:after="60"/>
        <w:ind w:firstLine="480"/>
        <w:rPr/>
      </w:pPr>
      <w:r>
        <w:rPr>
          <w:color w:val="000000"/>
        </w:rPr>
        <w:t>首</w:t>
      </w:r>
      <w:r>
        <w:rPr>
          <w:color w:val="000000"/>
        </w:rPr>
        <w:t>先明确目标：基于</w:t>
      </w:r>
      <w:r>
        <w:rPr>
          <w:rFonts w:eastAsia="Times New Roman"/>
          <w:color w:val="000000"/>
        </w:rPr>
        <w:t xml:space="preserve"> </w:t>
      </w:r>
      <w:r>
        <w:rPr>
          <w:color w:val="000000"/>
        </w:rPr>
        <w:t xml:space="preserve">Biomni </w:t>
      </w:r>
      <w:r>
        <w:rPr>
          <w:color w:val="000000"/>
        </w:rPr>
        <w:t>开源框架，复现并优化</w:t>
      </w:r>
      <w:r>
        <w:rPr>
          <w:rFonts w:eastAsia="Times New Roman"/>
          <w:color w:val="000000"/>
        </w:rPr>
        <w:t xml:space="preserve"> </w:t>
      </w:r>
      <w:r>
        <w:rPr>
          <w:color w:val="000000"/>
        </w:rPr>
        <w:t xml:space="preserve">Biomni-R0 </w:t>
      </w:r>
      <w:r>
        <w:rPr>
          <w:color w:val="000000"/>
        </w:rPr>
        <w:t>的端到端智能体，使其在“检索—规划—工具调用—代码执行—证据引用—答案生成”的链路上形成稳定可复用的闭环，并将其应用到所设计的系统中去。</w:t>
      </w:r>
    </w:p>
    <w:p>
      <w:pPr>
        <w:pStyle w:val="Normal"/>
        <w:spacing w:before="60" w:after="60"/>
        <w:ind w:firstLine="480"/>
        <w:rPr/>
      </w:pPr>
      <w:r>
        <w:rPr>
          <w:color w:val="000000"/>
        </w:rPr>
        <w:t>根据这一目标，这里以“小而全”的最小可用系统（</w:t>
      </w:r>
      <w:r>
        <w:rPr>
          <w:color w:val="000000"/>
        </w:rPr>
        <w:t>MVS</w:t>
      </w:r>
      <w:r>
        <w:rPr>
          <w:color w:val="000000"/>
        </w:rPr>
        <w:t>）为</w:t>
      </w:r>
      <w:r>
        <w:rPr>
          <w:color w:val="000000"/>
        </w:rPr>
        <w:t>基础</w:t>
      </w:r>
      <w:r>
        <w:rPr>
          <w:color w:val="000000"/>
        </w:rPr>
        <w:t>，先保证流程跑通，再稳步提升质量与鲁棒性。任务集精选三类代表场景作为训练与评测主干：</w:t>
      </w:r>
      <w:r>
        <w:rPr>
          <w:rFonts w:ascii="Cambria Math" w:hAnsi="Cambria Math" w:cs="Cambria Math"/>
          <w:color w:val="000000"/>
        </w:rPr>
        <w:t>①</w:t>
      </w:r>
      <w:r>
        <w:rPr>
          <w:color w:val="000000"/>
        </w:rPr>
        <w:t>文献综述与证据聚合；</w:t>
      </w:r>
      <w:r>
        <w:rPr>
          <w:rFonts w:ascii="Cambria Math" w:hAnsi="Cambria Math" w:cs="Cambria Math"/>
          <w:color w:val="000000"/>
        </w:rPr>
        <w:t>②</w:t>
      </w:r>
      <w:r>
        <w:rPr>
          <w:color w:val="000000"/>
        </w:rPr>
        <w:t>组学分析的可执行代码任务；</w:t>
      </w:r>
      <w:r>
        <w:rPr>
          <w:rFonts w:ascii="Cambria Math" w:hAnsi="Cambria Math" w:cs="Cambria Math"/>
          <w:color w:val="000000"/>
        </w:rPr>
        <w:t>③</w:t>
      </w:r>
      <w:r>
        <w:rPr>
          <w:color w:val="000000"/>
        </w:rPr>
        <w:t>实验设计与参数选型（可操作且可自检）。</w:t>
      </w:r>
    </w:p>
    <w:p>
      <w:pPr>
        <w:pStyle w:val="Normal"/>
        <w:spacing w:before="60" w:after="60"/>
        <w:ind w:firstLine="480"/>
        <w:rPr/>
      </w:pPr>
      <w:r>
        <w:rPr>
          <w:color w:val="000000"/>
        </w:rPr>
        <w:t>确定好任务集后，再来制定训练方式。这里采用“两段式”：第一段，先做监督预训练（</w:t>
      </w:r>
      <w:r>
        <w:rPr>
          <w:color w:val="000000"/>
        </w:rPr>
        <w:t>SFT</w:t>
      </w:r>
      <w:r>
        <w:rPr>
          <w:color w:val="000000"/>
        </w:rPr>
        <w:t>），用官方示例与自建高质量任务集让模型学会正确调用工具与表达清晰；第二段进入强化学习微调（</w:t>
      </w:r>
      <w:r>
        <w:rPr>
          <w:color w:val="000000"/>
        </w:rPr>
        <w:t>RLFT</w:t>
      </w:r>
      <w:r>
        <w:rPr>
          <w:color w:val="000000"/>
        </w:rPr>
        <w:t>）</w:t>
      </w:r>
      <w:r>
        <w:rPr>
          <w:color w:val="000000"/>
        </w:rPr>
        <w:t>[1</w:t>
      </w:r>
      <w:r>
        <w:rPr>
          <w:color w:val="000000"/>
        </w:rPr>
        <w:t>2</w:t>
      </w:r>
      <w:r>
        <w:rPr>
          <w:color w:val="000000"/>
        </w:rPr>
        <w:t>]</w:t>
      </w:r>
      <w:r>
        <w:rPr>
          <w:color w:val="000000"/>
        </w:rPr>
        <w:t>：在线以</w:t>
      </w:r>
      <w:r>
        <w:rPr>
          <w:rFonts w:eastAsia="Times New Roman"/>
          <w:color w:val="000000"/>
        </w:rPr>
        <w:t xml:space="preserve"> </w:t>
      </w:r>
      <w:r>
        <w:rPr>
          <w:color w:val="000000"/>
        </w:rPr>
        <w:t xml:space="preserve">PPO </w:t>
      </w:r>
      <w:r>
        <w:rPr>
          <w:color w:val="000000"/>
        </w:rPr>
        <w:t>为主、离线</w:t>
      </w:r>
      <w:r>
        <w:rPr>
          <w:color w:val="000000"/>
        </w:rPr>
        <w:t>/</w:t>
      </w:r>
      <w:r>
        <w:rPr>
          <w:color w:val="000000"/>
        </w:rPr>
        <w:t>混合引入</w:t>
      </w:r>
      <w:r>
        <w:rPr>
          <w:rFonts w:eastAsia="Times New Roman"/>
          <w:color w:val="000000"/>
        </w:rPr>
        <w:t xml:space="preserve"> </w:t>
      </w:r>
      <w:r>
        <w:rPr>
          <w:color w:val="000000"/>
        </w:rPr>
        <w:t>SAC</w:t>
      </w:r>
      <w:r>
        <w:rPr>
          <w:color w:val="000000"/>
        </w:rPr>
        <w:t>，统一轨迹与日志格式便于横评。</w:t>
      </w:r>
    </w:p>
    <w:p>
      <w:pPr>
        <w:pStyle w:val="Normal"/>
        <w:spacing w:before="60" w:after="60"/>
        <w:ind w:firstLine="480"/>
        <w:rPr>
          <w:color w:val="000000"/>
        </w:rPr>
      </w:pPr>
      <w:bookmarkStart w:id="10" w:name="OLE_LINK5"/>
      <w:r>
        <w:rPr>
          <w:color w:val="000000"/>
        </w:rPr>
        <w:t>关于奖励信号，一共由两部分构成：完成度与过程质量。其中完成度包括但不限于任务判别器的</w:t>
      </w:r>
      <w:r>
        <w:rPr>
          <w:rFonts w:eastAsia="Times New Roman"/>
          <w:color w:val="000000"/>
        </w:rPr>
        <w:t xml:space="preserve"> </w:t>
      </w:r>
      <w:r>
        <w:rPr>
          <w:color w:val="000000"/>
        </w:rPr>
        <w:t xml:space="preserve">exact/partial </w:t>
      </w:r>
      <w:r>
        <w:rPr>
          <w:color w:val="000000"/>
        </w:rPr>
        <w:t>分数，工具成功率与重试惩罚，代码最小单元测试通过率，证据引用匹配（</w:t>
      </w:r>
      <w:r>
        <w:rPr>
          <w:color w:val="000000"/>
        </w:rPr>
        <w:t>DOI/PMID/</w:t>
      </w:r>
      <w:r>
        <w:rPr>
          <w:color w:val="000000"/>
        </w:rPr>
        <w:t>段落哈希），时延与成本正则，以及越权</w:t>
      </w:r>
      <w:r>
        <w:rPr>
          <w:color w:val="000000"/>
        </w:rPr>
        <w:t>/</w:t>
      </w:r>
      <w:r>
        <w:rPr>
          <w:color w:val="000000"/>
        </w:rPr>
        <w:t>危险操作的强惩罚；过程质量包括按步累积、收尾加终止奖励，并做归一化与</w:t>
      </w:r>
      <w:r>
        <w:rPr>
          <w:rFonts w:eastAsia="Times New Roman"/>
          <w:color w:val="000000"/>
        </w:rPr>
        <w:t xml:space="preserve"> </w:t>
      </w:r>
      <w:r>
        <w:rPr>
          <w:color w:val="000000"/>
        </w:rPr>
        <w:t>clipping</w:t>
      </w:r>
      <w:r>
        <w:rPr>
          <w:color w:val="000000"/>
        </w:rPr>
        <w:t>。</w:t>
      </w:r>
      <w:bookmarkEnd w:id="10"/>
    </w:p>
    <w:p>
      <w:pPr>
        <w:pStyle w:val="Normal"/>
        <w:spacing w:before="60" w:after="60"/>
        <w:ind w:firstLine="480"/>
        <w:rPr>
          <w:color w:val="000000"/>
        </w:rPr>
      </w:pPr>
      <w:r>
        <w:rPr>
          <w:color w:val="000000"/>
        </w:rPr>
        <w:t>为降低探索难度，这里采用课程学习</w:t>
      </w:r>
      <w:r>
        <w:rPr>
          <w:color w:val="000000"/>
        </w:rPr>
        <w:t>[1</w:t>
      </w:r>
      <w:r>
        <w:rPr>
          <w:color w:val="000000"/>
        </w:rPr>
        <w:t>3</w:t>
      </w:r>
      <w:r>
        <w:rPr>
          <w:color w:val="000000"/>
        </w:rPr>
        <w:t>]</w:t>
      </w:r>
      <w:r>
        <w:rPr>
          <w:color w:val="000000"/>
        </w:rPr>
        <w:t>：对失败轨迹回灌与保守更新，采样端做温度退火与</w:t>
      </w:r>
      <w:r>
        <w:rPr>
          <w:rFonts w:eastAsia="Times New Roman"/>
          <w:color w:val="000000"/>
        </w:rPr>
        <w:t xml:space="preserve"> </w:t>
      </w:r>
      <w:r>
        <w:rPr>
          <w:color w:val="000000"/>
        </w:rPr>
        <w:t xml:space="preserve">top-k </w:t>
      </w:r>
      <w:r>
        <w:rPr>
          <w:color w:val="000000"/>
        </w:rPr>
        <w:t>控制。评测、消融与训练并行推进；逐项消融奖励子项、移除</w:t>
      </w:r>
      <w:r>
        <w:rPr>
          <w:rFonts w:eastAsia="Times New Roman"/>
          <w:color w:val="000000"/>
        </w:rPr>
        <w:t xml:space="preserve"> </w:t>
      </w:r>
      <w:r>
        <w:rPr>
          <w:color w:val="000000"/>
        </w:rPr>
        <w:t>planner</w:t>
      </w:r>
      <w:r>
        <w:rPr>
          <w:color w:val="000000"/>
        </w:rPr>
        <w:t>、以</w:t>
      </w:r>
      <w:r>
        <w:rPr>
          <w:rFonts w:eastAsia="Times New Roman"/>
          <w:color w:val="000000"/>
        </w:rPr>
        <w:t xml:space="preserve"> </w:t>
      </w:r>
      <w:r>
        <w:rPr>
          <w:color w:val="000000"/>
        </w:rPr>
        <w:t xml:space="preserve">SFT </w:t>
      </w:r>
      <w:r>
        <w:rPr>
          <w:color w:val="000000"/>
        </w:rPr>
        <w:t>替代</w:t>
      </w:r>
      <w:r>
        <w:rPr>
          <w:rFonts w:eastAsia="Times New Roman"/>
          <w:color w:val="000000"/>
        </w:rPr>
        <w:t xml:space="preserve"> </w:t>
      </w:r>
      <w:r>
        <w:rPr>
          <w:color w:val="000000"/>
        </w:rPr>
        <w:t xml:space="preserve">RL </w:t>
      </w:r>
      <w:r>
        <w:rPr>
          <w:color w:val="000000"/>
        </w:rPr>
        <w:t>等，确保结论可解释、可复现。最终交付包括：可回放决策轨迹、稳定的训练曲线与对照实验、以及带前端可视化与安全闸门的最小服务化封装。</w:t>
      </w:r>
    </w:p>
    <w:p>
      <w:pPr>
        <w:pStyle w:val="Normal"/>
        <w:spacing w:before="60" w:after="60"/>
        <w:ind w:hanging="0"/>
        <w:rPr>
          <w:rFonts w:eastAsia="黑体;SimHei"/>
          <w:color w:val="000000"/>
        </w:rPr>
      </w:pPr>
      <w:r>
        <w:rPr>
          <w:rFonts w:eastAsia="黑体;SimHei"/>
          <w:color w:val="000000"/>
        </w:rPr>
        <w:t>4.2</w:t>
      </w:r>
      <w:r>
        <w:rPr>
          <w:rFonts w:eastAsia="黑体;SimHei"/>
          <w:color w:val="000000"/>
        </w:rPr>
        <w:t>技术路线</w:t>
      </w:r>
    </w:p>
    <w:p>
      <w:pPr>
        <w:pStyle w:val="Normal"/>
        <w:spacing w:before="60" w:after="60"/>
        <w:ind w:firstLine="480"/>
        <w:rPr>
          <w:color w:val="000000"/>
        </w:rPr>
      </w:pPr>
      <w:r>
        <w:rPr>
          <w:color w:val="000000"/>
        </w:rPr>
        <w:t>系统按“任务与环境层—智能体层—训练与评测层”组织，彼此解耦、接口清晰，便于复现与扩展。</w:t>
      </w:r>
    </w:p>
    <w:p>
      <w:pPr>
        <w:pStyle w:val="Normal"/>
        <w:spacing w:before="60" w:after="60"/>
        <w:ind w:hanging="0"/>
        <w:rPr/>
      </w:pPr>
      <w:r>
        <w:rPr>
          <w:rFonts w:eastAsia="黑体;SimHei"/>
          <w:color w:val="000000"/>
        </w:rPr>
        <w:t>4.2.1</w:t>
      </w:r>
      <w:r>
        <w:rPr>
          <w:rFonts w:eastAsia="黑体;SimHei"/>
          <w:color w:val="000000"/>
        </w:rPr>
        <w:t>任务与环境层</w:t>
      </w:r>
    </w:p>
    <w:p>
      <w:pPr>
        <w:pStyle w:val="Normal"/>
        <w:spacing w:before="60" w:after="60"/>
        <w:ind w:firstLine="480"/>
        <w:rPr/>
      </w:pPr>
      <w:r>
        <w:rPr>
          <w:color w:val="000000"/>
        </w:rPr>
        <w:t>三类核心任务共用一套观测与动作定义；检索、代码执行、表格</w:t>
      </w:r>
      <w:r>
        <w:rPr>
          <w:color w:val="000000"/>
        </w:rPr>
        <w:t>/</w:t>
      </w:r>
      <w:r>
        <w:rPr>
          <w:color w:val="000000"/>
        </w:rPr>
        <w:t>图表解析等工具通过统一适配器接入，默认</w:t>
      </w:r>
      <w:r>
        <w:rPr>
          <w:rFonts w:eastAsia="Times New Roman"/>
          <w:color w:val="000000"/>
        </w:rPr>
        <w:t xml:space="preserve"> </w:t>
      </w:r>
      <w:r>
        <w:rPr>
          <w:color w:val="000000"/>
        </w:rPr>
        <w:t xml:space="preserve">dry-run </w:t>
      </w:r>
      <w:r>
        <w:rPr>
          <w:color w:val="000000"/>
        </w:rPr>
        <w:t>与输入校验；外部请求与结果缓存到本地快照，方便复现实验和离线调试；代码执行</w:t>
      </w:r>
      <w:r>
        <w:rPr>
          <w:color w:val="000000"/>
        </w:rPr>
        <w:t>进行安全检查</w:t>
      </w:r>
      <w:r>
        <w:rPr>
          <w:color w:val="000000"/>
        </w:rPr>
        <w:t>，默认无网络、禁写本地文件，必要时提供最小测试工具。</w:t>
      </w:r>
    </w:p>
    <w:p>
      <w:pPr>
        <w:pStyle w:val="Normal"/>
        <w:spacing w:before="60" w:after="60"/>
        <w:ind w:hanging="0"/>
        <w:rPr/>
      </w:pPr>
      <w:r>
        <w:rPr>
          <w:rFonts w:eastAsia="黑体;SimHei"/>
          <w:color w:val="000000"/>
        </w:rPr>
        <w:t>4.2.2</w:t>
      </w:r>
      <w:r>
        <w:rPr>
          <w:rFonts w:eastAsia="黑体;SimHei"/>
          <w:color w:val="000000"/>
        </w:rPr>
        <w:t>智能体层</w:t>
      </w:r>
    </w:p>
    <w:p>
      <w:pPr>
        <w:pStyle w:val="Normal"/>
        <w:spacing w:before="60" w:after="60"/>
        <w:ind w:firstLine="480"/>
        <w:rPr>
          <w:color w:val="000000"/>
        </w:rPr>
      </w:pPr>
      <w:r>
        <w:rPr>
          <w:color w:val="000000"/>
        </w:rPr>
        <w:t>采用“规划（</w:t>
      </w:r>
      <w:r>
        <w:rPr>
          <w:color w:val="000000"/>
        </w:rPr>
        <w:t>Planner</w:t>
      </w:r>
      <w:r>
        <w:rPr>
          <w:color w:val="000000"/>
        </w:rPr>
        <w:t>）—执行（</w:t>
      </w:r>
      <w:r>
        <w:rPr>
          <w:color w:val="000000"/>
        </w:rPr>
        <w:t>Executor</w:t>
      </w:r>
      <w:r>
        <w:rPr>
          <w:color w:val="000000"/>
        </w:rPr>
        <w:t>）—记忆（</w:t>
      </w:r>
      <w:r>
        <w:rPr>
          <w:color w:val="000000"/>
        </w:rPr>
        <w:t>Memory</w:t>
      </w:r>
      <w:r>
        <w:rPr>
          <w:color w:val="000000"/>
        </w:rPr>
        <w:t>）”的轻量结构。规划器负责把任务拆成可执行的步骤与工具序列；执行器对接具体工具与代码沙箱，并把结果结构化回传；记忆模块维护短期工作记忆与证据缓冲，控制上下文长度与引用可追溯。为简化训练，先用单一策略网络，后续再按需要拆分“工具选择器”和“内容生成器”的</w:t>
      </w:r>
      <w:r>
        <w:rPr>
          <w:rFonts w:eastAsia="Times New Roman"/>
          <w:color w:val="000000"/>
        </w:rPr>
        <w:t xml:space="preserve"> </w:t>
      </w:r>
      <w:r>
        <w:rPr>
          <w:color w:val="000000"/>
        </w:rPr>
        <w:t>actor-critic</w:t>
      </w:r>
      <w:r>
        <w:rPr>
          <w:color w:val="000000"/>
        </w:rPr>
        <w:t>。</w:t>
      </w:r>
    </w:p>
    <w:p>
      <w:pPr>
        <w:pStyle w:val="Normal"/>
        <w:spacing w:before="60" w:after="60"/>
        <w:ind w:hanging="0"/>
        <w:rPr/>
      </w:pPr>
      <w:r>
        <w:rPr>
          <w:rFonts w:eastAsia="黑体;SimHei"/>
          <w:color w:val="000000"/>
        </w:rPr>
        <w:t>4.2.3</w:t>
      </w:r>
      <w:r>
        <w:rPr>
          <w:rFonts w:eastAsia="黑体;SimHei"/>
          <w:color w:val="000000"/>
        </w:rPr>
        <w:t>训练与评测层</w:t>
      </w:r>
    </w:p>
    <w:p>
      <w:pPr>
        <w:pStyle w:val="Normal"/>
        <w:spacing w:before="60" w:after="60"/>
        <w:ind w:firstLine="480"/>
        <w:rPr/>
      </w:pPr>
      <w:r>
        <w:rPr>
          <w:color w:val="000000"/>
        </w:rPr>
        <w:t>配置与超参全部写入</w:t>
      </w:r>
      <w:r>
        <w:rPr>
          <w:rFonts w:eastAsia="Times New Roman"/>
          <w:color w:val="000000"/>
        </w:rPr>
        <w:t xml:space="preserve"> </w:t>
      </w:r>
      <w:r>
        <w:rPr>
          <w:color w:val="000000"/>
        </w:rPr>
        <w:t>YAML</w:t>
      </w:r>
      <w:r>
        <w:rPr>
          <w:color w:val="000000"/>
        </w:rPr>
        <w:t>，容器化锁定</w:t>
      </w:r>
      <w:r>
        <w:rPr>
          <w:rFonts w:eastAsia="Times New Roman"/>
          <w:color w:val="000000"/>
        </w:rPr>
        <w:t xml:space="preserve"> </w:t>
      </w:r>
      <w:r>
        <w:rPr>
          <w:color w:val="000000"/>
        </w:rPr>
        <w:t>CUDA/cuDNN/</w:t>
      </w:r>
      <w:r>
        <w:rPr>
          <w:color w:val="000000"/>
        </w:rPr>
        <w:t>依赖版本，随机种子贯穿数据加载与采样；日志面板统一展示奖励分解、成功率、重试率、优势</w:t>
      </w:r>
      <w:r>
        <w:rPr>
          <w:color w:val="000000"/>
        </w:rPr>
        <w:t>/</w:t>
      </w:r>
      <w:r>
        <w:rPr>
          <w:color w:val="000000"/>
        </w:rPr>
        <w:t>熵</w:t>
      </w:r>
      <w:r>
        <w:rPr>
          <w:color w:val="000000"/>
        </w:rPr>
        <w:t>/KL</w:t>
      </w:r>
      <w:r>
        <w:rPr>
          <w:color w:val="000000"/>
        </w:rPr>
        <w:t>、失败码分布等关键曲线。</w:t>
      </w:r>
      <w:r>
        <w:rPr>
          <w:color w:val="000000"/>
        </w:rPr>
        <w:t xml:space="preserve">SFT </w:t>
      </w:r>
      <w:r>
        <w:rPr>
          <w:color w:val="000000"/>
        </w:rPr>
        <w:t>支持</w:t>
      </w:r>
      <w:r>
        <w:rPr>
          <w:rFonts w:eastAsia="Times New Roman"/>
          <w:color w:val="000000"/>
        </w:rPr>
        <w:t xml:space="preserve"> </w:t>
      </w:r>
      <w:r>
        <w:rPr>
          <w:color w:val="000000"/>
        </w:rPr>
        <w:t xml:space="preserve">LoRA/QLoRA </w:t>
      </w:r>
      <w:r>
        <w:rPr>
          <w:color w:val="000000"/>
        </w:rPr>
        <w:t>与混合精度</w:t>
      </w:r>
      <w:r>
        <w:rPr>
          <w:color w:val="000000"/>
        </w:rPr>
        <w:t>[1</w:t>
      </w:r>
      <w:r>
        <w:rPr>
          <w:color w:val="000000"/>
        </w:rPr>
        <w:t>4</w:t>
      </w:r>
      <w:r>
        <w:rPr>
          <w:color w:val="000000"/>
        </w:rPr>
        <w:t>,1</w:t>
      </w:r>
      <w:r>
        <w:rPr>
          <w:color w:val="000000"/>
        </w:rPr>
        <w:t>5</w:t>
      </w:r>
      <w:r>
        <w:rPr>
          <w:color w:val="000000"/>
        </w:rPr>
        <w:t>]</w:t>
      </w:r>
      <w:r>
        <w:rPr>
          <w:color w:val="000000"/>
        </w:rPr>
        <w:t>；</w:t>
      </w:r>
      <w:r>
        <w:rPr>
          <w:color w:val="000000"/>
        </w:rPr>
        <w:t xml:space="preserve">RL </w:t>
      </w:r>
      <w:r>
        <w:rPr>
          <w:color w:val="000000"/>
        </w:rPr>
        <w:t>集成</w:t>
      </w:r>
      <w:r>
        <w:rPr>
          <w:rFonts w:eastAsia="Times New Roman"/>
          <w:color w:val="000000"/>
        </w:rPr>
        <w:t xml:space="preserve"> </w:t>
      </w:r>
      <w:r>
        <w:rPr>
          <w:color w:val="000000"/>
        </w:rPr>
        <w:t xml:space="preserve">PPO </w:t>
      </w:r>
      <w:r>
        <w:rPr>
          <w:color w:val="000000"/>
        </w:rPr>
        <w:t>与</w:t>
      </w:r>
      <w:r>
        <w:rPr>
          <w:rFonts w:eastAsia="Times New Roman"/>
          <w:color w:val="000000"/>
        </w:rPr>
        <w:t xml:space="preserve"> </w:t>
      </w:r>
      <w:r>
        <w:rPr>
          <w:color w:val="000000"/>
        </w:rPr>
        <w:t>SAC</w:t>
      </w:r>
      <w:r>
        <w:rPr>
          <w:color w:val="000000"/>
        </w:rPr>
        <w:t>，共享回放缓冲与数据校验；评测时固定数据版本与工具白名单，保证不同时间点重跑结果一致；消融开关一键化，便于展示与论文复现。</w:t>
      </w:r>
    </w:p>
    <w:p>
      <w:pPr>
        <w:pStyle w:val="Normal"/>
        <w:spacing w:before="60" w:after="60"/>
        <w:ind w:firstLine="480"/>
        <w:rPr>
          <w:color w:val="000000"/>
        </w:rPr>
      </w:pPr>
      <w:r>
        <w:rPr>
          <w:color w:val="000000"/>
        </w:rPr>
        <w:t>最后的系统流程如下：输入任务定义，输出“答案</w:t>
      </w:r>
      <w:r>
        <w:rPr>
          <w:rFonts w:eastAsia="Times New Roman"/>
          <w:color w:val="000000"/>
        </w:rPr>
        <w:t xml:space="preserve"> </w:t>
      </w:r>
      <w:r>
        <w:rPr>
          <w:color w:val="000000"/>
        </w:rPr>
        <w:t xml:space="preserve">+ </w:t>
      </w:r>
      <w:r>
        <w:rPr>
          <w:color w:val="000000"/>
        </w:rPr>
        <w:t>步骤级可视化轨迹</w:t>
      </w:r>
      <w:r>
        <w:rPr>
          <w:rFonts w:eastAsia="Times New Roman"/>
          <w:color w:val="000000"/>
        </w:rPr>
        <w:t xml:space="preserve"> </w:t>
      </w:r>
      <w:r>
        <w:rPr>
          <w:color w:val="000000"/>
        </w:rPr>
        <w:t xml:space="preserve">+ </w:t>
      </w:r>
      <w:r>
        <w:rPr>
          <w:color w:val="000000"/>
        </w:rPr>
        <w:t>证据清单”。前端只做三件事：展示最终答案、逐步展开每次工具调用的输入输出、提供失败复盘与一键重跑。安全检查包括检索域名白名单与速率限制、沙箱权限最小化、调用审计与脱敏日志。</w:t>
      </w:r>
    </w:p>
    <w:p>
      <w:pPr>
        <w:pStyle w:val="Normal"/>
        <w:spacing w:before="60" w:after="60"/>
        <w:ind w:hanging="0"/>
        <w:rPr>
          <w:rFonts w:eastAsia="黑体;SimHei"/>
          <w:color w:val="000000"/>
          <w:sz w:val="28"/>
          <w:szCs w:val="28"/>
        </w:rPr>
      </w:pPr>
      <w:r>
        <w:rPr>
          <w:rFonts w:eastAsia="黑体;SimHei"/>
          <w:color w:val="000000"/>
          <w:sz w:val="28"/>
          <w:szCs w:val="28"/>
        </w:rPr>
        <w:t>5</w:t>
      </w:r>
      <w:r>
        <w:rPr>
          <w:rFonts w:eastAsia="黑体;SimHei"/>
          <w:color w:val="000000"/>
          <w:sz w:val="28"/>
          <w:szCs w:val="28"/>
        </w:rPr>
        <w:t>．进度安排与预期目标</w:t>
      </w:r>
    </w:p>
    <w:p>
      <w:pPr>
        <w:pStyle w:val="Normal"/>
        <w:spacing w:before="60" w:after="60"/>
        <w:ind w:hanging="0"/>
        <w:rPr>
          <w:rFonts w:eastAsia="黑体;SimHei"/>
          <w:color w:val="000000"/>
        </w:rPr>
      </w:pPr>
      <w:r>
        <w:rPr>
          <w:rFonts w:eastAsia="黑体;SimHei"/>
          <w:color w:val="000000"/>
        </w:rPr>
        <w:t>5.1</w:t>
      </w:r>
      <w:r>
        <w:rPr>
          <w:rFonts w:eastAsia="黑体;SimHei"/>
          <w:color w:val="000000"/>
        </w:rPr>
        <w:t>进度安排</w:t>
      </w:r>
    </w:p>
    <w:p>
      <w:pPr>
        <w:pStyle w:val="Normal"/>
        <w:spacing w:before="60" w:after="60"/>
        <w:ind w:hanging="0"/>
        <w:rPr>
          <w:color w:val="000000"/>
        </w:rPr>
      </w:pPr>
      <w:r>
        <w:rPr>
          <w:color w:val="000000"/>
        </w:rPr>
        <w:t>具体进度安排见下表：</w:t>
      </w:r>
    </w:p>
    <w:p>
      <w:pPr>
        <w:pStyle w:val="Style28"/>
        <w:keepNext w:val="true"/>
        <w:spacing w:before="60" w:after="60"/>
        <w:ind w:hanging="0"/>
        <w:jc w:val="center"/>
        <w:rPr/>
      </w:pPr>
      <w:r>
        <w:rPr/>
        <w:t>表</w:t>
      </w:r>
      <w:r>
        <w:rPr>
          <w:rFonts w:eastAsia="Arial"/>
        </w:rPr>
        <w:t xml:space="preserve"> </w:t>
      </w:r>
      <w:r>
        <w:rPr/>
        <w:fldChar w:fldCharType="begin"/>
      </w:r>
      <w:r>
        <w:rPr/>
        <w:instrText xml:space="preserve"> SEQ 表 \* ARABIC </w:instrText>
      </w:r>
      <w:r>
        <w:rPr/>
        <w:fldChar w:fldCharType="separate"/>
      </w:r>
      <w:r>
        <w:rPr/>
        <w:t>1</w:t>
      </w:r>
      <w:r>
        <w:rPr/>
        <w:fldChar w:fldCharType="end"/>
      </w:r>
      <w:r>
        <w:rPr/>
        <w:t>:</w:t>
      </w:r>
      <w:r>
        <w:rPr/>
        <w:t>进度安排表</w:t>
      </w:r>
    </w:p>
    <w:tbl>
      <w:tblPr>
        <w:tblW w:w="9514" w:type="dxa"/>
        <w:jc w:val="left"/>
        <w:tblInd w:w="-108" w:type="dxa"/>
        <w:tblLayout w:type="fixed"/>
        <w:tblCellMar>
          <w:top w:w="0" w:type="dxa"/>
          <w:left w:w="108" w:type="dxa"/>
          <w:bottom w:w="0" w:type="dxa"/>
          <w:right w:w="108" w:type="dxa"/>
        </w:tblCellMar>
      </w:tblPr>
      <w:tblGrid>
        <w:gridCol w:w="4757"/>
        <w:gridCol w:w="4757"/>
      </w:tblGrid>
      <w:tr>
        <w:trPr/>
        <w:tc>
          <w:tcPr>
            <w:tcW w:w="4757" w:type="dxa"/>
            <w:tcBorders>
              <w:top w:val="single" w:sz="12" w:space="0" w:color="000000"/>
              <w:bottom w:val="single" w:sz="6" w:space="0" w:color="000000"/>
            </w:tcBorders>
          </w:tcPr>
          <w:p>
            <w:pPr>
              <w:pStyle w:val="Normal"/>
              <w:spacing w:before="60" w:after="60"/>
              <w:ind w:hanging="0"/>
              <w:jc w:val="center"/>
              <w:rPr>
                <w:color w:val="000000"/>
              </w:rPr>
            </w:pPr>
            <w:r>
              <w:rPr>
                <w:color w:val="000000"/>
              </w:rPr>
              <w:t>时间</w:t>
            </w:r>
          </w:p>
        </w:tc>
        <w:tc>
          <w:tcPr>
            <w:tcW w:w="4757" w:type="dxa"/>
            <w:tcBorders>
              <w:top w:val="single" w:sz="12" w:space="0" w:color="000000"/>
              <w:bottom w:val="single" w:sz="6" w:space="0" w:color="000000"/>
            </w:tcBorders>
          </w:tcPr>
          <w:p>
            <w:pPr>
              <w:pStyle w:val="Normal"/>
              <w:spacing w:before="60" w:after="60"/>
              <w:ind w:hanging="0"/>
              <w:jc w:val="center"/>
              <w:rPr>
                <w:color w:val="000000"/>
              </w:rPr>
            </w:pPr>
            <w:r>
              <w:rPr>
                <w:color w:val="000000"/>
              </w:rPr>
              <w:t>需要完成的任务</w:t>
            </w:r>
          </w:p>
        </w:tc>
      </w:tr>
      <w:tr>
        <w:trPr/>
        <w:tc>
          <w:tcPr>
            <w:tcW w:w="4757" w:type="dxa"/>
            <w:tcBorders>
              <w:top w:val="single" w:sz="6" w:space="0" w:color="000000"/>
            </w:tcBorders>
          </w:tcPr>
          <w:p>
            <w:pPr>
              <w:pStyle w:val="Normal"/>
              <w:spacing w:before="60" w:after="60"/>
              <w:ind w:hanging="0"/>
              <w:jc w:val="center"/>
              <w:rPr>
                <w:color w:val="000000"/>
              </w:rPr>
            </w:pPr>
            <w:r>
              <w:rPr>
                <w:color w:val="000000"/>
              </w:rPr>
              <w:t>2025.11—2025.12</w:t>
            </w:r>
          </w:p>
        </w:tc>
        <w:tc>
          <w:tcPr>
            <w:tcW w:w="4757" w:type="dxa"/>
            <w:tcBorders>
              <w:top w:val="single" w:sz="6" w:space="0" w:color="000000"/>
            </w:tcBorders>
          </w:tcPr>
          <w:p>
            <w:pPr>
              <w:pStyle w:val="Normal"/>
              <w:spacing w:before="60" w:after="60"/>
              <w:ind w:hanging="0"/>
              <w:jc w:val="center"/>
              <w:rPr>
                <w:color w:val="000000"/>
              </w:rPr>
            </w:pPr>
            <w:r>
              <w:rPr>
                <w:color w:val="000000"/>
              </w:rPr>
              <w:t>基线复现与数据准备</w:t>
            </w:r>
          </w:p>
        </w:tc>
      </w:tr>
      <w:tr>
        <w:trPr/>
        <w:tc>
          <w:tcPr>
            <w:tcW w:w="4757" w:type="dxa"/>
            <w:tcBorders/>
          </w:tcPr>
          <w:p>
            <w:pPr>
              <w:pStyle w:val="Normal"/>
              <w:spacing w:before="60" w:after="60"/>
              <w:ind w:hanging="0"/>
              <w:jc w:val="center"/>
              <w:rPr>
                <w:color w:val="000000"/>
              </w:rPr>
            </w:pPr>
            <w:r>
              <w:rPr>
                <w:color w:val="000000"/>
              </w:rPr>
              <w:t>2026.01—2026.02</w:t>
            </w:r>
          </w:p>
        </w:tc>
        <w:tc>
          <w:tcPr>
            <w:tcW w:w="4757" w:type="dxa"/>
            <w:tcBorders/>
          </w:tcPr>
          <w:p>
            <w:pPr>
              <w:pStyle w:val="Normal"/>
              <w:spacing w:before="60" w:after="60"/>
              <w:ind w:hanging="0"/>
              <w:jc w:val="center"/>
              <w:rPr>
                <w:color w:val="000000"/>
              </w:rPr>
            </w:pPr>
            <w:r>
              <w:rPr>
                <w:color w:val="000000"/>
              </w:rPr>
              <w:t>两段式训练Ⅰ：</w:t>
            </w:r>
            <w:r>
              <w:rPr>
                <w:color w:val="000000"/>
              </w:rPr>
              <w:t xml:space="preserve">SFT </w:t>
            </w:r>
            <w:r>
              <w:rPr>
                <w:color w:val="000000"/>
              </w:rPr>
              <w:t>完成</w:t>
            </w:r>
            <w:r>
              <w:rPr>
                <w:rFonts w:eastAsia="Times New Roman"/>
                <w:color w:val="000000"/>
              </w:rPr>
              <w:t xml:space="preserve"> </w:t>
            </w:r>
            <w:r>
              <w:rPr>
                <w:color w:val="000000"/>
              </w:rPr>
              <w:t xml:space="preserve">+ RLFT </w:t>
            </w:r>
            <w:r>
              <w:rPr>
                <w:color w:val="000000"/>
              </w:rPr>
              <w:t>首轮</w:t>
            </w:r>
          </w:p>
        </w:tc>
      </w:tr>
      <w:tr>
        <w:trPr/>
        <w:tc>
          <w:tcPr>
            <w:tcW w:w="4757" w:type="dxa"/>
            <w:tcBorders/>
          </w:tcPr>
          <w:p>
            <w:pPr>
              <w:pStyle w:val="Normal"/>
              <w:spacing w:before="60" w:after="60"/>
              <w:ind w:hanging="0"/>
              <w:jc w:val="center"/>
              <w:rPr>
                <w:color w:val="000000"/>
              </w:rPr>
            </w:pPr>
            <w:r>
              <w:rPr>
                <w:color w:val="000000"/>
              </w:rPr>
              <w:t>2026.02—2026.03</w:t>
            </w:r>
          </w:p>
        </w:tc>
        <w:tc>
          <w:tcPr>
            <w:tcW w:w="4757" w:type="dxa"/>
            <w:tcBorders/>
          </w:tcPr>
          <w:p>
            <w:pPr>
              <w:pStyle w:val="Normal"/>
              <w:spacing w:before="60" w:after="60"/>
              <w:ind w:hanging="0"/>
              <w:jc w:val="center"/>
              <w:rPr>
                <w:color w:val="000000"/>
              </w:rPr>
            </w:pPr>
            <w:r>
              <w:rPr>
                <w:color w:val="000000"/>
              </w:rPr>
              <w:t>两段式训练Ⅱ：奖励塑形与课程学习</w:t>
            </w:r>
          </w:p>
        </w:tc>
      </w:tr>
      <w:tr>
        <w:trPr/>
        <w:tc>
          <w:tcPr>
            <w:tcW w:w="4757" w:type="dxa"/>
            <w:tcBorders/>
          </w:tcPr>
          <w:p>
            <w:pPr>
              <w:pStyle w:val="Normal"/>
              <w:spacing w:before="60" w:after="60"/>
              <w:ind w:hanging="0"/>
              <w:jc w:val="center"/>
              <w:rPr>
                <w:color w:val="000000"/>
              </w:rPr>
            </w:pPr>
            <w:r>
              <w:rPr>
                <w:color w:val="000000"/>
              </w:rPr>
              <w:t>2026.03—2026.04</w:t>
            </w:r>
          </w:p>
        </w:tc>
        <w:tc>
          <w:tcPr>
            <w:tcW w:w="4757" w:type="dxa"/>
            <w:tcBorders/>
          </w:tcPr>
          <w:p>
            <w:pPr>
              <w:pStyle w:val="Normal"/>
              <w:spacing w:before="60" w:after="60"/>
              <w:ind w:hanging="0"/>
              <w:jc w:val="center"/>
              <w:rPr>
                <w:color w:val="000000"/>
              </w:rPr>
            </w:pPr>
            <w:r>
              <w:rPr>
                <w:color w:val="000000"/>
              </w:rPr>
              <w:t>评测闭环与系统化封装</w:t>
            </w:r>
          </w:p>
        </w:tc>
      </w:tr>
      <w:tr>
        <w:trPr/>
        <w:tc>
          <w:tcPr>
            <w:tcW w:w="4757" w:type="dxa"/>
            <w:tcBorders/>
          </w:tcPr>
          <w:p>
            <w:pPr>
              <w:pStyle w:val="Normal"/>
              <w:spacing w:before="60" w:after="60"/>
              <w:ind w:hanging="0"/>
              <w:jc w:val="center"/>
              <w:rPr>
                <w:color w:val="000000"/>
              </w:rPr>
            </w:pPr>
            <w:r>
              <w:rPr>
                <w:color w:val="000000"/>
              </w:rPr>
              <w:t>2026.04—2026.05</w:t>
            </w:r>
          </w:p>
        </w:tc>
        <w:tc>
          <w:tcPr>
            <w:tcW w:w="4757" w:type="dxa"/>
            <w:tcBorders/>
          </w:tcPr>
          <w:p>
            <w:pPr>
              <w:pStyle w:val="Normal"/>
              <w:spacing w:before="60" w:after="60"/>
              <w:ind w:hanging="0"/>
              <w:jc w:val="center"/>
              <w:rPr>
                <w:color w:val="000000"/>
              </w:rPr>
            </w:pPr>
            <w:r>
              <w:rPr>
                <w:color w:val="000000"/>
              </w:rPr>
              <w:t>论文写作与中期检查</w:t>
            </w:r>
          </w:p>
        </w:tc>
      </w:tr>
      <w:tr>
        <w:trPr/>
        <w:tc>
          <w:tcPr>
            <w:tcW w:w="4757" w:type="dxa"/>
            <w:tcBorders>
              <w:bottom w:val="single" w:sz="12" w:space="0" w:color="000000"/>
            </w:tcBorders>
          </w:tcPr>
          <w:p>
            <w:pPr>
              <w:pStyle w:val="Normal"/>
              <w:spacing w:before="60" w:after="60"/>
              <w:ind w:hanging="0"/>
              <w:jc w:val="center"/>
              <w:rPr>
                <w:color w:val="000000"/>
              </w:rPr>
            </w:pPr>
            <w:r>
              <w:rPr>
                <w:color w:val="000000"/>
              </w:rPr>
              <w:t>2026.05—2026.06</w:t>
            </w:r>
          </w:p>
        </w:tc>
        <w:tc>
          <w:tcPr>
            <w:tcW w:w="4757" w:type="dxa"/>
            <w:tcBorders>
              <w:bottom w:val="single" w:sz="12" w:space="0" w:color="000000"/>
            </w:tcBorders>
          </w:tcPr>
          <w:p>
            <w:pPr>
              <w:pStyle w:val="Normal"/>
              <w:spacing w:before="60" w:after="60"/>
              <w:ind w:hanging="0"/>
              <w:jc w:val="center"/>
              <w:rPr>
                <w:color w:val="000000"/>
              </w:rPr>
            </w:pPr>
            <w:r>
              <w:rPr>
                <w:color w:val="000000"/>
              </w:rPr>
              <w:t>定稿与答辩</w:t>
            </w:r>
          </w:p>
        </w:tc>
      </w:tr>
    </w:tbl>
    <w:p>
      <w:pPr>
        <w:pStyle w:val="Normal"/>
        <w:spacing w:before="60" w:after="60"/>
        <w:ind w:hanging="0"/>
        <w:rPr/>
      </w:pPr>
      <w:r>
        <w:rPr>
          <w:rFonts w:eastAsia="黑体;SimHei"/>
          <w:color w:val="000000"/>
        </w:rPr>
        <w:t>5.2</w:t>
      </w:r>
      <w:r>
        <w:rPr>
          <w:rFonts w:eastAsia="黑体;SimHei"/>
          <w:color w:val="000000"/>
        </w:rPr>
        <w:t>预期目标</w:t>
      </w:r>
    </w:p>
    <w:p>
      <w:pPr>
        <w:pStyle w:val="Normal"/>
        <w:numPr>
          <w:ilvl w:val="0"/>
          <w:numId w:val="3"/>
        </w:numPr>
        <w:spacing w:before="60" w:after="60"/>
        <w:rPr>
          <w:color w:val="000000"/>
        </w:rPr>
      </w:pPr>
      <w:r>
        <w:rPr>
          <w:color w:val="000000"/>
        </w:rPr>
        <w:t>完成</w:t>
      </w:r>
      <w:r>
        <w:rPr>
          <w:rFonts w:eastAsia="Times New Roman"/>
          <w:color w:val="000000"/>
        </w:rPr>
        <w:t xml:space="preserve"> </w:t>
      </w:r>
      <w:r>
        <w:rPr>
          <w:color w:val="000000"/>
        </w:rPr>
        <w:t xml:space="preserve">Biomni A1/E1 </w:t>
      </w:r>
      <w:r>
        <w:rPr>
          <w:color w:val="000000"/>
        </w:rPr>
        <w:t>环境部署与最小可用系统跑通；</w:t>
      </w:r>
    </w:p>
    <w:p>
      <w:pPr>
        <w:pStyle w:val="Normal"/>
        <w:numPr>
          <w:ilvl w:val="0"/>
          <w:numId w:val="3"/>
        </w:numPr>
        <w:spacing w:before="60" w:after="60"/>
        <w:rPr>
          <w:color w:val="000000"/>
        </w:rPr>
      </w:pPr>
      <w:r>
        <w:rPr>
          <w:color w:val="000000"/>
        </w:rPr>
        <w:t>整理官方示例与自建任务集，形成</w:t>
      </w:r>
      <w:r>
        <w:rPr>
          <w:rFonts w:eastAsia="Times New Roman"/>
          <w:color w:val="000000"/>
        </w:rPr>
        <w:t xml:space="preserve"> </w:t>
      </w:r>
      <w:r>
        <w:rPr>
          <w:color w:val="000000"/>
        </w:rPr>
        <w:t xml:space="preserve">SFT </w:t>
      </w:r>
      <w:r>
        <w:rPr>
          <w:color w:val="000000"/>
        </w:rPr>
        <w:t>训练用高质量数据；</w:t>
      </w:r>
    </w:p>
    <w:p>
      <w:pPr>
        <w:pStyle w:val="Normal"/>
        <w:numPr>
          <w:ilvl w:val="0"/>
          <w:numId w:val="3"/>
        </w:numPr>
        <w:spacing w:before="60" w:after="60"/>
        <w:rPr>
          <w:color w:val="000000"/>
        </w:rPr>
      </w:pPr>
      <w:r>
        <w:rPr>
          <w:color w:val="000000"/>
        </w:rPr>
        <w:t>建立统一的“观测—动作—奖励—日志”接口；</w:t>
      </w:r>
    </w:p>
    <w:p>
      <w:pPr>
        <w:pStyle w:val="Normal"/>
        <w:numPr>
          <w:ilvl w:val="0"/>
          <w:numId w:val="3"/>
        </w:numPr>
        <w:spacing w:before="60" w:after="60"/>
        <w:rPr>
          <w:color w:val="000000"/>
        </w:rPr>
      </w:pPr>
      <w:r>
        <w:rPr>
          <w:color w:val="000000"/>
        </w:rPr>
        <w:t>完成监督微调（</w:t>
      </w:r>
      <w:r>
        <w:rPr>
          <w:color w:val="000000"/>
        </w:rPr>
        <w:t>SFT</w:t>
      </w:r>
      <w:r>
        <w:rPr>
          <w:color w:val="000000"/>
        </w:rPr>
        <w:t>）；</w:t>
      </w:r>
    </w:p>
    <w:p>
      <w:pPr>
        <w:pStyle w:val="Normal"/>
        <w:numPr>
          <w:ilvl w:val="0"/>
          <w:numId w:val="3"/>
        </w:numPr>
        <w:spacing w:before="60" w:after="60"/>
        <w:rPr>
          <w:color w:val="000000"/>
        </w:rPr>
      </w:pPr>
      <w:r>
        <w:rPr>
          <w:color w:val="000000"/>
        </w:rPr>
        <w:t>完成强化学习微调（</w:t>
      </w:r>
      <w:r>
        <w:rPr>
          <w:color w:val="000000"/>
        </w:rPr>
        <w:t>RLFT</w:t>
      </w:r>
      <w:r>
        <w:rPr>
          <w:color w:val="000000"/>
        </w:rPr>
        <w:t>）；</w:t>
      </w:r>
    </w:p>
    <w:p>
      <w:pPr>
        <w:pStyle w:val="Normal"/>
        <w:numPr>
          <w:ilvl w:val="0"/>
          <w:numId w:val="3"/>
        </w:numPr>
        <w:spacing w:before="60" w:after="60"/>
        <w:rPr>
          <w:color w:val="000000"/>
        </w:rPr>
      </w:pPr>
      <w:r>
        <w:rPr>
          <w:color w:val="000000"/>
        </w:rPr>
        <w:t>完成系统化封装；</w:t>
      </w:r>
    </w:p>
    <w:p>
      <w:pPr>
        <w:pStyle w:val="Normal"/>
        <w:spacing w:before="60" w:after="60"/>
        <w:ind w:hanging="0"/>
        <w:rPr/>
      </w:pPr>
      <w:r>
        <w:rPr>
          <w:rFonts w:eastAsia="黑体;SimHei"/>
          <w:color w:val="000000"/>
          <w:sz w:val="28"/>
          <w:szCs w:val="28"/>
        </w:rPr>
        <w:t>6</w:t>
      </w:r>
      <w:r>
        <w:rPr>
          <w:rFonts w:eastAsia="黑体;SimHei"/>
          <w:color w:val="000000"/>
          <w:sz w:val="28"/>
          <w:szCs w:val="28"/>
        </w:rPr>
        <w:t>．课题已具备与所需的条件与经费</w:t>
      </w:r>
    </w:p>
    <w:p>
      <w:pPr>
        <w:pStyle w:val="Normal"/>
        <w:spacing w:before="60" w:after="60"/>
        <w:ind w:hanging="0"/>
        <w:rPr>
          <w:color w:val="000000"/>
        </w:rPr>
      </w:pPr>
      <w:r>
        <w:rPr>
          <w:color w:val="000000"/>
        </w:rPr>
        <w:t>课题已具备和所需的条件见下表：</w:t>
      </w:r>
    </w:p>
    <w:p>
      <w:pPr>
        <w:pStyle w:val="Style28"/>
        <w:keepNext w:val="true"/>
        <w:spacing w:before="60" w:after="60"/>
        <w:ind w:hanging="0"/>
        <w:jc w:val="center"/>
        <w:rPr/>
      </w:pPr>
      <w:r>
        <w:rPr>
          <w:rFonts w:ascii="Times New Roman" w:hAnsi="Times New Roman" w:cs="Times New Roman"/>
        </w:rPr>
        <w:t>表</w:t>
      </w:r>
      <w:r>
        <w:rPr>
          <w:rFonts w:ascii="Times New Roman" w:hAnsi="Times New Roman" w:cs="Times New Roman" w:eastAsia="Times New Roman"/>
        </w:rPr>
        <w:t xml:space="preserve"> </w:t>
      </w:r>
      <w:r>
        <w:rPr>
          <w:rFonts w:ascii="Times New Roman" w:hAnsi="Times New Roman" w:cs="Times New Roman"/>
        </w:rPr>
        <w:fldChar w:fldCharType="begin"/>
      </w:r>
      <w:r>
        <w:rPr>
          <w:rFonts w:ascii="Times New Roman" w:hAnsi="Times New Roman" w:cs="Times New Roman"/>
        </w:rPr>
        <w:instrText xml:space="preserve"> SEQ 表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t>：课题条件表</w:t>
      </w:r>
    </w:p>
    <w:tbl>
      <w:tblPr>
        <w:tblW w:w="9514" w:type="dxa"/>
        <w:jc w:val="left"/>
        <w:tblInd w:w="-108" w:type="dxa"/>
        <w:tblLayout w:type="fixed"/>
        <w:tblCellMar>
          <w:top w:w="0" w:type="dxa"/>
          <w:left w:w="108" w:type="dxa"/>
          <w:bottom w:w="0" w:type="dxa"/>
          <w:right w:w="108" w:type="dxa"/>
        </w:tblCellMar>
      </w:tblPr>
      <w:tblGrid>
        <w:gridCol w:w="2660"/>
        <w:gridCol w:w="3682"/>
        <w:gridCol w:w="3172"/>
      </w:tblGrid>
      <w:tr>
        <w:trPr/>
        <w:tc>
          <w:tcPr>
            <w:tcW w:w="2660" w:type="dxa"/>
            <w:tcBorders>
              <w:top w:val="single" w:sz="12" w:space="0" w:color="000000"/>
              <w:bottom w:val="single" w:sz="6" w:space="0" w:color="000000"/>
            </w:tcBorders>
          </w:tcPr>
          <w:p>
            <w:pPr>
              <w:pStyle w:val="Normal"/>
              <w:spacing w:before="60" w:after="60"/>
              <w:ind w:hanging="0"/>
              <w:jc w:val="center"/>
              <w:rPr>
                <w:color w:val="000000"/>
              </w:rPr>
            </w:pPr>
            <w:r>
              <w:rPr>
                <w:color w:val="000000"/>
              </w:rPr>
              <w:t>所需条件</w:t>
            </w:r>
          </w:p>
        </w:tc>
        <w:tc>
          <w:tcPr>
            <w:tcW w:w="3682" w:type="dxa"/>
            <w:tcBorders>
              <w:top w:val="single" w:sz="12" w:space="0" w:color="000000"/>
              <w:bottom w:val="single" w:sz="6" w:space="0" w:color="000000"/>
            </w:tcBorders>
          </w:tcPr>
          <w:p>
            <w:pPr>
              <w:pStyle w:val="Normal"/>
              <w:spacing w:before="60" w:after="60"/>
              <w:ind w:hanging="0"/>
              <w:jc w:val="center"/>
              <w:rPr>
                <w:color w:val="000000"/>
              </w:rPr>
            </w:pPr>
            <w:r>
              <w:rPr>
                <w:color w:val="000000"/>
              </w:rPr>
              <w:t>具体说明</w:t>
            </w:r>
          </w:p>
        </w:tc>
        <w:tc>
          <w:tcPr>
            <w:tcW w:w="3172" w:type="dxa"/>
            <w:tcBorders>
              <w:top w:val="single" w:sz="12" w:space="0" w:color="000000"/>
              <w:bottom w:val="single" w:sz="6" w:space="0" w:color="000000"/>
            </w:tcBorders>
          </w:tcPr>
          <w:p>
            <w:pPr>
              <w:pStyle w:val="Normal"/>
              <w:spacing w:before="60" w:after="60"/>
              <w:ind w:hanging="0"/>
              <w:jc w:val="center"/>
              <w:rPr>
                <w:color w:val="000000"/>
              </w:rPr>
            </w:pPr>
            <w:r>
              <w:rPr>
                <w:color w:val="000000"/>
              </w:rPr>
              <w:t>备注</w:t>
            </w:r>
          </w:p>
        </w:tc>
      </w:tr>
      <w:tr>
        <w:trPr/>
        <w:tc>
          <w:tcPr>
            <w:tcW w:w="2660" w:type="dxa"/>
            <w:tcBorders>
              <w:top w:val="single" w:sz="6" w:space="0" w:color="000000"/>
            </w:tcBorders>
          </w:tcPr>
          <w:p>
            <w:pPr>
              <w:pStyle w:val="Normal"/>
              <w:spacing w:before="60" w:after="60"/>
              <w:ind w:hanging="0"/>
              <w:jc w:val="center"/>
              <w:rPr>
                <w:color w:val="000000"/>
              </w:rPr>
            </w:pPr>
            <w:r>
              <w:rPr>
                <w:color w:val="000000"/>
              </w:rPr>
              <w:t>软件与代码基础</w:t>
            </w:r>
          </w:p>
        </w:tc>
        <w:tc>
          <w:tcPr>
            <w:tcW w:w="3682" w:type="dxa"/>
            <w:tcBorders>
              <w:top w:val="single" w:sz="6" w:space="0" w:color="000000"/>
            </w:tcBorders>
          </w:tcPr>
          <w:p>
            <w:pPr>
              <w:pStyle w:val="Normal"/>
              <w:spacing w:before="60" w:after="60"/>
              <w:ind w:hanging="0"/>
              <w:jc w:val="center"/>
              <w:rPr>
                <w:color w:val="000000"/>
              </w:rPr>
            </w:pPr>
            <w:r>
              <w:rPr>
                <w:color w:val="000000"/>
              </w:rPr>
              <w:t xml:space="preserve">Biomni </w:t>
            </w:r>
            <w:r>
              <w:rPr>
                <w:color w:val="000000"/>
              </w:rPr>
              <w:t>开源框架</w:t>
            </w:r>
          </w:p>
        </w:tc>
        <w:tc>
          <w:tcPr>
            <w:tcW w:w="3172" w:type="dxa"/>
            <w:tcBorders>
              <w:top w:val="single" w:sz="6" w:space="0" w:color="000000"/>
            </w:tcBorders>
          </w:tcPr>
          <w:p>
            <w:pPr>
              <w:pStyle w:val="Normal"/>
              <w:spacing w:before="60" w:after="60"/>
              <w:ind w:hanging="0"/>
              <w:jc w:val="center"/>
              <w:rPr>
                <w:color w:val="000000"/>
              </w:rPr>
            </w:pPr>
            <w:r>
              <w:rPr>
                <w:color w:val="000000"/>
              </w:rPr>
              <w:t>具备</w:t>
            </w:r>
          </w:p>
        </w:tc>
      </w:tr>
      <w:tr>
        <w:trPr/>
        <w:tc>
          <w:tcPr>
            <w:tcW w:w="2660" w:type="dxa"/>
            <w:tcBorders/>
          </w:tcPr>
          <w:p>
            <w:pPr>
              <w:pStyle w:val="Normal"/>
              <w:spacing w:before="60" w:after="60"/>
              <w:ind w:hanging="0"/>
              <w:jc w:val="center"/>
              <w:rPr>
                <w:color w:val="000000"/>
              </w:rPr>
            </w:pPr>
            <w:r>
              <w:rPr>
                <w:color w:val="000000"/>
              </w:rPr>
              <w:t>数据与基准</w:t>
            </w:r>
          </w:p>
        </w:tc>
        <w:tc>
          <w:tcPr>
            <w:tcW w:w="3682" w:type="dxa"/>
            <w:tcBorders/>
          </w:tcPr>
          <w:p>
            <w:pPr>
              <w:pStyle w:val="Normal"/>
              <w:spacing w:before="60" w:after="60"/>
              <w:ind w:hanging="0"/>
              <w:jc w:val="center"/>
              <w:rPr>
                <w:color w:val="000000"/>
              </w:rPr>
            </w:pPr>
            <w:r>
              <w:rPr>
                <w:color w:val="000000"/>
              </w:rPr>
              <w:t>公开基准与代表性任务集</w:t>
            </w:r>
          </w:p>
          <w:p>
            <w:pPr>
              <w:pStyle w:val="Normal"/>
              <w:spacing w:before="60" w:after="60"/>
              <w:ind w:hanging="0"/>
              <w:jc w:val="center"/>
              <w:rPr/>
            </w:pPr>
            <w:r>
              <w:rPr>
                <w:color w:val="000000"/>
              </w:rPr>
              <w:t>主要有</w:t>
            </w:r>
            <w:r>
              <w:rPr>
                <w:color w:val="000000"/>
              </w:rPr>
              <w:t>LAB-Bench</w:t>
            </w:r>
            <w:r>
              <w:rPr>
                <w:color w:val="000000"/>
              </w:rPr>
              <w:t>和</w:t>
            </w:r>
            <w:r>
              <w:rPr>
                <w:color w:val="000000"/>
              </w:rPr>
              <w:t>BioLP-bench[1</w:t>
            </w:r>
            <w:r>
              <w:rPr>
                <w:color w:val="000000"/>
              </w:rPr>
              <w:t>6</w:t>
            </w:r>
            <w:r>
              <w:rPr>
                <w:color w:val="000000"/>
              </w:rPr>
              <w:t>,1</w:t>
            </w:r>
            <w:r>
              <w:rPr>
                <w:color w:val="000000"/>
              </w:rPr>
              <w:t>7</w:t>
            </w:r>
            <w:r>
              <w:rPr>
                <w:color w:val="000000"/>
              </w:rPr>
              <w:t>]</w:t>
            </w:r>
          </w:p>
        </w:tc>
        <w:tc>
          <w:tcPr>
            <w:tcW w:w="3172" w:type="dxa"/>
            <w:tcBorders/>
          </w:tcPr>
          <w:p>
            <w:pPr>
              <w:pStyle w:val="Normal"/>
              <w:spacing w:before="60" w:after="60"/>
              <w:ind w:hanging="0"/>
              <w:jc w:val="center"/>
              <w:rPr>
                <w:color w:val="000000"/>
              </w:rPr>
            </w:pPr>
            <w:r>
              <w:rPr>
                <w:color w:val="000000"/>
              </w:rPr>
              <w:t>具备</w:t>
            </w:r>
          </w:p>
        </w:tc>
      </w:tr>
      <w:tr>
        <w:trPr/>
        <w:tc>
          <w:tcPr>
            <w:tcW w:w="2660" w:type="dxa"/>
            <w:tcBorders/>
          </w:tcPr>
          <w:p>
            <w:pPr>
              <w:pStyle w:val="Normal"/>
              <w:spacing w:before="60" w:after="60"/>
              <w:ind w:hanging="0"/>
              <w:jc w:val="center"/>
              <w:rPr>
                <w:color w:val="000000"/>
              </w:rPr>
            </w:pPr>
            <w:r>
              <w:rPr>
                <w:color w:val="000000"/>
              </w:rPr>
              <w:t>算力</w:t>
            </w:r>
          </w:p>
        </w:tc>
        <w:tc>
          <w:tcPr>
            <w:tcW w:w="3682" w:type="dxa"/>
            <w:tcBorders/>
          </w:tcPr>
          <w:p>
            <w:pPr>
              <w:pStyle w:val="Normal"/>
              <w:spacing w:before="60" w:after="60"/>
              <w:ind w:hanging="0"/>
              <w:jc w:val="center"/>
              <w:rPr>
                <w:color w:val="000000"/>
              </w:rPr>
            </w:pPr>
            <w:r>
              <w:rPr>
                <w:color w:val="000000"/>
              </w:rPr>
              <w:t>Nvidia A100</w:t>
            </w:r>
            <w:r>
              <w:rPr>
                <w:color w:val="000000"/>
              </w:rPr>
              <w:t>或</w:t>
            </w:r>
            <w:r>
              <w:rPr>
                <w:color w:val="000000"/>
              </w:rPr>
              <w:t>Nvidia4090</w:t>
            </w:r>
          </w:p>
        </w:tc>
        <w:tc>
          <w:tcPr>
            <w:tcW w:w="3172" w:type="dxa"/>
            <w:tcBorders/>
          </w:tcPr>
          <w:p>
            <w:pPr>
              <w:pStyle w:val="Normal"/>
              <w:spacing w:before="60" w:after="60"/>
              <w:ind w:hanging="0"/>
              <w:jc w:val="center"/>
              <w:rPr>
                <w:color w:val="000000"/>
              </w:rPr>
            </w:pPr>
            <w:r>
              <w:rPr>
                <w:color w:val="000000"/>
              </w:rPr>
              <w:t>具备</w:t>
            </w:r>
          </w:p>
        </w:tc>
      </w:tr>
      <w:tr>
        <w:trPr/>
        <w:tc>
          <w:tcPr>
            <w:tcW w:w="2660" w:type="dxa"/>
            <w:tcBorders>
              <w:bottom w:val="single" w:sz="12" w:space="0" w:color="000000"/>
            </w:tcBorders>
          </w:tcPr>
          <w:p>
            <w:pPr>
              <w:pStyle w:val="Normal"/>
              <w:spacing w:before="60" w:after="60"/>
              <w:ind w:hanging="0"/>
              <w:jc w:val="center"/>
              <w:rPr>
                <w:color w:val="000000"/>
              </w:rPr>
            </w:pPr>
            <w:r>
              <w:rPr>
                <w:color w:val="000000"/>
              </w:rPr>
              <w:t>存储</w:t>
            </w:r>
          </w:p>
        </w:tc>
        <w:tc>
          <w:tcPr>
            <w:tcW w:w="3682" w:type="dxa"/>
            <w:tcBorders>
              <w:bottom w:val="single" w:sz="12" w:space="0" w:color="000000"/>
            </w:tcBorders>
          </w:tcPr>
          <w:p>
            <w:pPr>
              <w:pStyle w:val="Normal"/>
              <w:spacing w:before="60" w:after="60"/>
              <w:ind w:hanging="0"/>
              <w:jc w:val="center"/>
              <w:rPr>
                <w:color w:val="000000"/>
              </w:rPr>
            </w:pPr>
            <w:r>
              <w:rPr>
                <w:color w:val="000000"/>
              </w:rPr>
              <w:t>500G</w:t>
            </w:r>
            <w:r>
              <w:rPr>
                <w:color w:val="000000"/>
              </w:rPr>
              <w:t>及以上</w:t>
            </w:r>
          </w:p>
        </w:tc>
        <w:tc>
          <w:tcPr>
            <w:tcW w:w="3172" w:type="dxa"/>
            <w:tcBorders>
              <w:bottom w:val="single" w:sz="12" w:space="0" w:color="000000"/>
            </w:tcBorders>
          </w:tcPr>
          <w:p>
            <w:pPr>
              <w:pStyle w:val="Normal"/>
              <w:spacing w:before="60" w:after="60"/>
              <w:ind w:hanging="0"/>
              <w:jc w:val="center"/>
              <w:rPr>
                <w:color w:val="000000"/>
              </w:rPr>
            </w:pPr>
            <w:r>
              <w:rPr>
                <w:color w:val="000000"/>
              </w:rPr>
              <w:t>具备</w:t>
            </w:r>
          </w:p>
        </w:tc>
      </w:tr>
    </w:tbl>
    <w:p>
      <w:pPr>
        <w:pStyle w:val="Normal"/>
        <w:spacing w:before="60" w:after="60"/>
        <w:ind w:hanging="0"/>
        <w:rPr/>
      </w:pPr>
      <w:bookmarkStart w:id="11" w:name="OLE_LINK7"/>
      <w:r>
        <w:rPr>
          <w:rFonts w:eastAsia="黑体;SimHei"/>
          <w:color w:val="000000"/>
          <w:sz w:val="28"/>
          <w:szCs w:val="28"/>
        </w:rPr>
        <w:t>7</w:t>
      </w:r>
      <w:r>
        <w:rPr>
          <w:rFonts w:eastAsia="黑体;SimHei"/>
          <w:color w:val="000000"/>
          <w:sz w:val="28"/>
          <w:szCs w:val="28"/>
        </w:rPr>
        <w:t>．预计可能遇到的问题及解决措施</w:t>
      </w:r>
      <w:bookmarkEnd w:id="11"/>
    </w:p>
    <w:p>
      <w:pPr>
        <w:pStyle w:val="Normal"/>
        <w:spacing w:before="60" w:after="60"/>
        <w:ind w:hanging="0"/>
        <w:rPr/>
      </w:pPr>
      <w:r>
        <w:rPr>
          <w:color w:val="000000"/>
        </w:rPr>
        <w:t>1</w:t>
      </w:r>
      <w:r>
        <w:rPr>
          <w:color w:val="000000"/>
        </w:rPr>
        <w:t>）</w:t>
      </w:r>
      <w:r>
        <w:rPr>
          <w:color w:val="000000"/>
        </w:rPr>
        <w:t xml:space="preserve">R0 </w:t>
      </w:r>
      <w:r>
        <w:rPr>
          <w:color w:val="000000"/>
        </w:rPr>
        <w:t>未完全开源带来的复现不确定性</w:t>
      </w:r>
      <w:r>
        <w:rPr>
          <w:color w:val="000000"/>
        </w:rPr>
        <w:br/>
        <w:t xml:space="preserve">Biomni-R0 </w:t>
      </w:r>
      <w:r>
        <w:rPr>
          <w:color w:val="000000"/>
        </w:rPr>
        <w:t>目前仅有技术预览与动态更新，训练细节并未全面公开，容易导致“设想—实现”之间出现偏差。</w:t>
      </w:r>
    </w:p>
    <w:p>
      <w:pPr>
        <w:pStyle w:val="Normal"/>
        <w:spacing w:before="60" w:after="60"/>
        <w:ind w:hanging="0"/>
        <w:rPr>
          <w:color w:val="000000"/>
        </w:rPr>
      </w:pPr>
      <w:r>
        <w:rPr>
          <w:color w:val="000000"/>
        </w:rPr>
        <w:t>对策：以</w:t>
      </w:r>
      <w:r>
        <w:rPr>
          <w:rFonts w:eastAsia="Times New Roman"/>
          <w:color w:val="000000"/>
        </w:rPr>
        <w:t xml:space="preserve"> </w:t>
      </w:r>
      <w:r>
        <w:rPr>
          <w:color w:val="000000"/>
        </w:rPr>
        <w:t xml:space="preserve">Biomni </w:t>
      </w:r>
      <w:r>
        <w:rPr>
          <w:color w:val="000000"/>
        </w:rPr>
        <w:t>开源框架为锚点，严格按“</w:t>
      </w:r>
      <w:r>
        <w:rPr>
          <w:color w:val="000000"/>
        </w:rPr>
        <w:t xml:space="preserve">A1/E1 + </w:t>
      </w:r>
      <w:r>
        <w:rPr>
          <w:color w:val="000000"/>
        </w:rPr>
        <w:t>统一观测—动作—奖励—日志”接口复现；同时用消融实验与对照基线刻画实现差异，并保持与官方动态的可追踪映射表，必要时给出合理工程替代并在论文中显式披露差异来源。</w:t>
      </w:r>
    </w:p>
    <w:p>
      <w:pPr>
        <w:pStyle w:val="Normal"/>
        <w:spacing w:before="60" w:after="60"/>
        <w:ind w:hanging="0"/>
        <w:rPr>
          <w:color w:val="000000"/>
        </w:rPr>
      </w:pPr>
      <w:r>
        <w:rPr>
          <w:color w:val="000000"/>
        </w:rPr>
        <w:t>2</w:t>
      </w:r>
      <w:r>
        <w:rPr>
          <w:color w:val="000000"/>
        </w:rPr>
        <w:t>）长决策链下的训练不稳与样本效率问题</w:t>
      </w:r>
      <w:r>
        <w:rPr>
          <w:color w:val="000000"/>
        </w:rPr>
        <w:br/>
      </w:r>
      <w:r>
        <w:rPr>
          <w:color w:val="000000"/>
        </w:rPr>
        <w:t>端到端</w:t>
      </w:r>
      <w:r>
        <w:rPr>
          <w:rFonts w:eastAsia="Times New Roman"/>
          <w:color w:val="000000"/>
        </w:rPr>
        <w:t xml:space="preserve"> </w:t>
      </w:r>
      <w:r>
        <w:rPr>
          <w:color w:val="000000"/>
        </w:rPr>
        <w:t xml:space="preserve">RL </w:t>
      </w:r>
      <w:r>
        <w:rPr>
          <w:color w:val="000000"/>
        </w:rPr>
        <w:t>易出现发散、早熟或高方差；工具调用链长、延迟奖励多，使</w:t>
      </w:r>
      <w:r>
        <w:rPr>
          <w:rFonts w:eastAsia="Times New Roman"/>
          <w:color w:val="000000"/>
        </w:rPr>
        <w:t xml:space="preserve"> </w:t>
      </w:r>
      <w:r>
        <w:rPr>
          <w:color w:val="000000"/>
        </w:rPr>
        <w:t>PPO/</w:t>
      </w:r>
      <w:r>
        <w:rPr>
          <w:color w:val="000000"/>
        </w:rPr>
        <w:t>优势估计敏感。</w:t>
      </w:r>
    </w:p>
    <w:p>
      <w:pPr>
        <w:pStyle w:val="Normal"/>
        <w:spacing w:before="60" w:after="60"/>
        <w:ind w:hanging="0"/>
        <w:rPr/>
      </w:pPr>
      <w:r>
        <w:rPr>
          <w:color w:val="000000"/>
        </w:rPr>
        <w:t>对策：先以</w:t>
      </w:r>
      <w:r>
        <w:rPr>
          <w:rFonts w:eastAsia="Times New Roman"/>
          <w:color w:val="000000"/>
        </w:rPr>
        <w:t xml:space="preserve"> </w:t>
      </w:r>
      <w:r>
        <w:rPr>
          <w:color w:val="000000"/>
        </w:rPr>
        <w:t xml:space="preserve">SFT </w:t>
      </w:r>
      <w:r>
        <w:rPr>
          <w:color w:val="000000"/>
        </w:rPr>
        <w:t>热启动获得可用初始策略，再进入</w:t>
      </w:r>
      <w:r>
        <w:rPr>
          <w:rFonts w:eastAsia="Times New Roman"/>
          <w:color w:val="000000"/>
        </w:rPr>
        <w:t xml:space="preserve"> </w:t>
      </w:r>
      <w:r>
        <w:rPr>
          <w:color w:val="000000"/>
        </w:rPr>
        <w:t>RLFT</w:t>
      </w:r>
      <w:r>
        <w:rPr>
          <w:color w:val="000000"/>
        </w:rPr>
        <w:t>；在线阶段以</w:t>
      </w:r>
      <w:r>
        <w:rPr>
          <w:rFonts w:eastAsia="Times New Roman"/>
          <w:color w:val="000000"/>
        </w:rPr>
        <w:t xml:space="preserve"> </w:t>
      </w:r>
      <w:r>
        <w:rPr>
          <w:color w:val="000000"/>
        </w:rPr>
        <w:t xml:space="preserve">PPO </w:t>
      </w:r>
      <w:r>
        <w:rPr>
          <w:color w:val="000000"/>
        </w:rPr>
        <w:t>为主并用</w:t>
      </w:r>
      <w:r>
        <w:rPr>
          <w:rFonts w:eastAsia="Times New Roman"/>
          <w:color w:val="000000"/>
        </w:rPr>
        <w:t xml:space="preserve"> </w:t>
      </w:r>
      <w:r>
        <w:rPr>
          <w:color w:val="000000"/>
        </w:rPr>
        <w:t xml:space="preserve">KL </w:t>
      </w:r>
      <w:r>
        <w:rPr>
          <w:color w:val="000000"/>
        </w:rPr>
        <w:t>约束、优势归一化与梯度裁剪稳态训练；对长序列与混合数据场景，引入</w:t>
      </w:r>
      <w:r>
        <w:rPr>
          <w:rFonts w:eastAsia="Times New Roman"/>
          <w:color w:val="000000"/>
        </w:rPr>
        <w:t xml:space="preserve"> </w:t>
      </w:r>
      <w:r>
        <w:rPr>
          <w:color w:val="000000"/>
        </w:rPr>
        <w:t xml:space="preserve">SAC </w:t>
      </w:r>
      <w:r>
        <w:rPr>
          <w:color w:val="000000"/>
        </w:rPr>
        <w:t>做稳定性补强；全过程用统一日志面板跟踪“奖励分解</w:t>
      </w:r>
      <w:r>
        <w:rPr>
          <w:color w:val="000000"/>
        </w:rPr>
        <w:t>/</w:t>
      </w:r>
      <w:r>
        <w:rPr>
          <w:color w:val="000000"/>
        </w:rPr>
        <w:t>成功率</w:t>
      </w:r>
      <w:r>
        <w:rPr>
          <w:color w:val="000000"/>
        </w:rPr>
        <w:t>/</w:t>
      </w:r>
      <w:r>
        <w:rPr>
          <w:color w:val="000000"/>
        </w:rPr>
        <w:t>重试率</w:t>
      </w:r>
      <w:r>
        <w:rPr>
          <w:color w:val="000000"/>
        </w:rPr>
        <w:t>/</w:t>
      </w:r>
      <w:r>
        <w:rPr>
          <w:color w:val="000000"/>
        </w:rPr>
        <w:t>优势</w:t>
      </w:r>
      <w:r>
        <w:rPr>
          <w:color w:val="000000"/>
        </w:rPr>
        <w:t>/</w:t>
      </w:r>
      <w:r>
        <w:rPr>
          <w:color w:val="000000"/>
        </w:rPr>
        <w:t>熵</w:t>
      </w:r>
      <w:r>
        <w:rPr>
          <w:color w:val="000000"/>
        </w:rPr>
        <w:t>/KL/</w:t>
      </w:r>
      <w:r>
        <w:rPr>
          <w:color w:val="000000"/>
        </w:rPr>
        <w:t>失败码分布”，及时早停与回溯。</w:t>
      </w:r>
    </w:p>
    <w:p>
      <w:pPr>
        <w:pStyle w:val="Normal"/>
        <w:spacing w:before="60" w:after="60"/>
        <w:ind w:hanging="0"/>
        <w:rPr>
          <w:color w:val="000000"/>
        </w:rPr>
      </w:pPr>
      <w:r>
        <w:rPr>
          <w:color w:val="000000"/>
        </w:rPr>
        <w:t>3</w:t>
      </w:r>
      <w:r>
        <w:rPr>
          <w:color w:val="000000"/>
        </w:rPr>
        <w:t>）知识更新快导致检索漂移</w:t>
      </w:r>
      <w:r>
        <w:rPr>
          <w:color w:val="000000"/>
        </w:rPr>
        <w:br/>
      </w:r>
      <w:r>
        <w:rPr>
          <w:color w:val="000000"/>
        </w:rPr>
        <w:t>生物医学文献与数据库更新频繁，检索证据随时间改变。</w:t>
      </w:r>
    </w:p>
    <w:p>
      <w:pPr>
        <w:pStyle w:val="Normal"/>
        <w:spacing w:before="60" w:after="60"/>
        <w:ind w:hanging="0"/>
        <w:rPr>
          <w:color w:val="000000"/>
        </w:rPr>
      </w:pPr>
      <w:r>
        <w:rPr>
          <w:color w:val="000000"/>
        </w:rPr>
        <w:t>对策：以批次为单位冻结语料与工具快照；答案中保留“证据清单</w:t>
      </w:r>
      <w:r>
        <w:rPr>
          <w:rFonts w:eastAsia="Times New Roman"/>
          <w:color w:val="000000"/>
        </w:rPr>
        <w:t xml:space="preserve"> </w:t>
      </w:r>
      <w:r>
        <w:rPr>
          <w:color w:val="000000"/>
        </w:rPr>
        <w:t xml:space="preserve">+ </w:t>
      </w:r>
      <w:r>
        <w:rPr>
          <w:color w:val="000000"/>
        </w:rPr>
        <w:t>可追溯轨迹”，必要时在复评中重跑并对比差异。</w:t>
      </w:r>
    </w:p>
    <w:p>
      <w:pPr>
        <w:pStyle w:val="Normal"/>
        <w:spacing w:before="60" w:after="60"/>
        <w:ind w:hanging="0"/>
        <w:rPr>
          <w:color w:val="000000"/>
        </w:rPr>
      </w:pPr>
      <w:r>
        <w:rPr>
          <w:color w:val="000000"/>
        </w:rPr>
        <w:t>4</w:t>
      </w:r>
      <w:r>
        <w:rPr>
          <w:color w:val="000000"/>
        </w:rPr>
        <w:t>）算力资源与排队瓶颈</w:t>
      </w:r>
      <w:r>
        <w:rPr>
          <w:color w:val="000000"/>
        </w:rPr>
        <w:br/>
      </w:r>
      <w:r>
        <w:rPr>
          <w:color w:val="000000"/>
        </w:rPr>
        <w:t>显存不足、训练排队会拖慢进度。</w:t>
      </w:r>
    </w:p>
    <w:p>
      <w:pPr>
        <w:pStyle w:val="Normal"/>
        <w:spacing w:before="60" w:after="60"/>
        <w:ind w:hanging="0"/>
        <w:rPr>
          <w:color w:val="000000"/>
        </w:rPr>
      </w:pPr>
      <w:r>
        <w:rPr>
          <w:color w:val="000000"/>
        </w:rPr>
        <w:t>对策：</w:t>
      </w:r>
      <w:r>
        <w:rPr>
          <w:color w:val="000000"/>
        </w:rPr>
        <w:t xml:space="preserve">SFT </w:t>
      </w:r>
      <w:r>
        <w:rPr>
          <w:color w:val="000000"/>
        </w:rPr>
        <w:t>采用</w:t>
      </w:r>
      <w:r>
        <w:rPr>
          <w:rFonts w:eastAsia="Times New Roman"/>
          <w:color w:val="000000"/>
        </w:rPr>
        <w:t xml:space="preserve"> </w:t>
      </w:r>
      <w:r>
        <w:rPr>
          <w:color w:val="000000"/>
        </w:rPr>
        <w:t xml:space="preserve">LoRA/QLoRA </w:t>
      </w:r>
      <w:r>
        <w:rPr>
          <w:color w:val="000000"/>
        </w:rPr>
        <w:t>与混合精度降低显存占用；制定“本地优先</w:t>
      </w:r>
      <w:r>
        <w:rPr>
          <w:rFonts w:eastAsia="Times New Roman"/>
          <w:color w:val="000000"/>
        </w:rPr>
        <w:t xml:space="preserve"> </w:t>
      </w:r>
      <w:r>
        <w:rPr>
          <w:color w:val="000000"/>
        </w:rPr>
        <w:t xml:space="preserve">+ </w:t>
      </w:r>
      <w:r>
        <w:rPr>
          <w:color w:val="000000"/>
        </w:rPr>
        <w:t>云端兜底”的弹性计划。</w:t>
      </w:r>
    </w:p>
    <w:p>
      <w:pPr>
        <w:pStyle w:val="Normal"/>
        <w:spacing w:before="60" w:after="60"/>
        <w:ind w:hanging="0"/>
        <w:rPr>
          <w:color w:val="000000"/>
        </w:rPr>
      </w:pPr>
      <w:r>
        <w:rPr>
          <w:color w:val="000000"/>
        </w:rPr>
        <w:t>5</w:t>
      </w:r>
      <w:r>
        <w:rPr>
          <w:color w:val="000000"/>
        </w:rPr>
        <w:t>）评测偏差与不可复现</w:t>
      </w:r>
      <w:r>
        <w:rPr>
          <w:color w:val="000000"/>
        </w:rPr>
        <w:br/>
      </w:r>
      <w:r>
        <w:rPr>
          <w:color w:val="000000"/>
        </w:rPr>
        <w:t>交互式任务受时点数据与工具状态影响，导致同一策略不同日子得分不同。</w:t>
      </w:r>
    </w:p>
    <w:p>
      <w:pPr>
        <w:pStyle w:val="Normal"/>
        <w:spacing w:before="60" w:after="60"/>
        <w:ind w:hanging="0"/>
        <w:rPr/>
      </w:pPr>
      <w:r>
        <w:rPr>
          <w:color w:val="000000"/>
        </w:rPr>
        <w:t>对策：构建“离线重放</w:t>
      </w:r>
      <w:r>
        <w:rPr>
          <w:rFonts w:eastAsia="Times New Roman"/>
          <w:color w:val="000000"/>
        </w:rPr>
        <w:t xml:space="preserve"> </w:t>
      </w:r>
      <w:r>
        <w:rPr>
          <w:color w:val="000000"/>
        </w:rPr>
        <w:t xml:space="preserve">+ </w:t>
      </w:r>
      <w:r>
        <w:rPr>
          <w:color w:val="000000"/>
        </w:rPr>
        <w:t>在线抽样”的双轨评测；固定数据版本与工具白名单；配置与权重版本化，提供一键复现实验的可视化系统。</w:t>
      </w:r>
    </w:p>
    <w:p>
      <w:pPr>
        <w:pStyle w:val="Normal"/>
        <w:spacing w:before="60" w:after="60"/>
        <w:ind w:hanging="0"/>
        <w:rPr/>
      </w:pPr>
      <w:r>
        <w:rPr>
          <w:rFonts w:eastAsia="黑体;SimHei"/>
          <w:b/>
          <w:bCs/>
          <w:color w:val="000000"/>
          <w:sz w:val="30"/>
          <w:szCs w:val="30"/>
        </w:rPr>
        <w:t>8</w:t>
      </w:r>
      <w:r>
        <w:rPr>
          <w:rFonts w:eastAsia="黑体;SimHei"/>
          <w:b/>
          <w:bCs/>
          <w:color w:val="000000"/>
          <w:sz w:val="30"/>
          <w:szCs w:val="30"/>
        </w:rPr>
        <w:t>．主要参考文献</w:t>
      </w:r>
    </w:p>
    <w:p>
      <w:pPr>
        <w:pStyle w:val="Normal"/>
        <w:spacing w:before="60" w:after="60"/>
        <w:ind w:hanging="0"/>
        <w:rPr/>
      </w:pPr>
      <w:r>
        <w:rPr>
          <w:color w:val="000000"/>
        </w:rPr>
        <w:t xml:space="preserve">[1] </w:t>
      </w:r>
      <w:bookmarkStart w:id="12" w:name="OLE_LINK8"/>
      <w:r>
        <w:rPr>
          <w:color w:val="000000"/>
        </w:rPr>
        <w:t xml:space="preserve">Huang K ,Zhang S ,Wang H , et al.Biomni: A General-Purpose Biomedical AI Agent.[J].bioRxiv,2025.[2025-11-10].DOI:10.1101/2025.05.30.656746. </w:t>
      </w:r>
      <w:bookmarkEnd w:id="12"/>
    </w:p>
    <w:p>
      <w:pPr>
        <w:pStyle w:val="Normal"/>
        <w:spacing w:before="60" w:after="60"/>
        <w:ind w:hanging="0"/>
        <w:rPr>
          <w:b/>
          <w:b/>
          <w:bCs/>
          <w:color w:val="000000"/>
        </w:rPr>
      </w:pPr>
      <w:r>
        <w:rPr>
          <w:color w:val="000000"/>
        </w:rPr>
        <w:t xml:space="preserve">[2] Kexin Huang, Ryan Li, et al. Biomni-R0: Using RL to Hill-Climb Biomedical Reasoning Agents to Expert-Level[EB/OL]. (2023-05-20)[2025-11-10]. https://biomni.stanford.edu/blog/biomni-r0-technical-report/ </w:t>
      </w:r>
    </w:p>
    <w:p>
      <w:pPr>
        <w:pStyle w:val="Normal"/>
        <w:spacing w:before="60" w:after="60"/>
        <w:ind w:hanging="0"/>
        <w:rPr/>
      </w:pPr>
      <w:r>
        <w:rPr>
          <w:color w:val="000000"/>
        </w:rPr>
        <w:t>[3]</w:t>
      </w:r>
      <w:r>
        <w:rPr/>
        <w:t xml:space="preserve"> </w:t>
      </w:r>
      <w:r>
        <w:rPr>
          <w:color w:val="000000"/>
        </w:rPr>
        <w:t>Lewis P, Perez E, Piktus A, et al. Retrieval-Augmented Generation for Knowledge-Intensive NLP Tasks [C]// Advances in Neural Information Processing Systems (NeurIPS 2020). 2020.</w:t>
      </w:r>
    </w:p>
    <w:p>
      <w:pPr>
        <w:pStyle w:val="Normal"/>
        <w:spacing w:before="60" w:after="60"/>
        <w:ind w:hanging="0"/>
        <w:rPr>
          <w:color w:val="000000"/>
        </w:rPr>
      </w:pPr>
      <w:r>
        <w:rPr>
          <w:color w:val="000000"/>
        </w:rPr>
        <w:t xml:space="preserve">[4] Andres M Bran, Sam Cox, et al. ChemCrow: Augmenting large-language models with chemistry tools[EB/OL]. (2023-04-11)[2025-11-10]. </w:t>
      </w:r>
      <w:hyperlink r:id="rId7">
        <w:r>
          <w:rPr>
            <w:rStyle w:val="InternetLink"/>
          </w:rPr>
          <w:t>https://arxiv.org/abs/2304.05376</w:t>
        </w:r>
      </w:hyperlink>
    </w:p>
    <w:p>
      <w:pPr>
        <w:pStyle w:val="Normal"/>
        <w:spacing w:before="60" w:after="60"/>
        <w:ind w:hanging="0"/>
        <w:rPr>
          <w:color w:val="000000"/>
        </w:rPr>
      </w:pPr>
      <w:r>
        <w:rPr>
          <w:color w:val="000000"/>
        </w:rPr>
        <w:t xml:space="preserve">[5] Luo R, Sun L, et al. BioGPT: Generative Pre-trained Transformer for Biomedical Text Generation and Mining[EB/OL]. (2023-04-03)[2025-11-10]. </w:t>
      </w:r>
      <w:hyperlink r:id="rId8">
        <w:r>
          <w:rPr>
            <w:rStyle w:val="InternetLink"/>
          </w:rPr>
          <w:t>https://arxiv.org/abs/2210.10341</w:t>
        </w:r>
      </w:hyperlink>
    </w:p>
    <w:p>
      <w:pPr>
        <w:pStyle w:val="Normal"/>
        <w:spacing w:before="60" w:after="60"/>
        <w:ind w:hanging="0"/>
        <w:rPr>
          <w:color w:val="000000"/>
        </w:rPr>
      </w:pPr>
      <w:r>
        <w:rPr>
          <w:color w:val="000000"/>
        </w:rPr>
        <w:t>[6]</w:t>
      </w:r>
      <w:r>
        <w:rPr>
          <w:color w:val="000000"/>
        </w:rPr>
        <w:t>赵耀</w:t>
      </w:r>
      <w:r>
        <w:rPr>
          <w:color w:val="000000"/>
        </w:rPr>
        <w:t>.</w:t>
      </w:r>
      <w:r>
        <w:rPr>
          <w:color w:val="000000"/>
        </w:rPr>
        <w:t>基于强化学习和自监督学习的多生物医学事件抽取研究</w:t>
      </w:r>
      <w:r>
        <w:rPr>
          <w:color w:val="000000"/>
        </w:rPr>
        <w:t>[D].</w:t>
      </w:r>
      <w:r>
        <w:rPr>
          <w:color w:val="000000"/>
        </w:rPr>
        <w:t>华中师范大学</w:t>
      </w:r>
      <w:r>
        <w:rPr>
          <w:color w:val="000000"/>
        </w:rPr>
        <w:t>,2022.DOI:10.27159/d.cnki.ghzsu.2022.002220.</w:t>
      </w:r>
    </w:p>
    <w:p>
      <w:pPr>
        <w:pStyle w:val="Normal"/>
        <w:spacing w:before="60" w:after="60"/>
        <w:ind w:hanging="0"/>
        <w:rPr>
          <w:color w:val="000000"/>
        </w:rPr>
      </w:pPr>
      <w:r>
        <w:rPr>
          <w:color w:val="000000"/>
        </w:rPr>
        <w:t>[7]</w:t>
      </w:r>
      <w:r>
        <w:rPr>
          <w:color w:val="000000"/>
        </w:rPr>
        <w:t>季蒙雅</w:t>
      </w:r>
      <w:r>
        <w:rPr>
          <w:color w:val="000000"/>
        </w:rPr>
        <w:t>.</w:t>
      </w:r>
      <w:r>
        <w:rPr>
          <w:color w:val="000000"/>
        </w:rPr>
        <w:t>一种基于强化学习的远监督样本选取方法</w:t>
      </w:r>
      <w:r>
        <w:rPr>
          <w:color w:val="000000"/>
        </w:rPr>
        <w:t>[D].</w:t>
      </w:r>
      <w:r>
        <w:rPr>
          <w:color w:val="000000"/>
        </w:rPr>
        <w:t>东南大学</w:t>
      </w:r>
      <w:r>
        <w:rPr>
          <w:color w:val="000000"/>
        </w:rPr>
        <w:t>,2022.DOI:10.27014/d.cnki.gdnau.2022.001443.</w:t>
      </w:r>
    </w:p>
    <w:p>
      <w:pPr>
        <w:pStyle w:val="Normal"/>
        <w:spacing w:before="60" w:after="60"/>
        <w:ind w:hanging="0"/>
        <w:rPr>
          <w:color w:val="000000"/>
        </w:rPr>
      </w:pPr>
      <w:r>
        <w:rPr>
          <w:color w:val="000000"/>
        </w:rPr>
        <w:t>[</w:t>
      </w:r>
      <w:r>
        <w:rPr>
          <w:color w:val="000000"/>
        </w:rPr>
        <w:t>8</w:t>
      </w:r>
      <w:r>
        <w:rPr>
          <w:color w:val="000000"/>
        </w:rPr>
        <w:t xml:space="preserve">] Schulman J, Wolski F, Dhariwal P, et al. Proximal Policy Optimization Algorithms[EB/OL]. 2017-07-20 [2025-11-10]. </w:t>
      </w:r>
      <w:hyperlink r:id="rId9">
        <w:bookmarkStart w:id="13" w:name="OLE_LINK6"/>
        <w:r>
          <w:rPr>
            <w:rStyle w:val="InternetLink"/>
          </w:rPr>
          <w:t>https://arxiv.org/abs/1707.06347</w:t>
        </w:r>
      </w:hyperlink>
      <w:bookmarkEnd w:id="13"/>
    </w:p>
    <w:p>
      <w:pPr>
        <w:pStyle w:val="Normal"/>
        <w:spacing w:before="60" w:after="60"/>
        <w:ind w:hanging="0"/>
        <w:rPr/>
      </w:pPr>
      <w:r>
        <w:rPr>
          <w:color w:val="000000"/>
        </w:rPr>
        <w:t>[</w:t>
      </w:r>
      <w:r>
        <w:rPr>
          <w:color w:val="000000"/>
        </w:rPr>
        <w:t>9</w:t>
      </w:r>
      <w:r>
        <w:rPr>
          <w:color w:val="000000"/>
        </w:rPr>
        <w:t>]Schulman J, Levine S, Abbeel P, Jordan M, Moritz P. Trust region policy optimization [C]// Proceedings of the 32nd International Conference on Machine Learning (ICML 2015). Lille: JMLR/PMLR, 2015: 1889–1897.</w:t>
      </w:r>
    </w:p>
    <w:p>
      <w:pPr>
        <w:pStyle w:val="Normal"/>
        <w:spacing w:before="60" w:after="60"/>
        <w:ind w:hanging="0"/>
        <w:rPr/>
      </w:pPr>
      <w:r>
        <w:rPr>
          <w:color w:val="000000"/>
        </w:rPr>
        <w:t>[</w:t>
      </w:r>
      <w:r>
        <w:rPr>
          <w:color w:val="000000"/>
        </w:rPr>
        <w:t>10</w:t>
      </w:r>
      <w:r>
        <w:rPr>
          <w:color w:val="000000"/>
        </w:rPr>
        <w:t>]</w:t>
      </w:r>
      <w:r>
        <w:rPr>
          <w:color w:val="0A0A0A"/>
          <w:kern w:val="0"/>
        </w:rPr>
        <w:t xml:space="preserve"> </w:t>
      </w:r>
      <w:r>
        <w:rPr>
          <w:color w:val="000000"/>
        </w:rPr>
        <w:t>Haarnoja T, Zhou A, Abbeel P, et al. Soft Actor-Critic: Off-Policy Maximum Entropy Deep Reinforcement Learning with a Stochastic Actor[C]// </w:t>
      </w:r>
      <w:r>
        <w:rPr>
          <w:i/>
          <w:iCs/>
          <w:color w:val="000000"/>
        </w:rPr>
        <w:t>Proceedings of the 35th International Conference on Machine Learning (ICML 2018)</w:t>
      </w:r>
      <w:r>
        <w:rPr>
          <w:color w:val="000000"/>
        </w:rPr>
        <w:t>. Stockholm, Sweden: PMLR, 2018: 1861-1870.</w:t>
      </w:r>
    </w:p>
    <w:p>
      <w:pPr>
        <w:pStyle w:val="Normal"/>
        <w:spacing w:before="60" w:after="60"/>
        <w:ind w:hanging="0"/>
        <w:rPr>
          <w:color w:val="000000"/>
        </w:rPr>
      </w:pPr>
      <w:r>
        <w:rPr>
          <w:color w:val="000000"/>
        </w:rPr>
        <w:t>[</w:t>
      </w:r>
      <w:r>
        <w:rPr>
          <w:color w:val="000000"/>
        </w:rPr>
        <w:t>11</w:t>
      </w:r>
      <w:r>
        <w:rPr>
          <w:color w:val="000000"/>
        </w:rPr>
        <w:t>]</w:t>
      </w:r>
      <w:r>
        <w:rPr>
          <w:color w:val="0A0A0A"/>
          <w:shd w:fill="F0F2F5" w:val="clear"/>
        </w:rPr>
        <w:t xml:space="preserve"> </w:t>
      </w:r>
      <w:r>
        <w:rPr>
          <w:color w:val="000000"/>
        </w:rPr>
        <w:t>Mnih V ,Badia P A ,Mirza M , et al.Asynchronous Methods for Deep Reinforcement Learning.[EB/OL].</w:t>
      </w:r>
      <w:r>
        <w:rPr/>
        <w:t xml:space="preserve"> </w:t>
      </w:r>
      <w:r>
        <w:rPr>
          <w:color w:val="000000"/>
        </w:rPr>
        <w:t xml:space="preserve">arXiv, 2016. [2025-11-10]. </w:t>
      </w:r>
      <w:hyperlink r:id="rId10">
        <w:r>
          <w:rPr>
            <w:rStyle w:val="InternetLink"/>
          </w:rPr>
          <w:t>https://arxiv.org/abs/1602.01783</w:t>
        </w:r>
      </w:hyperlink>
    </w:p>
    <w:p>
      <w:pPr>
        <w:pStyle w:val="Normal"/>
        <w:spacing w:before="60" w:after="60"/>
        <w:ind w:hanging="0"/>
        <w:rPr/>
      </w:pPr>
      <w:r>
        <w:rPr>
          <w:color w:val="000000"/>
        </w:rPr>
        <w:t>[1</w:t>
      </w:r>
      <w:r>
        <w:rPr>
          <w:color w:val="000000"/>
        </w:rPr>
        <w:t>2</w:t>
      </w:r>
      <w:r>
        <w:rPr>
          <w:color w:val="000000"/>
        </w:rPr>
        <w:t>] Ouyang L, Wu J, Jiang X, et al. Training language models to follow instructions with human feedback [C]// Advances in Neural Information Processing Systems (NeurIPS 2022). 2022.</w:t>
      </w:r>
    </w:p>
    <w:p>
      <w:pPr>
        <w:pStyle w:val="Normal"/>
        <w:spacing w:before="60" w:after="60"/>
        <w:ind w:hanging="0"/>
        <w:rPr/>
      </w:pPr>
      <w:r>
        <w:rPr>
          <w:color w:val="000000"/>
        </w:rPr>
        <w:t>[1</w:t>
      </w:r>
      <w:r>
        <w:rPr>
          <w:color w:val="000000"/>
        </w:rPr>
        <w:t>3</w:t>
      </w:r>
      <w:r>
        <w:rPr>
          <w:color w:val="000000"/>
        </w:rPr>
        <w:t>]</w:t>
      </w:r>
      <w:r>
        <w:rPr/>
        <w:t xml:space="preserve"> </w:t>
      </w:r>
      <w:r>
        <w:rPr>
          <w:color w:val="000000"/>
        </w:rPr>
        <w:t xml:space="preserve">Bengio Y, Louradour J, Collobert R, Weston J. </w:t>
      </w:r>
      <w:bookmarkStart w:id="14" w:name="OLE_LINK10"/>
      <w:r>
        <w:rPr>
          <w:color w:val="000000"/>
        </w:rPr>
        <w:t>Curriculum learning</w:t>
      </w:r>
      <w:bookmarkEnd w:id="14"/>
      <w:r>
        <w:rPr>
          <w:color w:val="000000"/>
        </w:rPr>
        <w:t xml:space="preserve"> [C]// Proceedings of the 26th Annual International Conference on Machine Learning (ICML’09). New York: ACM, 2009: 41–48. DOI:10.1145/1553374.1553380.</w:t>
      </w:r>
    </w:p>
    <w:p>
      <w:pPr>
        <w:pStyle w:val="Normal"/>
        <w:spacing w:before="60" w:after="60"/>
        <w:ind w:hanging="0"/>
        <w:rPr/>
      </w:pPr>
      <w:r>
        <w:rPr>
          <w:color w:val="000000"/>
        </w:rPr>
        <w:t>[1</w:t>
      </w:r>
      <w:r>
        <w:rPr>
          <w:color w:val="000000"/>
        </w:rPr>
        <w:t>4</w:t>
      </w:r>
      <w:r>
        <w:rPr>
          <w:color w:val="000000"/>
        </w:rPr>
        <w:t>] Hu E J, Shen Y, Wallis P, et al. LoRA: Low-Rank Adaptation of Large Language Models [C]// International Conference on Learning Representations (ICLR 2022).2022.</w:t>
      </w:r>
    </w:p>
    <w:p>
      <w:pPr>
        <w:pStyle w:val="Normal"/>
        <w:spacing w:before="60" w:after="60"/>
        <w:ind w:hanging="0"/>
        <w:rPr/>
      </w:pPr>
      <w:r>
        <w:rPr>
          <w:color w:val="000000"/>
        </w:rPr>
        <w:t>[1</w:t>
      </w:r>
      <w:r>
        <w:rPr>
          <w:color w:val="000000"/>
        </w:rPr>
        <w:t>5</w:t>
      </w:r>
      <w:r>
        <w:rPr>
          <w:color w:val="000000"/>
        </w:rPr>
        <w:t>] Dettmers T, Pagnoni A, Holtzman A, Zettlemoyer L. QLoRA: Efficient Finetuning of Quantized large language models [C]// Advances in Neural Information Processing Systems (NeurIPS 2023). 2023.</w:t>
      </w:r>
    </w:p>
    <w:p>
      <w:pPr>
        <w:pStyle w:val="Normal"/>
        <w:spacing w:before="60" w:after="60"/>
        <w:ind w:hanging="0"/>
        <w:rPr>
          <w:color w:val="000000"/>
        </w:rPr>
      </w:pPr>
      <w:r>
        <w:rPr>
          <w:color w:val="000000"/>
        </w:rPr>
        <w:t>[1</w:t>
      </w:r>
      <w:r>
        <w:rPr>
          <w:color w:val="000000"/>
        </w:rPr>
        <w:t>6</w:t>
      </w:r>
      <w:r>
        <w:rPr>
          <w:color w:val="000000"/>
        </w:rPr>
        <w:t xml:space="preserve">] Jon M. Laurent, Joseph D. White, et al. LAB-Bench: Measuring Capabilities of Language Models for Biology Research[EB/OL]. (2024-07-14)[2025-11-10]. </w:t>
      </w:r>
      <w:hyperlink r:id="rId11">
        <w:r>
          <w:rPr>
            <w:rStyle w:val="InternetLink"/>
          </w:rPr>
          <w:t>https://arxiv.org/abs/2407.10362</w:t>
        </w:r>
      </w:hyperlink>
    </w:p>
    <w:p>
      <w:pPr>
        <w:pStyle w:val="Normal"/>
        <w:spacing w:before="60" w:after="60"/>
        <w:ind w:hanging="0"/>
        <w:rPr/>
      </w:pPr>
      <w:r>
        <w:rPr>
          <w:color w:val="000000"/>
        </w:rPr>
        <w:t>[1</w:t>
      </w:r>
      <w:r>
        <w:rPr>
          <w:color w:val="000000"/>
        </w:rPr>
        <w:t>7</w:t>
      </w:r>
      <w:r>
        <w:rPr>
          <w:color w:val="000000"/>
        </w:rPr>
        <w:t>] Oxford Biosecurity Group.</w:t>
      </w:r>
      <w:r>
        <w:rPr/>
        <w:t xml:space="preserve"> </w:t>
      </w:r>
      <w:r>
        <w:rPr>
          <w:color w:val="000000"/>
        </w:rPr>
        <w:t>BioLP-bench: Measuring understanding of AI models of biological lab protocols.[J]. bioRxiv,2024.[2025-11-10].DOI:10.1101/2024.08.21.608694.</w:t>
      </w:r>
    </w:p>
    <w:sectPr>
      <w:headerReference w:type="default" r:id="rId12"/>
      <w:footerReference w:type="default" r:id="rId13"/>
      <w:type w:val="nextPage"/>
      <w:pgSz w:w="11906" w:h="16838"/>
      <w:pgMar w:left="1304" w:right="1304" w:gutter="0" w:header="0" w:top="1304" w:footer="0" w:bottom="1304"/>
      <w:pgNumType w:start="1"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宋体">
    <w:altName w:val="SimSun"/>
    <w:charset w:val="86"/>
    <w:family w:val="auto"/>
    <w:pitch w:val="variable"/>
  </w:font>
  <w:font w:name="Calibri">
    <w:charset w:val="00"/>
    <w:family w:val="swiss"/>
    <w:pitch w:val="variable"/>
  </w:font>
  <w:font w:name="黑体">
    <w:altName w:val="SimHei"/>
    <w:charset w:val="86"/>
    <w:family w:val="modern"/>
    <w:pitch w:val="default"/>
  </w:font>
  <w:font w:name="仿宋_GB2312">
    <w:altName w:val="仿宋"/>
    <w:charset w:val="86"/>
    <w:family w:val="modern"/>
    <w:pitch w:val="default"/>
  </w:font>
  <w:font w:name="楷体_GB2312">
    <w:altName w:val="楷体"/>
    <w:charset w:val="86"/>
    <w:family w:val="modern"/>
    <w:pitch w:val="default"/>
  </w:font>
  <w:font w:name="Cambria Math">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60"/>
      <w:ind w:firstLine="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 w:after="0"/>
      <w:ind w:left="392" w:firstLine="3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2940"/>
        </w:tabs>
        <w:ind w:left="2940" w:hanging="510"/>
      </w:pPr>
      <w:rPr>
        <w:smallCaps w:val="false"/>
        <w:caps w:val="false"/>
        <w:outline w:val="false"/>
        <w:dstrike w:val="false"/>
        <w:strike w:val="false"/>
        <w:vertAlign w:val="baseline"/>
        <w:position w:val="0"/>
        <w:sz w:val="24"/>
        <w:sz w:val="24"/>
        <w:spacing w:val="0"/>
        <w:i w:val="false"/>
        <w:shadow w:val="false"/>
        <w:u w:val="none"/>
        <w:b/>
        <w:szCs w:val="24"/>
        <w:iCs w:val="false"/>
        <w:bCs w:val="false"/>
        <w:em w:val="none"/>
        <w:vanish w:val="false"/>
        <w:rFonts w:ascii="Arial" w:hAnsi="Arial" w:eastAsia="黑体;SimHei" w:cs="Times New Roman"/>
      </w:rPr>
    </w:lvl>
    <w:lvl w:ilvl="1">
      <w:start w:val="1"/>
      <w:pStyle w:val="Heading2"/>
      <w:numFmt w:val="decimal"/>
      <w:lvlText w:val="%1.%2"/>
      <w:lvlJc w:val="left"/>
      <w:pPr>
        <w:tabs>
          <w:tab w:val="num" w:pos="3110"/>
        </w:tabs>
        <w:ind w:left="3110" w:hanging="680"/>
      </w:pPr>
      <w:rPr>
        <w:sz w:val="24"/>
        <w:i w:val="false"/>
        <w:b/>
        <w:szCs w:val="24"/>
        <w:rFonts w:ascii="Arial" w:hAnsi="Arial" w:eastAsia="黑体;SimHei" w:cs="Arial"/>
      </w:rPr>
    </w:lvl>
    <w:lvl w:ilvl="2">
      <w:start w:val="1"/>
      <w:pStyle w:val="Heading3"/>
      <w:numFmt w:val="decimal"/>
      <w:lvlText w:val="%1.%2.%3"/>
      <w:lvlJc w:val="left"/>
      <w:pPr>
        <w:tabs>
          <w:tab w:val="num" w:pos="3281"/>
        </w:tabs>
        <w:ind w:left="3281" w:hanging="851"/>
      </w:pPr>
      <w:rPr>
        <w:sz w:val="24"/>
        <w:i w:val="false"/>
        <w:b/>
        <w:szCs w:val="24"/>
        <w:rFonts w:ascii="Arial" w:hAnsi="Arial" w:eastAsia="黑体;SimHei" w:cs="Arial"/>
      </w:rPr>
    </w:lvl>
    <w:lvl w:ilvl="3">
      <w:start w:val="1"/>
      <w:pStyle w:val="Heading4"/>
      <w:numFmt w:val="decimal"/>
      <w:lvlText w:val="%1.%2.%3.%4"/>
      <w:lvlJc w:val="left"/>
      <w:pPr>
        <w:tabs>
          <w:tab w:val="num" w:pos="3451"/>
        </w:tabs>
        <w:ind w:left="3451" w:hanging="1021"/>
      </w:pPr>
      <w:rPr>
        <w:sz w:val="24"/>
        <w:i w:val="false"/>
        <w:b/>
        <w:szCs w:val="24"/>
        <w:rFonts w:ascii="Arial" w:hAnsi="Arial" w:eastAsia="黑体;SimHei" w:cs="Arial"/>
      </w:rPr>
    </w:lvl>
    <w:lvl w:ilvl="4">
      <w:start w:val="1"/>
      <w:pStyle w:val="Heading5"/>
      <w:numFmt w:val="decimal"/>
      <w:lvlText w:val="%1.%2.%3.%4.%5"/>
      <w:lvlJc w:val="left"/>
      <w:pPr>
        <w:tabs>
          <w:tab w:val="num" w:pos="3621"/>
        </w:tabs>
        <w:ind w:left="3621" w:hanging="1191"/>
      </w:pPr>
      <w:rPr>
        <w:sz w:val="24"/>
        <w:i w:val="false"/>
        <w:b/>
        <w:szCs w:val="24"/>
        <w:rFonts w:ascii="Arial" w:hAnsi="Arial" w:eastAsia="黑体;SimHei" w:cs="Arial"/>
      </w:rPr>
    </w:lvl>
    <w:lvl w:ilvl="5">
      <w:start w:val="1"/>
      <w:pStyle w:val="Heading6"/>
      <w:numFmt w:val="decimal"/>
      <w:lvlText w:val="%1.%2.%3.%4.%5.%6"/>
      <w:lvlJc w:val="left"/>
      <w:pPr>
        <w:tabs>
          <w:tab w:val="num" w:pos="3791"/>
        </w:tabs>
        <w:ind w:left="3791" w:hanging="1361"/>
      </w:pPr>
      <w:rPr>
        <w:sz w:val="24"/>
        <w:i w:val="false"/>
        <w:b/>
        <w:szCs w:val="24"/>
        <w:rFonts w:ascii="Arial" w:hAnsi="Arial" w:eastAsia="黑体;SimHei" w:cs="Arial"/>
      </w:rPr>
    </w:lvl>
    <w:lvl w:ilvl="6">
      <w:start w:val="1"/>
      <w:numFmt w:val="decimal"/>
      <w:lvlText w:val="%1.%2.%3.%4.%5.%6.%7"/>
      <w:lvlJc w:val="left"/>
      <w:pPr>
        <w:tabs>
          <w:tab w:val="num" w:pos="3726"/>
        </w:tabs>
        <w:ind w:left="3726" w:hanging="1296"/>
      </w:pPr>
      <w:rPr/>
    </w:lvl>
    <w:lvl w:ilvl="7">
      <w:start w:val="1"/>
      <w:numFmt w:val="decimal"/>
      <w:lvlText w:val="%1.%2.%3.%4.%5.%6.%7.%8"/>
      <w:lvlJc w:val="left"/>
      <w:pPr>
        <w:tabs>
          <w:tab w:val="num" w:pos="3870"/>
        </w:tabs>
        <w:ind w:left="3870" w:hanging="1440"/>
      </w:pPr>
      <w:rPr/>
    </w:lvl>
    <w:lvl w:ilvl="8">
      <w:start w:val="1"/>
      <w:numFmt w:val="decimal"/>
      <w:lvlText w:val="%1.%2.%3.%4.%5.%6.%7.%8.%9"/>
      <w:lvlJc w:val="left"/>
      <w:pPr>
        <w:tabs>
          <w:tab w:val="num" w:pos="4014"/>
        </w:tabs>
        <w:ind w:left="4014" w:hanging="1584"/>
      </w:pPr>
      <w:rPr/>
    </w:lvl>
  </w:abstractNum>
  <w:abstractNum w:abstractNumId="2">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361"/>
        </w:tabs>
        <w:ind w:left="1361" w:hanging="1361"/>
      </w:pPr>
      <w:rPr/>
    </w:lvl>
    <w:lvl w:ilvl="6">
      <w:start w:val="1"/>
      <w:numFmt w:val="decimal"/>
      <w:lvlText w:val="%1.%2.%3.%4.%5.%6.%7"/>
      <w:lvlJc w:val="left"/>
      <w:pPr>
        <w:tabs>
          <w:tab w:val="num" w:pos="1531"/>
        </w:tabs>
        <w:ind w:left="1531" w:hanging="1531"/>
      </w:pPr>
      <w:rPr>
        <w:sz w:val="24"/>
        <w:i w:val="false"/>
        <w:b/>
        <w:szCs w:val="24"/>
        <w:rFonts w:ascii="Arial" w:hAnsi="Arial" w:eastAsia="黑体;SimHei" w:cs="Arial"/>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3">
    <w:lvl w:ilvl="0">
      <w:start w:val="1"/>
      <w:numFmt w:val="decimal"/>
      <w:lvlText w:val="%1）"/>
      <w:lvlJc w:val="left"/>
      <w:pPr>
        <w:tabs>
          <w:tab w:val="num" w:pos="0"/>
        </w:tabs>
        <w:ind w:left="36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6"/>
  <w:defaultTabStop w:val="4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00" w:before="25" w:after="25"/>
      <w:ind w:firstLine="200"/>
      <w:jc w:val="both"/>
    </w:pPr>
    <w:rPr>
      <w:rFonts w:ascii="Times New Roman" w:hAnsi="Times New Roman" w:eastAsia="宋体;SimSun" w:cs="Times New Roman"/>
      <w:color w:val="auto"/>
      <w:kern w:val="2"/>
      <w:sz w:val="24"/>
      <w:szCs w:val="24"/>
      <w:lang w:val="en-US" w:eastAsia="zh-CN" w:bidi="ar-SA"/>
    </w:rPr>
  </w:style>
  <w:style w:type="paragraph" w:styleId="Heading1">
    <w:name w:val="Heading 1"/>
    <w:basedOn w:val="Normal"/>
    <w:next w:val="Normal"/>
    <w:qFormat/>
    <w:pPr>
      <w:keepNext w:val="true"/>
      <w:numPr>
        <w:ilvl w:val="0"/>
        <w:numId w:val="1"/>
      </w:numPr>
      <w:jc w:val="left"/>
      <w:outlineLvl w:val="0"/>
    </w:pPr>
    <w:rPr>
      <w:rFonts w:eastAsia="黑体;SimHei"/>
      <w:bCs/>
      <w:kern w:val="2"/>
      <w:sz w:val="28"/>
      <w:szCs w:val="44"/>
    </w:rPr>
  </w:style>
  <w:style w:type="paragraph" w:styleId="Heading2">
    <w:name w:val="Heading 2"/>
    <w:basedOn w:val="Normal"/>
    <w:next w:val="Normal"/>
    <w:qFormat/>
    <w:pPr>
      <w:keepNext w:val="true"/>
      <w:numPr>
        <w:ilvl w:val="1"/>
        <w:numId w:val="1"/>
      </w:numPr>
      <w:outlineLvl w:val="1"/>
    </w:pPr>
    <w:rPr>
      <w:rFonts w:ascii="Arial" w:hAnsi="Arial" w:eastAsia="黑体;SimHei" w:cs="Arial"/>
      <w:bCs/>
      <w:sz w:val="28"/>
      <w:szCs w:val="32"/>
    </w:rPr>
  </w:style>
  <w:style w:type="paragraph" w:styleId="Heading3">
    <w:name w:val="Heading 3"/>
    <w:basedOn w:val="Normal"/>
    <w:next w:val="Normal"/>
    <w:qFormat/>
    <w:pPr>
      <w:keepNext w:val="true"/>
      <w:numPr>
        <w:ilvl w:val="2"/>
        <w:numId w:val="1"/>
      </w:numPr>
      <w:outlineLvl w:val="2"/>
    </w:pPr>
    <w:rPr>
      <w:rFonts w:eastAsia="黑体;SimHei"/>
      <w:bCs/>
      <w:sz w:val="28"/>
      <w:szCs w:val="30"/>
    </w:rPr>
  </w:style>
  <w:style w:type="paragraph" w:styleId="Heading4">
    <w:name w:val="Heading 4"/>
    <w:basedOn w:val="Normal"/>
    <w:next w:val="Normal"/>
    <w:qFormat/>
    <w:pPr>
      <w:keepNext w:val="true"/>
      <w:numPr>
        <w:ilvl w:val="3"/>
        <w:numId w:val="1"/>
      </w:numPr>
      <w:jc w:val="left"/>
      <w:outlineLvl w:val="3"/>
    </w:pPr>
    <w:rPr>
      <w:rFonts w:ascii="Arial" w:hAnsi="Arial" w:eastAsia="黑体;SimHei" w:cs="Arial"/>
      <w:bCs/>
      <w:szCs w:val="28"/>
    </w:rPr>
  </w:style>
  <w:style w:type="paragraph" w:styleId="Heading5">
    <w:name w:val="Heading 5"/>
    <w:basedOn w:val="Normal"/>
    <w:next w:val="Normal"/>
    <w:qFormat/>
    <w:pPr>
      <w:keepNext w:val="true"/>
      <w:numPr>
        <w:ilvl w:val="4"/>
        <w:numId w:val="1"/>
      </w:numPr>
      <w:outlineLvl w:val="4"/>
    </w:pPr>
    <w:rPr>
      <w:rFonts w:eastAsia="黑体;SimHei"/>
      <w:bCs/>
      <w:szCs w:val="21"/>
    </w:rPr>
  </w:style>
  <w:style w:type="paragraph" w:styleId="Heading6">
    <w:name w:val="Heading 6"/>
    <w:basedOn w:val="Normal"/>
    <w:next w:val="Normal"/>
    <w:qFormat/>
    <w:pPr>
      <w:keepNext w:val="true"/>
      <w:numPr>
        <w:ilvl w:val="5"/>
        <w:numId w:val="1"/>
      </w:numPr>
      <w:outlineLvl w:val="5"/>
    </w:pPr>
    <w:rPr>
      <w:rFonts w:ascii="Arial" w:hAnsi="Arial" w:eastAsia="黑体;SimHei" w:cs="Arial"/>
      <w:bCs/>
    </w:rPr>
  </w:style>
  <w:style w:type="paragraph" w:styleId="Heading7">
    <w:name w:val="Heading 7"/>
    <w:basedOn w:val="Normal"/>
    <w:next w:val="Normal"/>
    <w:qFormat/>
    <w:pPr>
      <w:keepNext w:val="true"/>
      <w:numPr>
        <w:ilvl w:val="0"/>
        <w:numId w:val="2"/>
      </w:numPr>
      <w:jc w:val="left"/>
      <w:outlineLvl w:val="6"/>
    </w:pPr>
    <w:rPr>
      <w:rFonts w:eastAsia="黑体;SimHei"/>
      <w:bCs/>
    </w:rPr>
  </w:style>
  <w:style w:type="paragraph" w:styleId="Heading8">
    <w:name w:val="Heading 8"/>
    <w:basedOn w:val="Normal"/>
    <w:next w:val="Normal"/>
    <w:qFormat/>
    <w:pPr>
      <w:spacing w:before="0" w:after="0"/>
      <w:ind w:hanging="0"/>
      <w:outlineLvl w:val="7"/>
    </w:pPr>
    <w:rPr>
      <w:rFonts w:ascii="Cambria" w:hAnsi="Cambria" w:cs="Cambria"/>
      <w:sz w:val="20"/>
      <w:szCs w:val="20"/>
    </w:rPr>
  </w:style>
  <w:style w:type="paragraph" w:styleId="Heading9">
    <w:name w:val="Heading 9"/>
    <w:basedOn w:val="Normal"/>
    <w:next w:val="Normal"/>
    <w:qFormat/>
    <w:pPr>
      <w:keepNext w:val="true"/>
      <w:keepLines/>
      <w:spacing w:lineRule="auto" w:line="319" w:before="240" w:after="64"/>
      <w:outlineLvl w:val="8"/>
    </w:pPr>
    <w:rPr>
      <w:rFonts w:ascii="Arial" w:hAnsi="Arial" w:eastAsia="黑体;SimHei" w:cs="Arial"/>
      <w:sz w:val="21"/>
      <w:szCs w:val="21"/>
    </w:rPr>
  </w:style>
  <w:style w:type="character" w:styleId="WW8Num1z0">
    <w:name w:val="WW8Num1z0"/>
    <w:qFormat/>
    <w:rPr/>
  </w:style>
  <w:style w:type="character" w:styleId="WW8Num1z6">
    <w:name w:val="WW8Num1z6"/>
    <w:qFormat/>
    <w:rPr>
      <w:rFonts w:ascii="Arial" w:hAnsi="Arial" w:eastAsia="黑体;SimHei" w:cs="Arial"/>
      <w:b/>
      <w:i w:val="false"/>
      <w:sz w:val="24"/>
      <w:szCs w:val="24"/>
    </w:rPr>
  </w:style>
  <w:style w:type="character" w:styleId="WW8Num2z0">
    <w:name w:val="WW8Num2z0"/>
    <w:qFormat/>
    <w:rPr>
      <w:rFonts w:ascii="Arial" w:hAnsi="Arial" w:eastAsia="黑体;SimHei" w:cs="Times New Roman"/>
      <w:b/>
      <w:bCs w:val="false"/>
      <w:i w:val="false"/>
      <w:iCs w:val="false"/>
      <w:caps w:val="false"/>
      <w:smallCaps w:val="false"/>
      <w:strike w:val="false"/>
      <w:dstrike w:val="false"/>
      <w:outline w:val="false"/>
      <w:shadow w:val="false"/>
      <w:vanish w:val="false"/>
      <w:spacing w:val="0"/>
      <w:position w:val="0"/>
      <w:sz w:val="24"/>
      <w:sz w:val="24"/>
      <w:szCs w:val="24"/>
      <w:u w:val="none"/>
      <w:vertAlign w:val="baseline"/>
      <w:em w:val="none"/>
    </w:rPr>
  </w:style>
  <w:style w:type="character" w:styleId="WW8Num2z1">
    <w:name w:val="WW8Num2z1"/>
    <w:qFormat/>
    <w:rPr>
      <w:rFonts w:ascii="Arial" w:hAnsi="Arial" w:eastAsia="黑体;SimHei" w:cs="Arial"/>
      <w:b/>
      <w:i w:val="false"/>
      <w:sz w:val="24"/>
      <w:szCs w:val="24"/>
    </w:rPr>
  </w:style>
  <w:style w:type="character" w:styleId="WW8Num2z6">
    <w:name w:val="WW8Num2z6"/>
    <w:qFormat/>
    <w:rPr/>
  </w:style>
  <w:style w:type="character" w:styleId="WW8Num3z0">
    <w:name w:val="WW8Num3z0"/>
    <w:qFormat/>
    <w:rPr/>
  </w:style>
  <w:style w:type="character" w:styleId="Style5">
    <w:name w:val="默认段落字体"/>
    <w:qFormat/>
    <w:rPr/>
  </w:style>
  <w:style w:type="character" w:styleId="1Char">
    <w:name w:val="标题 1 Char"/>
    <w:qFormat/>
    <w:rPr>
      <w:rFonts w:eastAsia="黑体;SimHei"/>
      <w:bCs/>
      <w:kern w:val="2"/>
      <w:sz w:val="28"/>
      <w:szCs w:val="44"/>
    </w:rPr>
  </w:style>
  <w:style w:type="character" w:styleId="2Char">
    <w:name w:val="标题 2 Char"/>
    <w:qFormat/>
    <w:rPr>
      <w:rFonts w:ascii="Arial" w:hAnsi="Arial" w:eastAsia="黑体;SimHei" w:cs="Arial"/>
      <w:bCs/>
      <w:kern w:val="2"/>
      <w:sz w:val="28"/>
      <w:szCs w:val="32"/>
    </w:rPr>
  </w:style>
  <w:style w:type="character" w:styleId="3Char">
    <w:name w:val="标题 3 Char"/>
    <w:qFormat/>
    <w:rPr>
      <w:rFonts w:eastAsia="黑体;SimHei"/>
      <w:bCs/>
      <w:kern w:val="2"/>
      <w:sz w:val="28"/>
      <w:szCs w:val="30"/>
    </w:rPr>
  </w:style>
  <w:style w:type="character" w:styleId="4Char">
    <w:name w:val="标题 4 Char"/>
    <w:qFormat/>
    <w:rPr>
      <w:rFonts w:ascii="Arial" w:hAnsi="Arial" w:eastAsia="黑体;SimHei" w:cs="Arial"/>
      <w:bCs/>
      <w:kern w:val="2"/>
      <w:sz w:val="24"/>
      <w:szCs w:val="28"/>
    </w:rPr>
  </w:style>
  <w:style w:type="character" w:styleId="5Char">
    <w:name w:val="标题 5 Char"/>
    <w:qFormat/>
    <w:rPr>
      <w:rFonts w:eastAsia="黑体;SimHei"/>
      <w:bCs/>
      <w:kern w:val="2"/>
      <w:sz w:val="24"/>
      <w:szCs w:val="21"/>
    </w:rPr>
  </w:style>
  <w:style w:type="character" w:styleId="6Char">
    <w:name w:val="标题 6 Char"/>
    <w:qFormat/>
    <w:rPr>
      <w:rFonts w:ascii="Arial" w:hAnsi="Arial" w:eastAsia="黑体;SimHei" w:cs="Arial"/>
      <w:bCs/>
      <w:kern w:val="2"/>
      <w:sz w:val="24"/>
      <w:szCs w:val="24"/>
    </w:rPr>
  </w:style>
  <w:style w:type="character" w:styleId="7Char">
    <w:name w:val="标题 7 Char"/>
    <w:qFormat/>
    <w:rPr>
      <w:rFonts w:eastAsia="黑体;SimHei"/>
      <w:bCs/>
      <w:kern w:val="2"/>
      <w:sz w:val="24"/>
      <w:szCs w:val="24"/>
    </w:rPr>
  </w:style>
  <w:style w:type="character" w:styleId="8Char">
    <w:name w:val="标题 8 Char"/>
    <w:qFormat/>
    <w:rPr>
      <w:rFonts w:ascii="Cambria" w:hAnsi="Cambria" w:eastAsia="宋体;SimSun" w:cs="Cambria"/>
      <w:kern w:val="2"/>
      <w:lang w:val="en-US" w:eastAsia="zh-CN" w:bidi="ar-SA"/>
    </w:rPr>
  </w:style>
  <w:style w:type="character" w:styleId="9Char">
    <w:name w:val="标题 9 Char"/>
    <w:qFormat/>
    <w:rPr>
      <w:rFonts w:ascii="Arial" w:hAnsi="Arial" w:eastAsia="黑体;SimHei" w:cs="Arial"/>
      <w:kern w:val="2"/>
      <w:sz w:val="21"/>
      <w:szCs w:val="21"/>
      <w:lang w:val="en-US" w:eastAsia="zh-CN" w:bidi="ar-SA"/>
    </w:rPr>
  </w:style>
  <w:style w:type="character" w:styleId="Char">
    <w:name w:val="图 Char"/>
    <w:qFormat/>
    <w:rPr>
      <w:kern w:val="2"/>
      <w:sz w:val="24"/>
      <w:szCs w:val="24"/>
    </w:rPr>
  </w:style>
  <w:style w:type="character" w:styleId="Char1">
    <w:name w:val="页脚 Char"/>
    <w:qFormat/>
    <w:rPr>
      <w:rFonts w:eastAsia="宋体;SimSun"/>
      <w:kern w:val="2"/>
      <w:sz w:val="18"/>
      <w:szCs w:val="18"/>
      <w:lang w:val="en-US" w:eastAsia="zh-CN" w:bidi="ar-SA"/>
    </w:rPr>
  </w:style>
  <w:style w:type="character" w:styleId="PageNumber">
    <w:name w:val="Page Number"/>
    <w:basedOn w:val="Style5"/>
    <w:rPr/>
  </w:style>
  <w:style w:type="character" w:styleId="Char2">
    <w:name w:val="标题 Char"/>
    <w:qFormat/>
    <w:rPr>
      <w:rFonts w:ascii="Arial" w:hAnsi="Arial" w:eastAsia="宋体;SimSun" w:cs="Arial"/>
      <w:b/>
      <w:bCs/>
      <w:kern w:val="2"/>
      <w:sz w:val="32"/>
      <w:szCs w:val="32"/>
      <w:lang w:val="en-US" w:eastAsia="zh-CN" w:bidi="ar-SA"/>
    </w:rPr>
  </w:style>
  <w:style w:type="character" w:styleId="InternetLink">
    <w:name w:val="Hyperlink"/>
    <w:rPr>
      <w:color w:val="0000FF"/>
      <w:u w:val="none"/>
    </w:rPr>
  </w:style>
  <w:style w:type="character" w:styleId="1Char1">
    <w:name w:val="附表1 Char"/>
    <w:qFormat/>
    <w:rPr>
      <w:kern w:val="2"/>
      <w:sz w:val="28"/>
      <w:szCs w:val="28"/>
    </w:rPr>
  </w:style>
  <w:style w:type="character" w:styleId="FootnoteCharacters">
    <w:name w:val="Footnote Characters"/>
    <w:qFormat/>
    <w:rPr>
      <w:vertAlign w:val="superscript"/>
    </w:rPr>
  </w:style>
  <w:style w:type="character" w:styleId="Char3">
    <w:name w:val="正文文本缩进 Char"/>
    <w:qFormat/>
    <w:rPr>
      <w:rFonts w:eastAsia="宋体;SimSun"/>
      <w:kern w:val="2"/>
      <w:sz w:val="21"/>
      <w:szCs w:val="24"/>
      <w:lang w:val="en-US" w:eastAsia="zh-CN" w:bidi="ar-SA"/>
    </w:rPr>
  </w:style>
  <w:style w:type="character" w:styleId="Char4">
    <w:name w:val="日期 Char"/>
    <w:qFormat/>
    <w:rPr>
      <w:rFonts w:eastAsia="宋体;SimSun"/>
      <w:kern w:val="2"/>
      <w:sz w:val="24"/>
      <w:szCs w:val="24"/>
      <w:lang w:val="en-US" w:eastAsia="zh-CN" w:bidi="ar-SA"/>
    </w:rPr>
  </w:style>
  <w:style w:type="character" w:styleId="Applestylespan">
    <w:name w:val="apple-style-span"/>
    <w:basedOn w:val="Style5"/>
    <w:qFormat/>
    <w:rPr/>
  </w:style>
  <w:style w:type="character" w:styleId="Char5">
    <w:name w:val="文档正文 Char"/>
    <w:qFormat/>
    <w:rPr>
      <w:rFonts w:ascii="宋体;SimSun" w:hAnsi="宋体;SimSun" w:eastAsia="宋体;SimSun"/>
      <w:kern w:val="2"/>
      <w:sz w:val="24"/>
      <w:lang w:val="en-US" w:eastAsia="zh-CN" w:bidi="ar-SA"/>
    </w:rPr>
  </w:style>
  <w:style w:type="character" w:styleId="Char6">
    <w:name w:val="正文文本 Char"/>
    <w:qFormat/>
    <w:rPr>
      <w:rFonts w:eastAsia="宋体;SimSun"/>
      <w:kern w:val="2"/>
      <w:sz w:val="24"/>
      <w:szCs w:val="24"/>
      <w:lang w:val="en-US" w:eastAsia="zh-CN" w:bidi="ar-SA"/>
    </w:rPr>
  </w:style>
  <w:style w:type="character" w:styleId="Char7">
    <w:name w:val="加粗 Char"/>
    <w:qFormat/>
    <w:rPr>
      <w:rFonts w:ascii="宋体;SimSun" w:hAnsi="宋体;SimSun" w:eastAsia="宋体;SimSun"/>
      <w:b/>
      <w:kern w:val="2"/>
      <w:sz w:val="24"/>
      <w:lang w:val="en-US" w:eastAsia="zh-CN" w:bidi="ar-SA"/>
    </w:rPr>
  </w:style>
  <w:style w:type="character" w:styleId="CharChar">
    <w:name w:val="页脚 Char Char"/>
    <w:qFormat/>
    <w:rPr>
      <w:rFonts w:ascii="Times New Roman" w:hAnsi="Times New Roman" w:cs="Times New Roman"/>
      <w:kern w:val="2"/>
      <w:sz w:val="18"/>
      <w:szCs w:val="18"/>
    </w:rPr>
  </w:style>
  <w:style w:type="character" w:styleId="CharChar1">
    <w:name w:val="页眉 Char Char"/>
    <w:qFormat/>
    <w:rPr>
      <w:rFonts w:ascii="Times New Roman" w:hAnsi="Times New Roman" w:cs="Times New Roman"/>
      <w:kern w:val="2"/>
      <w:sz w:val="18"/>
      <w:szCs w:val="18"/>
    </w:rPr>
  </w:style>
  <w:style w:type="character" w:styleId="Char11">
    <w:name w:val="无间隔 Char1"/>
    <w:qFormat/>
    <w:rPr>
      <w:rFonts w:ascii="Calibri" w:hAnsi="Calibri" w:eastAsia="宋体;SimSun" w:cs="Calibri"/>
      <w:kern w:val="2"/>
      <w:sz w:val="21"/>
      <w:szCs w:val="22"/>
      <w:lang w:val="en-US" w:eastAsia="zh-CN" w:bidi="ar-SA"/>
    </w:rPr>
  </w:style>
  <w:style w:type="character" w:styleId="2CharChar">
    <w:name w:val="标题 2 Char Char"/>
    <w:qFormat/>
    <w:rPr>
      <w:rFonts w:ascii="Cambria" w:hAnsi="Cambria" w:eastAsia="宋体;SimSun" w:cs="Times New Roman"/>
      <w:b/>
      <w:bCs/>
      <w:sz w:val="26"/>
      <w:szCs w:val="26"/>
    </w:rPr>
  </w:style>
  <w:style w:type="character" w:styleId="Style6">
    <w:name w:val="不明显参考"/>
    <w:qFormat/>
    <w:rPr>
      <w:smallCaps/>
    </w:rPr>
  </w:style>
  <w:style w:type="character" w:styleId="Char12">
    <w:name w:val="明显引用 Char1"/>
    <w:qFormat/>
    <w:rPr>
      <w:b/>
      <w:bCs/>
      <w:i/>
      <w:iCs/>
      <w:lang w:bidi="ar-SA"/>
    </w:rPr>
  </w:style>
  <w:style w:type="character" w:styleId="Style7">
    <w:name w:val="不明显强调"/>
    <w:qFormat/>
    <w:rPr>
      <w:i/>
      <w:iCs/>
    </w:rPr>
  </w:style>
  <w:style w:type="character" w:styleId="Char8">
    <w:name w:val="副标题 Char"/>
    <w:qFormat/>
    <w:rPr>
      <w:rFonts w:ascii="Cambria" w:hAnsi="Cambria" w:eastAsia="宋体;SimSun" w:cs="Cambria"/>
      <w:i/>
      <w:iCs/>
      <w:spacing w:val="13"/>
      <w:sz w:val="24"/>
      <w:szCs w:val="24"/>
      <w:lang w:bidi="ar-SA"/>
    </w:rPr>
  </w:style>
  <w:style w:type="character" w:styleId="Char13">
    <w:name w:val="引用 Char1"/>
    <w:qFormat/>
    <w:rPr>
      <w:i/>
      <w:iCs/>
      <w:lang w:bidi="ar-SA"/>
    </w:rPr>
  </w:style>
  <w:style w:type="character" w:styleId="CharChar14">
    <w:name w:val=" Char Char14"/>
    <w:qFormat/>
    <w:rPr>
      <w:rFonts w:ascii="Cambria" w:hAnsi="Cambria" w:eastAsia="宋体;SimSun" w:cs="Times New Roman"/>
      <w:b/>
      <w:bCs/>
      <w:sz w:val="28"/>
      <w:szCs w:val="28"/>
    </w:rPr>
  </w:style>
  <w:style w:type="character" w:styleId="CharChar13">
    <w:name w:val=" Char Char13"/>
    <w:qFormat/>
    <w:rPr>
      <w:rFonts w:ascii="Cambria" w:hAnsi="Cambria" w:eastAsia="宋体;SimSun" w:cs="Times New Roman"/>
      <w:b/>
      <w:bCs/>
      <w:sz w:val="26"/>
      <w:szCs w:val="26"/>
    </w:rPr>
  </w:style>
  <w:style w:type="character" w:styleId="CharChar12">
    <w:name w:val=" Char Char12"/>
    <w:qFormat/>
    <w:rPr>
      <w:rFonts w:ascii="Cambria" w:hAnsi="Cambria" w:eastAsia="宋体;SimSun" w:cs="Times New Roman"/>
      <w:b/>
      <w:bCs/>
    </w:rPr>
  </w:style>
  <w:style w:type="character" w:styleId="CharChar11">
    <w:name w:val=" Char Char11"/>
    <w:qFormat/>
    <w:rPr>
      <w:rFonts w:ascii="Cambria" w:hAnsi="Cambria" w:eastAsia="宋体;SimSun" w:cs="Times New Roman"/>
      <w:b/>
      <w:bCs/>
      <w:i/>
      <w:iCs/>
    </w:rPr>
  </w:style>
  <w:style w:type="character" w:styleId="CharChar10">
    <w:name w:val=" Char Char10"/>
    <w:qFormat/>
    <w:rPr>
      <w:rFonts w:ascii="Cambria" w:hAnsi="Cambria" w:eastAsia="宋体;SimSun" w:cs="Times New Roman"/>
      <w:b/>
      <w:bCs/>
      <w:color w:val="7F7F7F"/>
    </w:rPr>
  </w:style>
  <w:style w:type="character" w:styleId="CharChar5">
    <w:name w:val=" Char Char5"/>
    <w:qFormat/>
    <w:rPr>
      <w:rFonts w:ascii="Cambria" w:hAnsi="Cambria" w:eastAsia="宋体;SimSun" w:cs="Times New Roman"/>
      <w:spacing w:val="5"/>
      <w:sz w:val="52"/>
      <w:szCs w:val="52"/>
    </w:rPr>
  </w:style>
  <w:style w:type="character" w:styleId="CharChar4">
    <w:name w:val=" Char Char4"/>
    <w:qFormat/>
    <w:rPr>
      <w:rFonts w:ascii="Cambria" w:hAnsi="Cambria" w:eastAsia="宋体;SimSun" w:cs="Times New Roman"/>
      <w:i/>
      <w:iCs/>
      <w:spacing w:val="13"/>
      <w:sz w:val="24"/>
      <w:szCs w:val="24"/>
    </w:rPr>
  </w:style>
  <w:style w:type="character" w:styleId="StrongEmphasis">
    <w:name w:val="Strong Emphasis"/>
    <w:qFormat/>
    <w:rPr>
      <w:b/>
      <w:bCs/>
    </w:rPr>
  </w:style>
  <w:style w:type="character" w:styleId="Emphasis">
    <w:name w:val="Emphasis"/>
    <w:qFormat/>
    <w:rPr>
      <w:b/>
      <w:bCs/>
      <w:i/>
      <w:iCs/>
      <w:spacing w:val="10"/>
      <w:shd w:fill="auto" w:val="clear"/>
    </w:rPr>
  </w:style>
  <w:style w:type="character" w:styleId="Char9">
    <w:name w:val="无间隔 Char"/>
    <w:basedOn w:val="Style5"/>
    <w:qFormat/>
    <w:rPr/>
  </w:style>
  <w:style w:type="character" w:styleId="Char10">
    <w:name w:val="引用 Char"/>
    <w:qFormat/>
    <w:rPr>
      <w:i/>
      <w:iCs/>
    </w:rPr>
  </w:style>
  <w:style w:type="character" w:styleId="Char14">
    <w:name w:val="明显引用 Char"/>
    <w:qFormat/>
    <w:rPr>
      <w:b/>
      <w:bCs/>
      <w:i/>
      <w:iCs/>
    </w:rPr>
  </w:style>
  <w:style w:type="character" w:styleId="Style8">
    <w:name w:val="明显强调"/>
    <w:qFormat/>
    <w:rPr>
      <w:b/>
      <w:bCs/>
    </w:rPr>
  </w:style>
  <w:style w:type="character" w:styleId="Style9">
    <w:name w:val="明显参考"/>
    <w:qFormat/>
    <w:rPr>
      <w:smallCaps/>
      <w:spacing w:val="5"/>
      <w:u w:val="single"/>
    </w:rPr>
  </w:style>
  <w:style w:type="character" w:styleId="Style10">
    <w:name w:val="书籍标题"/>
    <w:qFormat/>
    <w:rPr>
      <w:i/>
      <w:iCs/>
      <w:smallCaps/>
      <w:spacing w:val="5"/>
    </w:rPr>
  </w:style>
  <w:style w:type="character" w:styleId="CharChar3">
    <w:name w:val=" Char Char3"/>
    <w:qFormat/>
    <w:rPr>
      <w:kern w:val="2"/>
      <w:sz w:val="21"/>
      <w:szCs w:val="22"/>
    </w:rPr>
  </w:style>
  <w:style w:type="character" w:styleId="CharChar9">
    <w:name w:val=" Char Char9"/>
    <w:qFormat/>
    <w:rPr>
      <w:rFonts w:ascii="Cambria" w:hAnsi="Cambria" w:eastAsia="宋体;SimSun" w:cs="Times New Roman"/>
      <w:b/>
      <w:bCs/>
      <w:i/>
      <w:iCs/>
      <w:color w:val="7F7F7F"/>
    </w:rPr>
  </w:style>
  <w:style w:type="character" w:styleId="CharChar7">
    <w:name w:val=" Char Char7"/>
    <w:qFormat/>
    <w:rPr>
      <w:rFonts w:ascii="Cambria" w:hAnsi="Cambria" w:eastAsia="宋体;SimSun" w:cs="Times New Roman"/>
      <w:sz w:val="20"/>
      <w:szCs w:val="20"/>
    </w:rPr>
  </w:style>
  <w:style w:type="character" w:styleId="CharChar8">
    <w:name w:val=" Char Char8"/>
    <w:qFormat/>
    <w:rPr>
      <w:rFonts w:ascii="Cambria" w:hAnsi="Cambria" w:eastAsia="宋体;SimSun" w:cs="Times New Roman"/>
      <w:i/>
      <w:iCs/>
    </w:rPr>
  </w:style>
  <w:style w:type="character" w:styleId="CharChar6">
    <w:name w:val=" Char Char6"/>
    <w:qFormat/>
    <w:rPr>
      <w:rFonts w:ascii="Cambria" w:hAnsi="Cambria" w:eastAsia="宋体;SimSun" w:cs="Times New Roman"/>
      <w:i/>
      <w:iCs/>
      <w:spacing w:val="5"/>
      <w:sz w:val="20"/>
      <w:szCs w:val="20"/>
    </w:rPr>
  </w:style>
  <w:style w:type="character" w:styleId="Char15">
    <w:name w:val="批注框文本 Char"/>
    <w:qFormat/>
    <w:rPr>
      <w:kern w:val="2"/>
      <w:sz w:val="18"/>
      <w:szCs w:val="18"/>
    </w:rPr>
  </w:style>
  <w:style w:type="character" w:styleId="Style11">
    <w:name w:val="批注引用"/>
    <w:qFormat/>
    <w:rPr>
      <w:sz w:val="21"/>
      <w:szCs w:val="21"/>
    </w:rPr>
  </w:style>
  <w:style w:type="character" w:styleId="Char16">
    <w:name w:val="批注文字 Char"/>
    <w:qFormat/>
    <w:rPr>
      <w:kern w:val="2"/>
      <w:sz w:val="24"/>
      <w:szCs w:val="24"/>
    </w:rPr>
  </w:style>
  <w:style w:type="character" w:styleId="Char17">
    <w:name w:val="批注主题 Char"/>
    <w:qFormat/>
    <w:rPr>
      <w:b/>
      <w:bCs/>
      <w:kern w:val="2"/>
      <w:sz w:val="24"/>
      <w:szCs w:val="24"/>
    </w:rPr>
  </w:style>
  <w:style w:type="character" w:styleId="Char18">
    <w:name w:val="纯文本 Char"/>
    <w:qFormat/>
    <w:rPr>
      <w:rFonts w:ascii="宋体;SimSun" w:hAnsi="宋体;SimSun" w:cs="Courier New"/>
      <w:kern w:val="2"/>
      <w:sz w:val="21"/>
    </w:rPr>
  </w:style>
  <w:style w:type="character" w:styleId="Style12">
    <w:name w:val="未处理的提及"/>
    <w:qFormat/>
    <w:rPr>
      <w:color w:val="605E5C"/>
      <w:shd w:fill="E1DFDD" w:val="clear"/>
    </w:rPr>
  </w:style>
  <w:style w:type="character" w:styleId="VisitedInternetLink">
    <w:name w:val="FollowedHyperlink"/>
    <w:rPr>
      <w:color w:val="954F72"/>
      <w:u w:val="single"/>
    </w:rPr>
  </w:style>
  <w:style w:type="paragraph" w:styleId="Heading">
    <w:name w:val="Heading"/>
    <w:basedOn w:val="Normal"/>
    <w:next w:val="Normal"/>
    <w:qFormat/>
    <w:pPr>
      <w:ind w:hanging="0"/>
      <w:jc w:val="center"/>
      <w:outlineLvl w:val="0"/>
    </w:pPr>
    <w:rPr>
      <w:rFonts w:ascii="Arial" w:hAnsi="Arial" w:cs="Arial"/>
      <w:b/>
      <w:bCs/>
      <w:sz w:val="32"/>
      <w:szCs w:val="32"/>
    </w:rPr>
  </w:style>
  <w:style w:type="paragraph" w:styleId="TextBody">
    <w:name w:val="Body Text"/>
    <w:basedOn w:val="Normal"/>
    <w:pPr>
      <w:spacing w:before="25" w:after="12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19">
    <w:name w:val="Char"/>
    <w:basedOn w:val="Normal"/>
    <w:qFormat/>
    <w:pPr>
      <w:tabs>
        <w:tab w:val="clear" w:pos="420"/>
        <w:tab w:val="left" w:pos="360" w:leader="none"/>
      </w:tabs>
      <w:spacing w:lineRule="auto" w:line="240" w:before="0" w:after="0"/>
      <w:ind w:hanging="0"/>
    </w:pPr>
    <w:rPr/>
  </w:style>
  <w:style w:type="paragraph" w:styleId="Style13">
    <w:name w:val="正文标题"/>
    <w:basedOn w:val="Normal"/>
    <w:next w:val="Normal"/>
    <w:qFormat/>
    <w:pPr>
      <w:ind w:hanging="0"/>
      <w:jc w:val="center"/>
    </w:pPr>
    <w:rPr>
      <w:rFonts w:eastAsia="黑体;SimHei"/>
      <w:sz w:val="44"/>
    </w:rPr>
  </w:style>
  <w:style w:type="paragraph" w:styleId="Style14">
    <w:name w:val="编号*"/>
    <w:basedOn w:val="Normal"/>
    <w:qFormat/>
    <w:pPr>
      <w:tabs>
        <w:tab w:val="clear" w:pos="420"/>
        <w:tab w:val="left" w:pos="1531" w:leader="none"/>
      </w:tabs>
      <w:spacing w:before="104" w:after="104"/>
      <w:ind w:left="1531" w:hanging="340"/>
    </w:pPr>
    <w:rPr/>
  </w:style>
  <w:style w:type="paragraph" w:styleId="Style15">
    <w:name w:val="图"/>
    <w:basedOn w:val="Normal"/>
    <w:next w:val="Normal"/>
    <w:qFormat/>
    <w:pPr>
      <w:tabs>
        <w:tab w:val="clear" w:pos="420"/>
        <w:tab w:val="left" w:pos="510" w:leader="none"/>
        <w:tab w:val="left" w:pos="777" w:leader="none"/>
      </w:tabs>
      <w:spacing w:before="104" w:after="104"/>
      <w:ind w:left="510" w:hanging="510"/>
      <w:jc w:val="center"/>
    </w:pPr>
    <w:rPr/>
  </w:style>
  <w:style w:type="paragraph" w:styleId="Style16">
    <w:name w:val="表"/>
    <w:basedOn w:val="Normal"/>
    <w:next w:val="Normal"/>
    <w:qFormat/>
    <w:pPr>
      <w:keepNext w:val="true"/>
      <w:tabs>
        <w:tab w:val="clear" w:pos="420"/>
        <w:tab w:val="left" w:pos="511" w:leader="none"/>
      </w:tabs>
      <w:ind w:left="510" w:hanging="510"/>
      <w:jc w:val="center"/>
    </w:pPr>
    <w:rPr/>
  </w:style>
  <w:style w:type="paragraph" w:styleId="Style17">
    <w:name w:val="编号"/>
    <w:basedOn w:val="Normal"/>
    <w:qFormat/>
    <w:pPr>
      <w:tabs>
        <w:tab w:val="clear" w:pos="420"/>
        <w:tab w:val="left" w:pos="794" w:leader="none"/>
      </w:tabs>
      <w:ind w:left="794" w:hanging="374"/>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widowControl/>
      <w:tabs>
        <w:tab w:val="clear" w:pos="420"/>
        <w:tab w:val="center" w:pos="4153" w:leader="none"/>
        <w:tab w:val="right" w:pos="8306" w:leader="none"/>
      </w:tabs>
      <w:snapToGrid w:val="false"/>
      <w:spacing w:before="25" w:after="0"/>
      <w:jc w:val="center"/>
    </w:pPr>
    <w:rPr>
      <w:sz w:val="18"/>
      <w:szCs w:val="18"/>
    </w:rPr>
  </w:style>
  <w:style w:type="paragraph" w:styleId="Style18">
    <w:name w:val="文档结构图"/>
    <w:basedOn w:val="Normal"/>
    <w:qFormat/>
    <w:pPr>
      <w:shd w:fill="000080" w:val="clear"/>
    </w:pPr>
    <w:rPr/>
  </w:style>
  <w:style w:type="paragraph" w:styleId="01">
    <w:name w:val="编号01"/>
    <w:basedOn w:val="Normal"/>
    <w:next w:val="Normal"/>
    <w:qFormat/>
    <w:pPr>
      <w:tabs>
        <w:tab w:val="left" w:pos="420" w:leader="none"/>
      </w:tabs>
      <w:ind w:left="420" w:hanging="420"/>
      <w:jc w:val="left"/>
    </w:pPr>
    <w:rPr/>
  </w:style>
  <w:style w:type="paragraph" w:styleId="Style19">
    <w:name w:val="编号."/>
    <w:basedOn w:val="Normal"/>
    <w:qFormat/>
    <w:pPr>
      <w:tabs>
        <w:tab w:val="clear" w:pos="420"/>
        <w:tab w:val="left" w:pos="1191" w:leader="none"/>
      </w:tabs>
      <w:ind w:left="1191" w:hanging="340"/>
      <w:jc w:val="left"/>
    </w:pPr>
    <w:rPr/>
  </w:style>
  <w:style w:type="paragraph" w:styleId="Style20">
    <w:name w:val="称谓开头"/>
    <w:basedOn w:val="Normal"/>
    <w:next w:val="Normal"/>
    <w:qFormat/>
    <w:pPr>
      <w:ind w:hanging="0"/>
      <w:jc w:val="left"/>
    </w:pPr>
    <w:rPr>
      <w:sz w:val="44"/>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Style21">
    <w:name w:val="附件"/>
    <w:basedOn w:val="Normal"/>
    <w:next w:val="Heading"/>
    <w:qFormat/>
    <w:pPr>
      <w:tabs>
        <w:tab w:val="clear" w:pos="420"/>
        <w:tab w:val="left" w:pos="851" w:leader="none"/>
      </w:tabs>
      <w:ind w:hanging="0"/>
      <w:jc w:val="center"/>
    </w:pPr>
    <w:rPr>
      <w:b/>
      <w:sz w:val="28"/>
    </w:rPr>
  </w:style>
  <w:style w:type="paragraph" w:styleId="Style22">
    <w:name w:val="编号箭头"/>
    <w:basedOn w:val="Normal"/>
    <w:qFormat/>
    <w:pPr>
      <w:tabs>
        <w:tab w:val="clear" w:pos="420"/>
        <w:tab w:val="left" w:pos="851" w:leader="none"/>
      </w:tabs>
      <w:ind w:left="851" w:hanging="420"/>
    </w:pPr>
    <w:rPr/>
  </w:style>
  <w:style w:type="paragraph" w:styleId="Contents2">
    <w:name w:val="TOC 2"/>
    <w:basedOn w:val="Normal"/>
    <w:next w:val="Normal"/>
    <w:pPr>
      <w:spacing w:lineRule="auto" w:line="240" w:before="0" w:after="0"/>
      <w:ind w:left="200" w:hanging="200"/>
      <w:jc w:val="left"/>
    </w:pPr>
    <w:rPr>
      <w:smallCaps/>
      <w:szCs w:val="20"/>
    </w:rPr>
  </w:style>
  <w:style w:type="paragraph" w:styleId="Contents1">
    <w:name w:val="TOC 1"/>
    <w:basedOn w:val="Normal"/>
    <w:next w:val="Normal"/>
    <w:pPr>
      <w:spacing w:lineRule="auto" w:line="240" w:before="0" w:after="0"/>
      <w:ind w:left="200" w:hanging="200"/>
      <w:jc w:val="left"/>
    </w:pPr>
    <w:rPr>
      <w:bCs/>
      <w:caps/>
      <w:szCs w:val="20"/>
    </w:rPr>
  </w:style>
  <w:style w:type="paragraph" w:styleId="Contents3">
    <w:name w:val="TOC 3"/>
    <w:basedOn w:val="Normal"/>
    <w:next w:val="Normal"/>
    <w:pPr>
      <w:spacing w:lineRule="auto" w:line="240" w:before="0" w:after="0"/>
      <w:ind w:hanging="0"/>
      <w:jc w:val="left"/>
    </w:pPr>
    <w:rPr>
      <w:iCs/>
      <w:szCs w:val="20"/>
    </w:rPr>
  </w:style>
  <w:style w:type="paragraph" w:styleId="Contents4">
    <w:name w:val="TOC 4"/>
    <w:basedOn w:val="Normal"/>
    <w:next w:val="Normal"/>
    <w:pPr>
      <w:spacing w:lineRule="auto" w:line="240" w:before="0" w:after="0"/>
      <w:ind w:left="200" w:hanging="200"/>
      <w:jc w:val="left"/>
    </w:pPr>
    <w:rPr>
      <w:szCs w:val="18"/>
    </w:rPr>
  </w:style>
  <w:style w:type="paragraph" w:styleId="Contents5">
    <w:name w:val="TOC 5"/>
    <w:basedOn w:val="Normal"/>
    <w:next w:val="Normal"/>
    <w:pPr>
      <w:spacing w:lineRule="auto" w:line="240" w:before="0" w:after="0"/>
      <w:ind w:left="958" w:firstLine="200"/>
      <w:jc w:val="left"/>
    </w:pPr>
    <w:rPr>
      <w:szCs w:val="18"/>
    </w:rPr>
  </w:style>
  <w:style w:type="paragraph" w:styleId="Contents6">
    <w:name w:val="TOC 6"/>
    <w:basedOn w:val="Normal"/>
    <w:next w:val="Normal"/>
    <w:pPr>
      <w:spacing w:before="0" w:after="0"/>
      <w:ind w:left="1200" w:firstLine="200"/>
      <w:jc w:val="left"/>
    </w:pPr>
    <w:rPr>
      <w:sz w:val="18"/>
      <w:szCs w:val="18"/>
    </w:rPr>
  </w:style>
  <w:style w:type="paragraph" w:styleId="Contents7">
    <w:name w:val="TOC 7"/>
    <w:basedOn w:val="Normal"/>
    <w:next w:val="Normal"/>
    <w:pPr>
      <w:spacing w:before="0" w:after="0"/>
      <w:ind w:left="1440" w:firstLine="200"/>
      <w:jc w:val="left"/>
    </w:pPr>
    <w:rPr>
      <w:sz w:val="18"/>
      <w:szCs w:val="18"/>
    </w:rPr>
  </w:style>
  <w:style w:type="paragraph" w:styleId="Contents8">
    <w:name w:val="TOC 8"/>
    <w:basedOn w:val="Normal"/>
    <w:next w:val="Normal"/>
    <w:pPr>
      <w:spacing w:before="0" w:after="0"/>
      <w:ind w:left="1680" w:firstLine="200"/>
      <w:jc w:val="left"/>
    </w:pPr>
    <w:rPr>
      <w:sz w:val="18"/>
      <w:szCs w:val="18"/>
    </w:rPr>
  </w:style>
  <w:style w:type="paragraph" w:styleId="Contents9">
    <w:name w:val="TOC 9"/>
    <w:basedOn w:val="Normal"/>
    <w:next w:val="Normal"/>
    <w:pPr>
      <w:spacing w:before="0" w:after="0"/>
      <w:ind w:left="1920" w:firstLine="200"/>
      <w:jc w:val="left"/>
    </w:pPr>
    <w:rPr>
      <w:sz w:val="18"/>
      <w:szCs w:val="18"/>
    </w:rPr>
  </w:style>
  <w:style w:type="paragraph" w:styleId="Style23">
    <w:name w:val="图表目录"/>
    <w:basedOn w:val="Normal"/>
    <w:next w:val="Normal"/>
    <w:qFormat/>
    <w:pPr>
      <w:spacing w:lineRule="auto" w:line="240" w:before="0" w:after="0"/>
      <w:ind w:hanging="0"/>
      <w:jc w:val="left"/>
    </w:pPr>
    <w:rPr>
      <w:smallCaps/>
      <w:szCs w:val="20"/>
    </w:rPr>
  </w:style>
  <w:style w:type="paragraph" w:styleId="5">
    <w:name w:val="表格文本中5号"/>
    <w:basedOn w:val="Style13"/>
    <w:qFormat/>
    <w:pPr>
      <w:spacing w:lineRule="auto" w:line="240" w:before="0" w:after="0"/>
    </w:pPr>
    <w:rPr>
      <w:rFonts w:ascii="宋体;SimSun" w:hAnsi="宋体;SimSun" w:eastAsia="宋体;SimSun" w:cs="宋体;SimSun"/>
      <w:sz w:val="21"/>
    </w:rPr>
  </w:style>
  <w:style w:type="paragraph" w:styleId="4">
    <w:name w:val="表格文本左4号"/>
    <w:basedOn w:val="Normal"/>
    <w:qFormat/>
    <w:pPr>
      <w:spacing w:lineRule="auto" w:line="240" w:before="0" w:after="0"/>
      <w:ind w:hanging="0"/>
    </w:pPr>
    <w:rPr/>
  </w:style>
  <w:style w:type="paragraph" w:styleId="41">
    <w:name w:val="表格文本中4号"/>
    <w:basedOn w:val="Style13"/>
    <w:next w:val="4"/>
    <w:qFormat/>
    <w:pPr>
      <w:spacing w:lineRule="auto" w:line="240" w:before="0" w:after="0"/>
    </w:pPr>
    <w:rPr>
      <w:rFonts w:eastAsia="宋体;SimSun"/>
      <w:sz w:val="24"/>
    </w:rPr>
  </w:style>
  <w:style w:type="paragraph" w:styleId="51">
    <w:name w:val="表格文本左5号"/>
    <w:basedOn w:val="Style13"/>
    <w:qFormat/>
    <w:pPr>
      <w:spacing w:lineRule="auto" w:line="240" w:before="0" w:after="0"/>
      <w:jc w:val="left"/>
    </w:pPr>
    <w:rPr>
      <w:rFonts w:ascii="宋体;SimSun" w:hAnsi="宋体;SimSun" w:eastAsia="宋体;SimSun" w:cs="宋体;SimSun"/>
      <w:sz w:val="21"/>
    </w:rPr>
  </w:style>
  <w:style w:type="paragraph" w:styleId="1">
    <w:name w:val="附表1"/>
    <w:basedOn w:val="Normal"/>
    <w:next w:val="Normal"/>
    <w:qFormat/>
    <w:pPr>
      <w:pageBreakBefore/>
      <w:tabs>
        <w:tab w:val="clear" w:pos="420"/>
        <w:tab w:val="left" w:pos="851" w:leader="none"/>
      </w:tabs>
      <w:ind w:left="851" w:hanging="851"/>
      <w:jc w:val="center"/>
    </w:pPr>
    <w:rPr>
      <w:sz w:val="28"/>
      <w:szCs w:val="28"/>
    </w:rPr>
  </w:style>
  <w:style w:type="paragraph" w:styleId="Style24">
    <w:name w:val="附图"/>
    <w:basedOn w:val="1"/>
    <w:next w:val="Normal"/>
    <w:qFormat/>
    <w:pPr>
      <w:tabs>
        <w:tab w:val="clear" w:pos="851"/>
        <w:tab w:val="left" w:pos="420" w:leader="none"/>
      </w:tabs>
      <w:spacing w:before="104" w:after="104"/>
      <w:ind w:left="420" w:hanging="420"/>
    </w:pPr>
    <w:rPr/>
  </w:style>
  <w:style w:type="paragraph" w:styleId="Footnote">
    <w:name w:val="Footnote Text"/>
    <w:basedOn w:val="Normal"/>
    <w:pPr>
      <w:widowControl/>
      <w:spacing w:lineRule="auto" w:line="240" w:before="0" w:after="0"/>
      <w:ind w:hanging="0"/>
      <w:jc w:val="left"/>
    </w:pPr>
    <w:rPr>
      <w:kern w:val="0"/>
      <w:sz w:val="20"/>
      <w:szCs w:val="20"/>
      <w:lang w:val="pl-PL"/>
    </w:rPr>
  </w:style>
  <w:style w:type="paragraph" w:styleId="11">
    <w:name w:val="样式 标题 1 + (西文) 宋体"/>
    <w:basedOn w:val="Heading1"/>
    <w:qFormat/>
    <w:pPr>
      <w:keepNext w:val="false"/>
      <w:pageBreakBefore/>
      <w:numPr>
        <w:ilvl w:val="0"/>
        <w:numId w:val="0"/>
      </w:numPr>
      <w:tabs>
        <w:tab w:val="clear" w:pos="420"/>
        <w:tab w:val="left" w:pos="510" w:leader="none"/>
      </w:tabs>
      <w:spacing w:before="60" w:after="60"/>
      <w:ind w:left="510" w:hanging="90"/>
      <w:jc w:val="center"/>
      <w:outlineLvl w:val="9"/>
    </w:pPr>
    <w:rPr>
      <w:bCs w:val="false"/>
      <w:sz w:val="32"/>
      <w:szCs w:val="32"/>
    </w:rPr>
  </w:style>
  <w:style w:type="paragraph" w:styleId="Char20">
    <w:name w:val=" Char"/>
    <w:basedOn w:val="Normal"/>
    <w:qFormat/>
    <w:pPr>
      <w:tabs>
        <w:tab w:val="clear" w:pos="420"/>
        <w:tab w:val="left" w:pos="360" w:leader="none"/>
      </w:tabs>
      <w:spacing w:lineRule="auto" w:line="240" w:before="0" w:after="0"/>
      <w:ind w:hanging="0"/>
    </w:pPr>
    <w:rPr/>
  </w:style>
  <w:style w:type="paragraph" w:styleId="Style101">
    <w:name w:val="_Style 10"/>
    <w:basedOn w:val="Normal"/>
    <w:qFormat/>
    <w:pPr>
      <w:spacing w:lineRule="auto" w:line="240" w:before="0" w:after="0"/>
      <w:ind w:hanging="0"/>
    </w:pPr>
    <w:rPr>
      <w:sz w:val="21"/>
    </w:rPr>
  </w:style>
  <w:style w:type="paragraph" w:styleId="Style25">
    <w:name w:val="正文缩进"/>
    <w:basedOn w:val="Normal"/>
    <w:qFormat/>
    <w:pPr>
      <w:spacing w:lineRule="auto" w:line="240" w:before="0" w:after="0"/>
      <w:ind w:firstLine="499"/>
    </w:pPr>
    <w:rPr>
      <w:sz w:val="21"/>
      <w:szCs w:val="20"/>
    </w:rPr>
  </w:style>
  <w:style w:type="paragraph" w:styleId="TextBodyIndent">
    <w:name w:val="Body Text Indent"/>
    <w:basedOn w:val="Normal"/>
    <w:pPr>
      <w:spacing w:before="0" w:after="120"/>
      <w:ind w:left="420" w:hanging="0"/>
      <w:jc w:val="left"/>
    </w:pPr>
    <w:rPr>
      <w:sz w:val="21"/>
    </w:rPr>
  </w:style>
  <w:style w:type="paragraph" w:styleId="Style26">
    <w:name w:val="日期"/>
    <w:basedOn w:val="Normal"/>
    <w:next w:val="Normal"/>
    <w:qFormat/>
    <w:pPr>
      <w:ind w:left="100" w:firstLine="200"/>
    </w:pPr>
    <w:rPr/>
  </w:style>
  <w:style w:type="paragraph" w:styleId="025025">
    <w:name w:val="样式 标题 + 段前: 0.25 行 段后: 0.25 行 行距: 单倍行距"/>
    <w:basedOn w:val="Heading"/>
    <w:qFormat/>
    <w:pPr>
      <w:pageBreakBefore/>
      <w:spacing w:before="624" w:after="416"/>
      <w:ind w:firstLine="480"/>
    </w:pPr>
    <w:rPr>
      <w:rFonts w:ascii="黑体;SimHei" w:hAnsi="黑体;SimHei" w:eastAsia="黑体;SimHei" w:cs="宋体;SimSun"/>
      <w:b w:val="false"/>
      <w:szCs w:val="20"/>
    </w:rPr>
  </w:style>
  <w:style w:type="paragraph" w:styleId="1025025025">
    <w:name w:val="样式 样式 样式 样式 标题 1 + (西文) 宋体 + 段前: 0.25 行 段后: 0.25 行 + 段前: 0.25 行 ..."/>
    <w:basedOn w:val="Normal"/>
    <w:qFormat/>
    <w:pPr>
      <w:pageBreakBefore/>
      <w:spacing w:before="416" w:after="208"/>
      <w:ind w:hanging="0"/>
      <w:jc w:val="center"/>
      <w:outlineLvl w:val="0"/>
    </w:pPr>
    <w:rPr>
      <w:rFonts w:ascii="宋体;SimSun" w:hAnsi="宋体;SimSun" w:cs="宋体;SimSun"/>
      <w:b/>
      <w:bCs/>
      <w:kern w:val="2"/>
      <w:sz w:val="36"/>
      <w:szCs w:val="20"/>
    </w:rPr>
  </w:style>
  <w:style w:type="paragraph" w:styleId="Endnote">
    <w:name w:val="Endnote Text"/>
    <w:basedOn w:val="Normal"/>
    <w:pPr>
      <w:tabs>
        <w:tab w:val="clear" w:pos="420"/>
        <w:tab w:val="left" w:pos="498" w:leader="none"/>
      </w:tabs>
      <w:spacing w:lineRule="auto" w:line="240" w:before="0" w:after="0"/>
      <w:ind w:left="200" w:hanging="200"/>
    </w:pPr>
    <w:rPr>
      <w:szCs w:val="20"/>
    </w:rPr>
  </w:style>
  <w:style w:type="paragraph" w:styleId="Style27">
    <w:name w:val="文档正文"/>
    <w:basedOn w:val="Normal"/>
    <w:qFormat/>
    <w:pPr>
      <w:spacing w:lineRule="auto" w:line="240" w:before="0" w:after="0"/>
      <w:ind w:hanging="0"/>
    </w:pPr>
    <w:rPr>
      <w:rFonts w:ascii="宋体;SimSun" w:hAnsi="宋体;SimSun"/>
      <w:szCs w:val="20"/>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jc w:val="left"/>
    </w:pPr>
    <w:rPr>
      <w:rFonts w:ascii="宋体;SimSun" w:hAnsi="宋体;SimSun" w:cs="宋体;SimSun"/>
      <w:kern w:val="0"/>
    </w:rPr>
  </w:style>
  <w:style w:type="paragraph" w:styleId="3025025">
    <w:name w:val="样式 标题 3 + (西文) 宋体 段前: 0.25 行 段后: 0.25 行"/>
    <w:basedOn w:val="Heading3"/>
    <w:qFormat/>
    <w:pPr>
      <w:keepNext w:val="false"/>
      <w:numPr>
        <w:ilvl w:val="0"/>
        <w:numId w:val="0"/>
      </w:numPr>
      <w:tabs>
        <w:tab w:val="clear" w:pos="420"/>
        <w:tab w:val="left" w:pos="1260" w:leader="none"/>
      </w:tabs>
      <w:ind w:left="1260" w:hanging="0"/>
      <w:outlineLvl w:val="9"/>
    </w:pPr>
    <w:rPr>
      <w:rFonts w:ascii="宋体;SimSun" w:hAnsi="宋体;SimSun" w:cs="宋体;SimSun"/>
      <w:bCs w:val="false"/>
      <w:sz w:val="24"/>
      <w:szCs w:val="20"/>
    </w:rPr>
  </w:style>
  <w:style w:type="paragraph" w:styleId="1025025">
    <w:name w:val="样式 样式 标题 1 + (西文) 宋体 + 段前: 0.25 行 段后: 0.25 行"/>
    <w:basedOn w:val="11"/>
    <w:qFormat/>
    <w:pPr/>
    <w:rPr>
      <w:rFonts w:cs="宋体;SimSun"/>
      <w:bCs/>
      <w:szCs w:val="20"/>
    </w:rPr>
  </w:style>
  <w:style w:type="paragraph" w:styleId="02502515">
    <w:name w:val="样式 段前: 0.25 行 段后: 0.25 行 行距: 1.5 倍行距"/>
    <w:basedOn w:val="Normal"/>
    <w:qFormat/>
    <w:pPr>
      <w:spacing w:lineRule="auto" w:line="360"/>
      <w:ind w:hanging="0"/>
    </w:pPr>
    <w:rPr>
      <w:rFonts w:cs="宋体;SimSun"/>
      <w:szCs w:val="20"/>
    </w:rPr>
  </w:style>
  <w:style w:type="paragraph" w:styleId="10250250251">
    <w:name w:val="样式 样式 样式 标题 1 + (西文) 宋体 + 段前: 0.25 行 段后: 0.25 行 + 段前: 0.25 行 段后..."/>
    <w:basedOn w:val="1025025"/>
    <w:qFormat/>
    <w:pPr>
      <w:spacing w:before="280" w:after="280"/>
    </w:pPr>
    <w:rPr/>
  </w:style>
  <w:style w:type="paragraph" w:styleId="10250251">
    <w:name w:val="样式 样式 标题 1 + (西文) 宋体 + 段前: 0.25 行 段后: 0.25 行 行距: 单倍行距"/>
    <w:basedOn w:val="11"/>
    <w:qFormat/>
    <w:pPr>
      <w:spacing w:before="100" w:after="50"/>
    </w:pPr>
    <w:rPr>
      <w:rFonts w:cs="宋体;SimSun"/>
      <w:bCs/>
      <w:szCs w:val="20"/>
    </w:rPr>
  </w:style>
  <w:style w:type="paragraph" w:styleId="Style28">
    <w:name w:val="题注"/>
    <w:basedOn w:val="Normal"/>
    <w:next w:val="Normal"/>
    <w:qFormat/>
    <w:pPr/>
    <w:rPr>
      <w:rFonts w:ascii="Arial" w:hAnsi="Arial" w:eastAsia="黑体;SimHei" w:cs="Arial"/>
      <w:sz w:val="20"/>
      <w:szCs w:val="20"/>
    </w:rPr>
  </w:style>
  <w:style w:type="paragraph" w:styleId="Style29">
    <w:name w:val="列表编号"/>
    <w:basedOn w:val="Normal"/>
    <w:qFormat/>
    <w:pPr>
      <w:ind w:hanging="0"/>
    </w:pPr>
    <w:rPr/>
  </w:style>
  <w:style w:type="paragraph" w:styleId="Style30">
    <w:name w:val="图号"/>
    <w:basedOn w:val="Normal"/>
    <w:qFormat/>
    <w:pPr>
      <w:jc w:val="center"/>
    </w:pPr>
    <w:rPr>
      <w:sz w:val="21"/>
    </w:rPr>
  </w:style>
  <w:style w:type="paragraph" w:styleId="025">
    <w:name w:val="样式 正文文本 + 段后: 0.25 行"/>
    <w:basedOn w:val="TextBody"/>
    <w:qFormat/>
    <w:pPr>
      <w:spacing w:lineRule="auto" w:line="240" w:before="78" w:after="78"/>
      <w:ind w:firstLine="480"/>
    </w:pPr>
    <w:rPr>
      <w:rFonts w:cs="宋体;SimSun"/>
      <w:szCs w:val="20"/>
    </w:rPr>
  </w:style>
  <w:style w:type="paragraph" w:styleId="0251">
    <w:name w:val="样式 正文文本 + 段后: 0.25 行1"/>
    <w:basedOn w:val="TextBody"/>
    <w:qFormat/>
    <w:pPr>
      <w:spacing w:before="25" w:after="25"/>
    </w:pPr>
    <w:rPr>
      <w:rFonts w:cs="宋体;SimSun"/>
      <w:szCs w:val="20"/>
    </w:rPr>
  </w:style>
  <w:style w:type="paragraph" w:styleId="0250250">
    <w:name w:val="样式 段前: 0.25 行 段后: 0.25 行 行距: 单倍行距 首行缩进:  0 字符"/>
    <w:basedOn w:val="Normal"/>
    <w:qFormat/>
    <w:pPr>
      <w:ind w:hanging="0"/>
    </w:pPr>
    <w:rPr>
      <w:rFonts w:cs="宋体;SimSun"/>
      <w:szCs w:val="20"/>
    </w:rPr>
  </w:style>
  <w:style w:type="paragraph" w:styleId="10505">
    <w:name w:val="样式 样式1 + 段前: 0.5 行 段后: 0.5 行"/>
    <w:basedOn w:val="Normal"/>
    <w:qFormat/>
    <w:pPr>
      <w:spacing w:lineRule="exact" w:line="400" w:before="156" w:after="156"/>
      <w:ind w:hanging="0"/>
      <w:jc w:val="left"/>
    </w:pPr>
    <w:rPr>
      <w:rFonts w:ascii="宋体;SimSun" w:hAnsi="宋体;SimSun" w:eastAsia="黑体;SimHei" w:cs="宋体;SimSun"/>
      <w:szCs w:val="20"/>
    </w:rPr>
  </w:style>
  <w:style w:type="paragraph" w:styleId="Style31">
    <w:name w:val="文本块"/>
    <w:basedOn w:val="Normal"/>
    <w:qFormat/>
    <w:pPr>
      <w:spacing w:before="0" w:after="0"/>
      <w:ind w:left="105" w:firstLine="500"/>
    </w:pPr>
    <w:rPr>
      <w:rFonts w:ascii="黑体;SimHei" w:hAnsi="黑体;SimHei"/>
      <w:spacing w:val="20"/>
      <w:sz w:val="21"/>
      <w:szCs w:val="20"/>
    </w:rPr>
  </w:style>
  <w:style w:type="paragraph" w:styleId="12">
    <w:name w:val="样式1"/>
    <w:basedOn w:val="Normal"/>
    <w:qFormat/>
    <w:pPr>
      <w:spacing w:lineRule="exact" w:line="380" w:before="0" w:after="156"/>
      <w:ind w:hanging="0"/>
    </w:pPr>
    <w:rPr>
      <w:rFonts w:ascii="仿宋_GB2312;仿宋" w:hAnsi="仿宋_GB2312;仿宋" w:eastAsia="仿宋_GB2312;仿宋" w:cs="仿宋_GB2312;仿宋"/>
      <w:b/>
    </w:rPr>
  </w:style>
  <w:style w:type="paragraph" w:styleId="Style32">
    <w:name w:val="加粗"/>
    <w:basedOn w:val="Style27"/>
    <w:qFormat/>
    <w:pPr>
      <w:spacing w:lineRule="auto" w:line="300" w:before="25" w:after="25"/>
      <w:jc w:val="left"/>
    </w:pPr>
    <w:rPr>
      <w:b/>
    </w:rPr>
  </w:style>
  <w:style w:type="paragraph" w:styleId="Style33">
    <w:name w:val="普通(网站)"/>
    <w:basedOn w:val="Normal"/>
    <w:qFormat/>
    <w:pPr>
      <w:widowControl/>
      <w:spacing w:before="280" w:after="280"/>
      <w:ind w:hanging="0"/>
      <w:jc w:val="left"/>
    </w:pPr>
    <w:rPr>
      <w:rFonts w:ascii="宋体;SimSun" w:hAnsi="宋体;SimSun" w:cs="宋体;SimSun"/>
      <w:kern w:val="0"/>
    </w:rPr>
  </w:style>
  <w:style w:type="paragraph" w:styleId="Style34">
    <w:name w:val="列表段落"/>
    <w:basedOn w:val="Normal"/>
    <w:qFormat/>
    <w:pPr>
      <w:spacing w:before="0" w:after="0"/>
      <w:ind w:left="720" w:hanging="0"/>
      <w:contextualSpacing/>
    </w:pPr>
    <w:rPr>
      <w:rFonts w:ascii="Calibri" w:hAnsi="Calibri" w:cs="Calibri"/>
      <w:sz w:val="21"/>
      <w:szCs w:val="22"/>
    </w:rPr>
  </w:style>
  <w:style w:type="paragraph" w:styleId="Style35">
    <w:name w:val="无间隔"/>
    <w:basedOn w:val="Normal"/>
    <w:qFormat/>
    <w:pPr>
      <w:spacing w:before="0" w:after="0"/>
      <w:ind w:hanging="0"/>
    </w:pPr>
    <w:rPr>
      <w:rFonts w:ascii="Calibri" w:hAnsi="Calibri" w:cs="Calibri"/>
      <w:sz w:val="21"/>
      <w:szCs w:val="22"/>
    </w:rPr>
  </w:style>
  <w:style w:type="paragraph" w:styleId="Style36">
    <w:name w:val="明显引用"/>
    <w:basedOn w:val="Normal"/>
    <w:next w:val="Normal"/>
    <w:qFormat/>
    <w:pPr>
      <w:pBdr>
        <w:bottom w:val="single" w:sz="4" w:space="1" w:color="000000"/>
      </w:pBdr>
      <w:spacing w:before="200" w:after="280"/>
      <w:ind w:left="1008" w:right="1152" w:hanging="0"/>
    </w:pPr>
    <w:rPr>
      <w:rFonts w:eastAsia="Times New Roman"/>
      <w:b/>
      <w:bCs/>
      <w:i/>
      <w:iCs/>
      <w:kern w:val="0"/>
      <w:sz w:val="20"/>
      <w:szCs w:val="20"/>
      <w:lang w:val="en-US" w:eastAsia="en-US"/>
    </w:rPr>
  </w:style>
  <w:style w:type="paragraph" w:styleId="Subtitle">
    <w:name w:val="Subtitle"/>
    <w:basedOn w:val="Normal"/>
    <w:next w:val="Normal"/>
    <w:qFormat/>
    <w:pPr>
      <w:spacing w:before="0" w:after="600"/>
      <w:ind w:hanging="0"/>
    </w:pPr>
    <w:rPr>
      <w:rFonts w:ascii="Cambria" w:hAnsi="Cambria" w:cs="Cambria"/>
      <w:i/>
      <w:iCs/>
      <w:spacing w:val="13"/>
      <w:kern w:val="0"/>
      <w:lang w:val="en-US" w:eastAsia="en-US"/>
    </w:rPr>
  </w:style>
  <w:style w:type="paragraph" w:styleId="Style37">
    <w:name w:val="引用"/>
    <w:basedOn w:val="Normal"/>
    <w:next w:val="Normal"/>
    <w:qFormat/>
    <w:pPr>
      <w:spacing w:before="200" w:after="0"/>
      <w:ind w:left="360" w:right="360" w:hanging="0"/>
    </w:pPr>
    <w:rPr>
      <w:rFonts w:eastAsia="Times New Roman"/>
      <w:i/>
      <w:iCs/>
      <w:kern w:val="0"/>
      <w:sz w:val="20"/>
      <w:szCs w:val="20"/>
      <w:lang w:val="en-US" w:eastAsia="en-US"/>
    </w:rPr>
  </w:style>
  <w:style w:type="paragraph" w:styleId="Default">
    <w:name w:val="Default"/>
    <w:qFormat/>
    <w:pPr>
      <w:widowControl w:val="false"/>
      <w:autoSpaceDE w:val="false"/>
      <w:bidi w:val="0"/>
    </w:pPr>
    <w:rPr>
      <w:rFonts w:ascii="楷体_GB2312;楷体" w:hAnsi="楷体_GB2312;楷体" w:eastAsia="楷体_GB2312;楷体" w:cs="楷体_GB2312;楷体"/>
      <w:color w:val="000000"/>
      <w:sz w:val="24"/>
      <w:szCs w:val="24"/>
      <w:lang w:val="en-US" w:eastAsia="zh-CN" w:bidi="ar-SA"/>
    </w:rPr>
  </w:style>
  <w:style w:type="paragraph" w:styleId="CM31">
    <w:name w:val="CM31"/>
    <w:basedOn w:val="Default"/>
    <w:next w:val="Default"/>
    <w:qFormat/>
    <w:pPr>
      <w:spacing w:lineRule="atLeast" w:line="391"/>
    </w:pPr>
    <w:rPr>
      <w:rFonts w:cs="Times New Roman"/>
      <w:color w:val="000000"/>
    </w:rPr>
  </w:style>
  <w:style w:type="paragraph" w:styleId="TOC">
    <w:name w:val="TOC 标题"/>
    <w:basedOn w:val="Heading1"/>
    <w:next w:val="Normal"/>
    <w:qFormat/>
    <w:pPr>
      <w:keepNext w:val="false"/>
      <w:numPr>
        <w:ilvl w:val="0"/>
        <w:numId w:val="0"/>
      </w:numPr>
      <w:spacing w:lineRule="auto" w:line="240" w:before="480" w:after="0"/>
      <w:ind w:hanging="0"/>
      <w:contextualSpacing/>
      <w:jc w:val="both"/>
      <w:outlineLvl w:val="9"/>
    </w:pPr>
    <w:rPr>
      <w:rFonts w:ascii="Cambria" w:hAnsi="Cambria" w:eastAsia="宋体;SimSun" w:cs="Cambria"/>
      <w:b/>
      <w:kern w:val="2"/>
      <w:szCs w:val="28"/>
      <w:lang w:bidi="en-US"/>
    </w:rPr>
  </w:style>
  <w:style w:type="paragraph" w:styleId="CM5">
    <w:name w:val="CM5"/>
    <w:basedOn w:val="Default"/>
    <w:next w:val="Default"/>
    <w:qFormat/>
    <w:pPr>
      <w:spacing w:lineRule="atLeast" w:line="391"/>
    </w:pPr>
    <w:rPr>
      <w:rFonts w:cs="Times New Roman"/>
      <w:color w:val="000000"/>
    </w:rPr>
  </w:style>
  <w:style w:type="paragraph" w:styleId="CM7">
    <w:name w:val="CM7"/>
    <w:basedOn w:val="Default"/>
    <w:next w:val="Default"/>
    <w:qFormat/>
    <w:pPr>
      <w:spacing w:lineRule="atLeast" w:line="391"/>
    </w:pPr>
    <w:rPr>
      <w:rFonts w:cs="Times New Roman"/>
      <w:color w:val="000000"/>
    </w:rPr>
  </w:style>
  <w:style w:type="paragraph" w:styleId="CM141">
    <w:name w:val="CM141"/>
    <w:basedOn w:val="Default"/>
    <w:next w:val="Default"/>
    <w:qFormat/>
    <w:pPr>
      <w:spacing w:before="0" w:after="773"/>
    </w:pPr>
    <w:rPr>
      <w:rFonts w:cs="Times New Roman"/>
      <w:color w:val="000000"/>
    </w:rPr>
  </w:style>
  <w:style w:type="paragraph" w:styleId="CM3">
    <w:name w:val="CM3"/>
    <w:basedOn w:val="Default"/>
    <w:next w:val="Default"/>
    <w:qFormat/>
    <w:pPr>
      <w:spacing w:lineRule="atLeast" w:line="388"/>
    </w:pPr>
    <w:rPr>
      <w:rFonts w:cs="Times New Roman"/>
      <w:color w:val="000000"/>
    </w:rPr>
  </w:style>
  <w:style w:type="paragraph" w:styleId="CM28">
    <w:name w:val="CM28"/>
    <w:basedOn w:val="Default"/>
    <w:next w:val="Default"/>
    <w:qFormat/>
    <w:pPr>
      <w:spacing w:lineRule="atLeast" w:line="391"/>
    </w:pPr>
    <w:rPr>
      <w:rFonts w:cs="Times New Roman"/>
      <w:color w:val="000000"/>
    </w:rPr>
  </w:style>
  <w:style w:type="paragraph" w:styleId="CM52">
    <w:name w:val="CM52"/>
    <w:basedOn w:val="Default"/>
    <w:next w:val="Default"/>
    <w:qFormat/>
    <w:pPr>
      <w:spacing w:lineRule="atLeast" w:line="391"/>
    </w:pPr>
    <w:rPr>
      <w:rFonts w:cs="Times New Roman"/>
      <w:color w:val="000000"/>
    </w:rPr>
  </w:style>
  <w:style w:type="paragraph" w:styleId="CM130">
    <w:name w:val="CM130"/>
    <w:basedOn w:val="Normal"/>
    <w:next w:val="Normal"/>
    <w:qFormat/>
    <w:pPr>
      <w:autoSpaceDE w:val="false"/>
      <w:spacing w:lineRule="auto" w:line="240" w:before="0" w:after="573"/>
      <w:ind w:hanging="0"/>
      <w:jc w:val="left"/>
    </w:pPr>
    <w:rPr>
      <w:rFonts w:ascii="楷体_GB2312;楷体" w:hAnsi="楷体_GB2312;楷体" w:eastAsia="楷体_GB2312;楷体" w:cs="Calibri"/>
      <w:kern w:val="0"/>
      <w:szCs w:val="22"/>
    </w:rPr>
  </w:style>
  <w:style w:type="paragraph" w:styleId="CM2">
    <w:name w:val="CM2"/>
    <w:basedOn w:val="Default"/>
    <w:next w:val="Default"/>
    <w:qFormat/>
    <w:pPr>
      <w:spacing w:lineRule="atLeast" w:line="391"/>
    </w:pPr>
    <w:rPr>
      <w:rFonts w:cs="Times New Roman"/>
      <w:color w:val="000000"/>
    </w:rPr>
  </w:style>
  <w:style w:type="paragraph" w:styleId="CM135">
    <w:name w:val="CM135"/>
    <w:basedOn w:val="Normal"/>
    <w:next w:val="Normal"/>
    <w:qFormat/>
    <w:pPr>
      <w:autoSpaceDE w:val="false"/>
      <w:spacing w:lineRule="auto" w:line="240" w:before="0" w:after="148"/>
      <w:ind w:hanging="0"/>
      <w:jc w:val="left"/>
    </w:pPr>
    <w:rPr>
      <w:rFonts w:ascii="楷体_GB2312;楷体" w:hAnsi="楷体_GB2312;楷体" w:eastAsia="楷体_GB2312;楷体" w:cs="Calibri"/>
      <w:kern w:val="0"/>
      <w:szCs w:val="22"/>
    </w:rPr>
  </w:style>
  <w:style w:type="paragraph" w:styleId="CM27">
    <w:name w:val="CM27"/>
    <w:basedOn w:val="Default"/>
    <w:next w:val="Default"/>
    <w:qFormat/>
    <w:pPr>
      <w:spacing w:lineRule="atLeast" w:line="391"/>
    </w:pPr>
    <w:rPr>
      <w:rFonts w:cs="Times New Roman"/>
      <w:color w:val="000000"/>
    </w:rPr>
  </w:style>
  <w:style w:type="paragraph" w:styleId="Style38">
    <w:name w:val="章标题(不加入目录内)"/>
    <w:basedOn w:val="Heading"/>
    <w:qFormat/>
    <w:pPr>
      <w:keepLines/>
      <w:pageBreakBefore/>
      <w:spacing w:lineRule="auto" w:line="240" w:before="240" w:after="120"/>
      <w:jc w:val="both"/>
      <w:outlineLvl w:val="9"/>
    </w:pPr>
    <w:rPr>
      <w:rFonts w:ascii="Times New Roman" w:hAnsi="Times New Roman" w:eastAsia="黑体;SimHei" w:cs="Times New Roman"/>
      <w:bCs w:val="false"/>
      <w:sz w:val="36"/>
      <w:szCs w:val="20"/>
    </w:rPr>
  </w:style>
  <w:style w:type="paragraph" w:styleId="Style39">
    <w:name w:val="批注框文本"/>
    <w:basedOn w:val="Normal"/>
    <w:qFormat/>
    <w:pPr>
      <w:spacing w:lineRule="auto" w:line="240" w:before="0" w:after="0"/>
    </w:pPr>
    <w:rPr>
      <w:sz w:val="18"/>
      <w:szCs w:val="18"/>
    </w:rPr>
  </w:style>
  <w:style w:type="paragraph" w:styleId="Style40">
    <w:name w:val="样式 (中文) 黑体 小二 居中"/>
    <w:basedOn w:val="Normal"/>
    <w:qFormat/>
    <w:pPr>
      <w:snapToGrid w:val="false"/>
      <w:spacing w:before="400" w:after="200"/>
      <w:ind w:hanging="0"/>
      <w:jc w:val="center"/>
    </w:pPr>
    <w:rPr>
      <w:rFonts w:eastAsia="黑体;SimHei" w:cs="宋体;SimSun"/>
      <w:sz w:val="36"/>
      <w:szCs w:val="20"/>
    </w:rPr>
  </w:style>
  <w:style w:type="paragraph" w:styleId="Style41">
    <w:name w:val="节"/>
    <w:basedOn w:val="Normal"/>
    <w:qFormat/>
    <w:pPr>
      <w:snapToGrid w:val="false"/>
      <w:spacing w:before="50" w:after="50"/>
      <w:ind w:hanging="0"/>
    </w:pPr>
    <w:rPr>
      <w:rFonts w:eastAsia="黑体;SimHei"/>
      <w:sz w:val="30"/>
    </w:rPr>
  </w:style>
  <w:style w:type="paragraph" w:styleId="Style42">
    <w:name w:val="条"/>
    <w:basedOn w:val="Normal"/>
    <w:qFormat/>
    <w:pPr>
      <w:snapToGrid w:val="false"/>
      <w:spacing w:before="50" w:after="50"/>
      <w:ind w:hanging="0"/>
    </w:pPr>
    <w:rPr>
      <w:rFonts w:eastAsia="黑体;SimHei"/>
      <w:sz w:val="28"/>
    </w:rPr>
  </w:style>
  <w:style w:type="paragraph" w:styleId="Style43">
    <w:name w:val="款"/>
    <w:basedOn w:val="Normal"/>
    <w:qFormat/>
    <w:pPr>
      <w:snapToGrid w:val="false"/>
      <w:spacing w:before="0" w:after="0"/>
      <w:ind w:hanging="0"/>
    </w:pPr>
    <w:rPr>
      <w:rFonts w:eastAsia="黑体;SimHei"/>
    </w:rPr>
  </w:style>
  <w:style w:type="paragraph" w:styleId="074150505">
    <w:name w:val="样式 样式 小四 首行缩进:  0.74 厘米 行距: 1.5 倍行距 + 段前: 0.5 行 段后: 0.5 行"/>
    <w:basedOn w:val="Normal"/>
    <w:qFormat/>
    <w:pPr>
      <w:spacing w:before="50" w:after="50"/>
      <w:ind w:hanging="0"/>
    </w:pPr>
    <w:rPr>
      <w:rFonts w:eastAsia="黑体;SimHei" w:cs="宋体;SimSun"/>
      <w:sz w:val="28"/>
      <w:szCs w:val="20"/>
    </w:rPr>
  </w:style>
  <w:style w:type="paragraph" w:styleId="Style44">
    <w:name w:val="批注文字"/>
    <w:basedOn w:val="Normal"/>
    <w:qFormat/>
    <w:pPr>
      <w:jc w:val="left"/>
    </w:pPr>
    <w:rPr/>
  </w:style>
  <w:style w:type="paragraph" w:styleId="Style45">
    <w:name w:val="批注主题"/>
    <w:basedOn w:val="Style44"/>
    <w:next w:val="Style44"/>
    <w:qFormat/>
    <w:pPr/>
    <w:rPr>
      <w:b/>
      <w:bCs/>
    </w:rPr>
  </w:style>
  <w:style w:type="paragraph" w:styleId="Style46">
    <w:name w:val="纯文本"/>
    <w:basedOn w:val="Normal"/>
    <w:qFormat/>
    <w:pPr>
      <w:spacing w:lineRule="auto" w:line="240" w:before="0" w:after="0"/>
      <w:ind w:hanging="0"/>
    </w:pPr>
    <w:rPr>
      <w:rFonts w:ascii="宋体;SimSun" w:hAnsi="宋体;SimSun" w:cs="Courier New"/>
      <w:sz w:val="21"/>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arxiv.org/abs/2304.05376?utm_source=chatgpt.com" TargetMode="External"/><Relationship Id="rId8" Type="http://schemas.openxmlformats.org/officeDocument/2006/relationships/hyperlink" Target="https://arxiv.org/abs/2210.10341" TargetMode="External"/><Relationship Id="rId9" Type="http://schemas.openxmlformats.org/officeDocument/2006/relationships/hyperlink" Target="https://arxiv.org/abs/1707.06347" TargetMode="External"/><Relationship Id="rId10" Type="http://schemas.openxmlformats.org/officeDocument/2006/relationships/hyperlink" Target="https://arxiv.org/abs/1602.01783" TargetMode="External"/><Relationship Id="rId11" Type="http://schemas.openxmlformats.org/officeDocument/2006/relationships/hyperlink" Target="https://arxiv.org/abs/2407.10362?utm_source=chatgpt.com"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495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2025-11-10T20:42:00Z</dcterms:created>
  <dc:creator>NTKO</dc:creator>
  <dc:description/>
  <cp:keywords/>
  <dc:language>en-US</dc:language>
  <cp:lastModifiedBy>梁 王</cp:lastModifiedBy>
  <cp:lastPrinted>2014-04-11T10:12:00Z</cp:lastPrinted>
  <dcterms:modified xsi:type="dcterms:W3CDTF">2025-11-11T15:35:00Z</dcterms:modified>
  <cp:revision>24</cp:revision>
  <dc:subject/>
  <dc:title>标题</dc:title>
</cp:coreProperties>
</file>