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</w:t>
      </w:r>
      <w:r>
        <w:rPr>
          <w:rFonts w:hint="eastAsia"/>
          <w:sz w:val="28"/>
          <w:szCs w:val="28"/>
          <w:lang w:val="en-US" w:eastAsia="zh-CN"/>
        </w:rPr>
        <w:t>：为广大农民朋友提供便利的电子商务平台，为商家提供更加实惠的资源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农民仍是我国最多的人口，人们的饮食起居也大部分来自农民，人们也都需要从商家购买物品。消费群体和规模都足够大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利用第一手资源给商家性价比最高的农产品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利用数据预测为农民提供最合理的种植作物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物品差价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提供给农民和商家的信息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3A04A"/>
    <w:multiLevelType w:val="singleLevel"/>
    <w:tmpl w:val="B063A0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D3E46"/>
    <w:rsid w:val="606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2019-03-13T11:10:10Z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