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EF4F9">
      <w:pPr>
        <w:jc w:val="center"/>
      </w:pPr>
      <w:r>
        <w:rPr>
          <w:b/>
          <w:i w:val="0"/>
          <w:sz w:val="22"/>
        </w:rPr>
        <w:t>CISC7204-001-M  Data Science and Data Visualization  ·  Assignment 02 (Pair Work)</w:t>
      </w:r>
    </w:p>
    <w:p w14:paraId="37B16C53">
      <w:pPr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Macau Tourism: Seasonality and Post-Pandemic Recovery of</w:t>
      </w:r>
      <w:r>
        <w:rPr>
          <w:rFonts w:hint="eastAsia" w:eastAsia="黑体"/>
          <w:b/>
          <w:color w:val="000000"/>
          <w:sz w:val="36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color w:val="000000"/>
          <w:sz w:val="36"/>
        </w:rPr>
        <w:t>Visitor Arrivals and Hotel Occupancy</w:t>
      </w:r>
    </w:p>
    <w:p w14:paraId="5293A6B5">
      <w:pPr>
        <w:jc w:val="center"/>
      </w:pPr>
      <w:r>
        <w:rPr>
          <w:b w:val="0"/>
          <w:i w:val="0"/>
          <w:sz w:val="24"/>
        </w:rPr>
        <w:t>Project Proposal &amp; Ideation</w:t>
      </w:r>
    </w:p>
    <w:p w14:paraId="73686EEE">
      <w:pPr>
        <w:jc w:val="center"/>
      </w:pPr>
      <w:r>
        <w:rPr>
          <w:b w:val="0"/>
          <w:i w:val="0"/>
        </w:rPr>
        <w:t xml:space="preserve">Group:  [Group </w:t>
      </w:r>
      <w:r>
        <w:rPr>
          <w:rFonts w:hint="eastAsia"/>
          <w:b w:val="0"/>
          <w:i w:val="0"/>
          <w:lang w:val="en-US" w:eastAsia="zh-CN"/>
        </w:rPr>
        <w:t>06</w:t>
      </w:r>
      <w:r>
        <w:rPr>
          <w:b w:val="0"/>
          <w:i w:val="0"/>
        </w:rPr>
        <w:t>]</w:t>
      </w:r>
    </w:p>
    <w:p w14:paraId="52DFB6E2">
      <w:pPr>
        <w:jc w:val="center"/>
        <w:rPr>
          <w:rFonts w:hint="eastAsia" w:eastAsia="宋体"/>
          <w:lang w:eastAsia="zh-CN"/>
        </w:rPr>
      </w:pPr>
      <w:r>
        <w:rPr>
          <w:b w:val="0"/>
          <w:i w:val="0"/>
        </w:rPr>
        <w:t xml:space="preserve">Members:  WANG </w:t>
      </w:r>
      <w:r>
        <w:rPr>
          <w:rFonts w:hint="eastAsia"/>
          <w:b w:val="0"/>
          <w:i w:val="0"/>
          <w:lang w:val="en-US" w:eastAsia="zh-CN"/>
        </w:rPr>
        <w:t>MENGCHEN</w:t>
      </w:r>
      <w:r>
        <w:rPr>
          <w:b w:val="0"/>
          <w:i w:val="0"/>
        </w:rPr>
        <w:t xml:space="preserve"> (</w:t>
      </w:r>
      <w:r>
        <w:rPr>
          <w:rFonts w:hint="eastAsia"/>
          <w:b w:val="0"/>
          <w:i w:val="0"/>
          <w:lang w:val="en-US" w:eastAsia="zh-CN"/>
        </w:rPr>
        <w:t>MC641561</w:t>
      </w:r>
      <w:r>
        <w:rPr>
          <w:b w:val="0"/>
          <w:i w:val="0"/>
        </w:rPr>
        <w:t xml:space="preserve">);  </w:t>
      </w:r>
      <w:r>
        <w:rPr>
          <w:rFonts w:hint="eastAsia"/>
          <w:b w:val="0"/>
          <w:i w:val="0"/>
          <w:lang w:val="en-US" w:eastAsia="zh-CN"/>
        </w:rPr>
        <w:t xml:space="preserve">YUAN DING </w:t>
      </w:r>
      <w:r>
        <w:rPr>
          <w:b w:val="0"/>
          <w:i w:val="0"/>
        </w:rPr>
        <w:t>(</w:t>
      </w:r>
      <w:r>
        <w:rPr>
          <w:rFonts w:hint="eastAsia"/>
          <w:b w:val="0"/>
          <w:i w:val="0"/>
          <w:lang w:val="en-US" w:eastAsia="zh-CN"/>
        </w:rPr>
        <w:t>MC642163)</w:t>
      </w:r>
    </w:p>
    <w:p w14:paraId="0B76ED19">
      <w:pPr>
        <w:pStyle w:val="3"/>
      </w:pPr>
      <w:bookmarkStart w:id="0" w:name="_LarkToc00001"/>
      <w:r>
        <w:rPr>
          <w:rFonts w:ascii="Times New Roman" w:hAnsi="Times New Roman" w:eastAsia="黑体"/>
          <w:color w:val="000000"/>
        </w:rPr>
        <w:t>1.  Ideation: Region, Domain and Research Question</w:t>
      </w:r>
      <w:bookmarkEnd w:id="0"/>
    </w:p>
    <w:p w14:paraId="261B4D70">
      <w:pPr>
        <w:pStyle w:val="4"/>
      </w:pPr>
      <w:bookmarkStart w:id="1" w:name="_LarkToc00002"/>
      <w:r>
        <w:rPr>
          <w:rFonts w:ascii="Times New Roman" w:hAnsi="Times New Roman" w:eastAsia="黑体"/>
          <w:color w:val="000000"/>
        </w:rPr>
        <w:t>1.1  Region and Domain</w:t>
      </w:r>
      <w:bookmarkEnd w:id="1"/>
    </w:p>
    <w:p w14:paraId="341FC056">
      <w:pPr>
        <w:pStyle w:val="16"/>
        <w:jc w:val="both"/>
      </w:pPr>
      <w:r>
        <w:rPr>
          <w:b/>
        </w:rPr>
        <w:t xml:space="preserve">Region:  </w:t>
      </w:r>
      <w:r>
        <w:t>Macao Special Administrative Region (SAR), China.</w:t>
      </w:r>
    </w:p>
    <w:p w14:paraId="7C27B78C">
      <w:pPr>
        <w:pStyle w:val="16"/>
        <w:jc w:val="both"/>
      </w:pPr>
      <w:r>
        <w:rPr>
          <w:b/>
        </w:rPr>
        <w:t xml:space="preserve">Domain:  </w:t>
      </w:r>
      <w:r>
        <w:t>Tourism &amp; hospitality (demand-side: visitor arrivals; supply-side performance: hotel occupancy).</w:t>
      </w:r>
    </w:p>
    <w:p w14:paraId="12F48C5C">
      <w:pPr>
        <w:pStyle w:val="4"/>
      </w:pPr>
      <w:bookmarkStart w:id="2" w:name="_LarkToc00003"/>
      <w:r>
        <w:rPr>
          <w:rFonts w:ascii="Times New Roman" w:hAnsi="Times New Roman" w:eastAsia="黑体"/>
          <w:color w:val="000000"/>
        </w:rPr>
        <w:t>1.2  Research Question</w:t>
      </w:r>
      <w:bookmarkEnd w:id="2"/>
    </w:p>
    <w:p w14:paraId="0FD03D3D">
      <w:pPr>
        <w:jc w:val="both"/>
      </w:pPr>
      <w:r>
        <w:rPr>
          <w:b w:val="0"/>
          <w:i w:val="0"/>
        </w:rPr>
        <w:t>Main research question:  How do Macau’s monthly visitor arrivals and hotel occupancy rates move together over time, and has the COVID-19 pandemic changed the seasonal pattern of Macau’s tourism?</w:t>
      </w:r>
    </w:p>
    <w:p w14:paraId="5B0E2DDA">
      <w:pPr>
        <w:jc w:val="both"/>
      </w:pPr>
      <w:r>
        <w:rPr>
          <w:b/>
          <w:i w:val="0"/>
        </w:rPr>
        <w:t>The question is decomposed into three statistically answerable sub-questions:</w:t>
      </w:r>
    </w:p>
    <w:p w14:paraId="10F69646">
      <w:pPr>
        <w:pStyle w:val="16"/>
        <w:jc w:val="both"/>
      </w:pPr>
      <w:r>
        <w:rPr>
          <w:b/>
        </w:rPr>
        <w:t xml:space="preserve">SQ1 (Seasonality):  </w:t>
      </w:r>
      <w:r>
        <w:t>Is there a stable within-year seasonal pattern in monthly visitor arrivals, and does the post-pandemic profile (2023–2026) match the 2019 baseline?</w:t>
      </w:r>
    </w:p>
    <w:p w14:paraId="3D42412A">
      <w:pPr>
        <w:pStyle w:val="16"/>
        <w:jc w:val="both"/>
      </w:pPr>
      <w:r>
        <w:rPr>
          <w:b/>
        </w:rPr>
        <w:t xml:space="preserve">SQ2 (Recovery):  </w:t>
      </w:r>
      <w:r>
        <w:t>How far has visitor demand recovered relative to the pre-pandemic baseline (2025 vs. 2019, and the 2020–2022 pandemic years)?</w:t>
      </w:r>
    </w:p>
    <w:p w14:paraId="2A80DA56">
      <w:pPr>
        <w:pStyle w:val="16"/>
        <w:jc w:val="both"/>
      </w:pPr>
      <w:r>
        <w:rPr>
          <w:b/>
        </w:rPr>
        <w:t xml:space="preserve">SQ3 (Co-movement):  </w:t>
      </w:r>
      <w:r>
        <w:t>How strong is the linear association between monthly visitor arrivals and the hotel occupancy rate (Pearson correlation and linear regression)?</w:t>
      </w:r>
    </w:p>
    <w:p w14:paraId="0FE6F183">
      <w:pPr>
        <w:pStyle w:val="3"/>
      </w:pPr>
      <w:bookmarkStart w:id="3" w:name="_LarkToc00004"/>
      <w:r>
        <w:rPr>
          <w:rFonts w:ascii="Times New Roman" w:hAnsi="Times New Roman" w:eastAsia="黑体"/>
          <w:color w:val="000000"/>
        </w:rPr>
        <w:t>2.  Datasets and Data Sources</w:t>
      </w:r>
      <w:bookmarkEnd w:id="3"/>
    </w:p>
    <w:p w14:paraId="425C0B91">
      <w:pPr>
        <w:jc w:val="both"/>
      </w:pPr>
      <w:r>
        <w:rPr>
          <w:b w:val="0"/>
          <w:i w:val="0"/>
        </w:rPr>
        <w:t>Both key series are official monthly statistics published by the Statistics and Census Service (DSEC) of the Macao SAR. Table 1 lists the three accessible dataset links (two official statistic tables plus the time-series database used for programmatic access).</w:t>
      </w:r>
    </w:p>
    <w:tbl>
      <w:tblPr>
        <w:tblStyle w:val="34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34925C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4448147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#</w:t>
            </w:r>
          </w:p>
        </w:tc>
        <w:tc>
          <w:tcPr>
            <w:tcW w:w="181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63D1EF6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Dataset</w:t>
            </w:r>
          </w:p>
        </w:tc>
        <w:tc>
          <w:tcPr>
            <w:tcW w:w="181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24C06D5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Frequency</w:t>
            </w:r>
          </w:p>
        </w:tc>
        <w:tc>
          <w:tcPr>
            <w:tcW w:w="181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5019643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Coverage</w:t>
            </w:r>
          </w:p>
        </w:tc>
        <w:tc>
          <w:tcPr>
            <w:tcW w:w="181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605C897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Access (official link)</w:t>
            </w:r>
          </w:p>
        </w:tc>
      </w:tr>
      <w:tr w14:paraId="5446989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38ED92D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2582924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Visitor arrivals — total (人次)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6E9E85D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Monthly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2FF8912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Jan 2008 – Aug 2026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47642EC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dsec.gov.mo/zh-CN/Statistic?id=402</w:t>
            </w:r>
          </w:p>
        </w:tc>
      </w:tr>
      <w:tr w14:paraId="74DC633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36B163E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60ACC11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Hotel occupancy rate — hotel establishments (%)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5865E81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Monthly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0509282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Jan 1997 – Aug 2026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63A824D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dsec.gov.mo/zh-CN/Statistic?id=403</w:t>
            </w:r>
          </w:p>
        </w:tc>
      </w:tr>
      <w:tr w14:paraId="6CFA147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5A00132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7EE93BA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DSEC Time Series Database (programmatic access)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56BE29C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Monthly / quarterly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62F7889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—</w:t>
            </w:r>
          </w:p>
        </w:tc>
        <w:tc>
          <w:tcPr>
            <w:tcW w:w="1814" w:type="dxa"/>
            <w:tcBorders>
              <w:bottom w:val="single" w:color="000000" w:sz="2" w:space="0"/>
            </w:tcBorders>
            <w:vAlign w:val="center"/>
          </w:tcPr>
          <w:p w14:paraId="31FBBFA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dsec.gov.mo/ts/</w:t>
            </w:r>
          </w:p>
        </w:tc>
      </w:tr>
    </w:tbl>
    <w:p w14:paraId="0B145BEF">
      <w:pPr>
        <w:jc w:val="left"/>
        <w:rPr>
          <w:b w:val="0"/>
          <w:i w:val="0"/>
          <w:sz w:val="18"/>
        </w:rPr>
      </w:pPr>
      <w:r>
        <w:rPr>
          <w:b w:val="0"/>
          <w:i w:val="0"/>
          <w:sz w:val="18"/>
        </w:rPr>
        <w:t xml:space="preserve">Table 1.  </w:t>
      </w:r>
    </w:p>
    <w:p w14:paraId="7A089C78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i w:val="0"/>
          <w:sz w:val="24"/>
          <w:szCs w:val="24"/>
        </w:rPr>
        <w:t>Valid Dataset Links</w:t>
      </w:r>
      <w:r>
        <w:rPr>
          <w:rFonts w:hint="eastAsia"/>
          <w:b/>
          <w:bCs/>
          <w:i w:val="0"/>
          <w:sz w:val="24"/>
          <w:szCs w:val="24"/>
          <w:lang w:eastAsia="zh-CN"/>
        </w:rPr>
        <w:t>：</w:t>
      </w:r>
      <w:bookmarkStart w:id="15" w:name="_GoBack"/>
      <w:bookmarkEnd w:id="15"/>
      <w:r>
        <w:rPr>
          <w:b w:val="0"/>
          <w:bCs w:val="0"/>
          <w:i w:val="0"/>
          <w:sz w:val="24"/>
          <w:szCs w:val="24"/>
        </w:rPr>
        <w:t>https://www.dsec.gov.mo/zh-CN/Statistic?id=402 ; https://www.dsec.gov.mo/zh-CN/Statistic?id=403 ; https://www.dsec.gov.mo/ts/</w:t>
      </w:r>
    </w:p>
    <w:p w14:paraId="000FF94D">
      <w:pPr>
        <w:jc w:val="both"/>
      </w:pPr>
      <w:r>
        <w:rPr>
          <w:b w:val="0"/>
          <w:i w:val="0"/>
        </w:rPr>
        <w:t>All figures in this proposal were retrieved on 21 October 2026 directly from the DSEC Time Series API (Key Indicators 27 and 9) and cross-validated against the official tables: for example, the sum of monthly visitor arrivals for 2025 equals 40,069,360, matching the DSEC published annual total digit-for-digit.</w:t>
      </w:r>
    </w:p>
    <w:p w14:paraId="47D746FF">
      <w:pPr>
        <w:pStyle w:val="3"/>
      </w:pPr>
      <w:bookmarkStart w:id="4" w:name="_LarkToc00005"/>
      <w:r>
        <w:rPr>
          <w:rFonts w:ascii="Times New Roman" w:hAnsi="Times New Roman" w:eastAsia="黑体"/>
          <w:color w:val="000000"/>
        </w:rPr>
        <w:t>3.  Purpose: Outcomes, Skills and Knowledge</w:t>
      </w:r>
      <w:bookmarkEnd w:id="4"/>
    </w:p>
    <w:p w14:paraId="1ADB3E0B">
      <w:pPr>
        <w:pStyle w:val="4"/>
      </w:pPr>
      <w:bookmarkStart w:id="5" w:name="_LarkToc00006"/>
      <w:r>
        <w:rPr>
          <w:rFonts w:ascii="Times New Roman" w:hAnsi="Times New Roman" w:eastAsia="黑体"/>
          <w:color w:val="000000"/>
        </w:rPr>
        <w:t>3.1  Expected Outcomes</w:t>
      </w:r>
      <w:bookmarkEnd w:id="5"/>
    </w:p>
    <w:p w14:paraId="576A7A90">
      <w:pPr>
        <w:pStyle w:val="16"/>
        <w:jc w:val="both"/>
      </w:pPr>
      <w:r>
        <w:t>A quantitative, reproducible answer to the research question (seasonality, recovery, co-movement), with all numbers traceable to official sources.</w:t>
      </w:r>
    </w:p>
    <w:p w14:paraId="41CD7664">
      <w:pPr>
        <w:pStyle w:val="16"/>
        <w:jc w:val="both"/>
      </w:pPr>
      <w:r>
        <w:t>A three-panel data visualisation that answers the question in one figure (Section 6).</w:t>
      </w:r>
    </w:p>
    <w:p w14:paraId="1A7637AB">
      <w:pPr>
        <w:pStyle w:val="16"/>
        <w:jc w:val="both"/>
      </w:pPr>
      <w:r>
        <w:t>A self-contained Jupyter Notebook (.ipynb) that reproduces the whole pipeline — live API acquisition with CSV fallback, cleaning, validation, statistics and figures.</w:t>
      </w:r>
    </w:p>
    <w:p w14:paraId="7B938751">
      <w:pPr>
        <w:pStyle w:val="16"/>
        <w:jc w:val="both"/>
      </w:pPr>
      <w:r>
        <w:t>This proposal document (DOCX/PDF), ready to submit on Moodle by the deadline.</w:t>
      </w:r>
    </w:p>
    <w:p w14:paraId="5A1E5EBF">
      <w:pPr>
        <w:pStyle w:val="4"/>
      </w:pPr>
      <w:bookmarkStart w:id="6" w:name="_LarkToc00007"/>
      <w:r>
        <w:rPr>
          <w:rFonts w:ascii="Times New Roman" w:hAnsi="Times New Roman" w:eastAsia="黑体"/>
          <w:color w:val="000000"/>
        </w:rPr>
        <w:t>3.2  Skills</w:t>
      </w:r>
      <w:bookmarkEnd w:id="6"/>
    </w:p>
    <w:p w14:paraId="47A11283">
      <w:pPr>
        <w:jc w:val="both"/>
      </w:pPr>
      <w:r>
        <w:rPr>
          <w:b w:val="0"/>
          <w:i w:val="0"/>
        </w:rPr>
        <w:t>Data acquisition from official government APIs; data cleaning and validation against published totals; time-series and correlation analysis; data visualisation with matplotlib/seaborn; reproducible documentation (Jupyter); collaborative project management.</w:t>
      </w:r>
    </w:p>
    <w:p w14:paraId="1C318674">
      <w:pPr>
        <w:pStyle w:val="4"/>
      </w:pPr>
      <w:bookmarkStart w:id="7" w:name="_LarkToc00008"/>
      <w:r>
        <w:rPr>
          <w:rFonts w:ascii="Times New Roman" w:hAnsi="Times New Roman" w:eastAsia="黑体"/>
          <w:color w:val="000000"/>
        </w:rPr>
        <w:t>3.3  Knowledge</w:t>
      </w:r>
      <w:bookmarkEnd w:id="7"/>
    </w:p>
    <w:p w14:paraId="660838E5">
      <w:pPr>
        <w:jc w:val="both"/>
      </w:pPr>
      <w:r>
        <w:rPr>
          <w:b w:val="0"/>
          <w:i w:val="0"/>
        </w:rPr>
        <w:t>Seasonality of tourism demand; post-pandemic recovery benchmarking; co-movement of demand (arrivals) and hotel performance (occupancy); and the implications of these patterns for tourism marketing analytics (pricing and promotion timing, capacity management).</w:t>
      </w:r>
    </w:p>
    <w:p w14:paraId="13F338B2">
      <w:pPr>
        <w:pStyle w:val="3"/>
      </w:pPr>
      <w:bookmarkStart w:id="8" w:name="_LarkToc00009"/>
      <w:r>
        <w:rPr>
          <w:rFonts w:ascii="Times New Roman" w:hAnsi="Times New Roman" w:eastAsia="黑体"/>
          <w:color w:val="000000"/>
        </w:rPr>
        <w:t>4.  Tasks and Deliverables</w:t>
      </w:r>
      <w:bookmarkEnd w:id="8"/>
    </w:p>
    <w:tbl>
      <w:tblPr>
        <w:tblStyle w:val="34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6"/>
        <w:gridCol w:w="2789"/>
        <w:gridCol w:w="3793"/>
      </w:tblGrid>
      <w:tr w14:paraId="3697F84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16205CC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Task</w:t>
            </w:r>
          </w:p>
        </w:tc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1C99725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6064850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Deliverable</w:t>
            </w:r>
          </w:p>
        </w:tc>
      </w:tr>
      <w:tr w14:paraId="0240446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3D8BDBD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T1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58D865E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Acquire monthly DSEC series via API; merge into one tidy table; cross-check annual totals with official figures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5DDE40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data/*.csv (tidy monthly dataset)</w:t>
            </w:r>
          </w:p>
        </w:tc>
      </w:tr>
      <w:tr w14:paraId="34298C4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0AD6E02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T2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5B356A6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Compute key statistics: annual totals, YoY drops, trough, peak month, Pearson r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500FC96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analysis_stats.json</w:t>
            </w:r>
          </w:p>
        </w:tc>
      </w:tr>
      <w:tr w14:paraId="2C2A974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E9EA5B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T3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25DE6D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Design the three-panel visualisation answering the RQ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43183E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figures/macau_tourism_analysis.png</w:t>
            </w:r>
          </w:p>
        </w:tc>
      </w:tr>
      <w:tr w14:paraId="1D1AC5F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8B2EB3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T4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E4FEFF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Write the reproducible analysis notebook (API + CSV fallback)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E2035C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CISC7204_Assignment02_Analysis.ipynb</w:t>
            </w:r>
          </w:p>
        </w:tc>
      </w:tr>
      <w:tr w14:paraId="6CD8988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307C293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T5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B63B13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Draft and integrate this proposal (all guideline elements)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2B619A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Proposal (DOCX + PDF)</w:t>
            </w:r>
          </w:p>
        </w:tc>
      </w:tr>
    </w:tbl>
    <w:p w14:paraId="25A64CD3">
      <w:pPr>
        <w:jc w:val="left"/>
      </w:pPr>
      <w:r>
        <w:rPr>
          <w:b w:val="0"/>
          <w:i w:val="0"/>
          <w:sz w:val="18"/>
        </w:rPr>
        <w:t>Table 2.  Tasks and corresponding deliverables, all included in the Moodle submission (id=1240028).</w:t>
      </w:r>
    </w:p>
    <w:p w14:paraId="1D02C150">
      <w:pPr>
        <w:pStyle w:val="3"/>
      </w:pPr>
      <w:bookmarkStart w:id="9" w:name="_LarkToc00010"/>
      <w:r>
        <w:rPr>
          <w:rFonts w:ascii="Times New Roman" w:hAnsi="Times New Roman" w:eastAsia="黑体"/>
          <w:color w:val="000000"/>
        </w:rPr>
        <w:t>5.  Success Criteria</w:t>
      </w:r>
      <w:bookmarkEnd w:id="9"/>
    </w:p>
    <w:p w14:paraId="28236158">
      <w:pPr>
        <w:jc w:val="both"/>
      </w:pPr>
      <w:r>
        <w:rPr>
          <w:b w:val="0"/>
          <w:i w:val="0"/>
        </w:rPr>
        <w:t>The project is considered successful when every checklist item below is verifiable in the submitted package:</w:t>
      </w:r>
    </w:p>
    <w:tbl>
      <w:tblPr>
        <w:tblStyle w:val="34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2F1457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3FCF9D1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#</w:t>
            </w:r>
          </w:p>
        </w:tc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3AA1DEF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Criterion</w:t>
            </w:r>
          </w:p>
        </w:tc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073E5B8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Where verified</w:t>
            </w:r>
          </w:p>
        </w:tc>
      </w:tr>
      <w:tr w14:paraId="5B5E08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39EAA7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1D9906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Region and domain clearly stated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06FE52D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1.1</w:t>
            </w:r>
          </w:p>
        </w:tc>
      </w:tr>
      <w:tr w14:paraId="5765D0B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39BA6A2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3129363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At least two accessible dataset links (three provided)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7EC1FF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2, Table 1</w:t>
            </w:r>
          </w:p>
        </w:tc>
      </w:tr>
      <w:tr w14:paraId="5F8022B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520C525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B201B7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Research question statistically answerable with monthly data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1E1D67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1.2</w:t>
            </w:r>
          </w:p>
        </w:tc>
      </w:tr>
      <w:tr w14:paraId="368D413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E93DBA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1AFDBDB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Visualisation directly addresses the RQ with a written justification (1–2 paragraphs)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0D94334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6, Figure 1</w:t>
            </w:r>
          </w:p>
        </w:tc>
      </w:tr>
      <w:tr w14:paraId="3B62643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A65EB9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11302C3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Purpose covers outcomes, skills and knowledge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333AAE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3</w:t>
            </w:r>
          </w:p>
        </w:tc>
      </w:tr>
      <w:tr w14:paraId="54A5C5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8D760A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2D6571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Tasks and deliverables fully specified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B540A8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4</w:t>
            </w:r>
          </w:p>
        </w:tc>
      </w:tr>
      <w:tr w14:paraId="7BEC1A4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D57A72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27C32B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Every number traceable to DSEC official data and validated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35B533B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2, Appendix A</w:t>
            </w:r>
          </w:p>
        </w:tc>
      </w:tr>
      <w:tr w14:paraId="1919769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135A205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446AACF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Notebook reproduces the analysis end-to-end (API + CSV fallback)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2E2C60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Deliverable T4</w:t>
            </w:r>
          </w:p>
        </w:tc>
      </w:tr>
      <w:tr w14:paraId="6D23111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04C5D34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1CDF01C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Collaboration plan with roles, division and ground rules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0869817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Section 7</w:t>
            </w:r>
          </w:p>
        </w:tc>
      </w:tr>
      <w:tr w14:paraId="23E968F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368E363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C083FF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Submitted before the deadline (25 Oct 2026, 23:00)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D4BD0E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Moodle receipt</w:t>
            </w:r>
          </w:p>
        </w:tc>
      </w:tr>
    </w:tbl>
    <w:p w14:paraId="760CF7B5">
      <w:pPr>
        <w:jc w:val="left"/>
      </w:pPr>
      <w:r>
        <w:rPr>
          <w:b w:val="0"/>
          <w:i w:val="0"/>
          <w:sz w:val="18"/>
        </w:rPr>
        <w:t>Table 3.  Success-criteria checklist (rubric).</w:t>
      </w:r>
    </w:p>
    <w:p w14:paraId="3816136D">
      <w:pPr>
        <w:pStyle w:val="3"/>
      </w:pPr>
      <w:bookmarkStart w:id="10" w:name="_LarkToc00011"/>
      <w:r>
        <w:rPr>
          <w:rFonts w:ascii="Times New Roman" w:hAnsi="Times New Roman" w:eastAsia="黑体"/>
          <w:color w:val="000000"/>
        </w:rPr>
        <w:t>6.  Visualisation and Written Justification</w:t>
      </w:r>
      <w:bookmarkEnd w:id="10"/>
    </w:p>
    <w:p w14:paraId="697EE3E9">
      <w:pPr>
        <w:jc w:val="both"/>
      </w:pPr>
      <w:r>
        <w:rPr>
          <w:b w:val="0"/>
          <w:i w:val="0"/>
        </w:rPr>
        <w:t>Figure 1 summarises the complete analysis in three panels and is the central visual answer to the research question.</w:t>
      </w:r>
    </w:p>
    <w:p w14:paraId="4283CE0C">
      <w:pPr>
        <w:keepNext/>
        <w:spacing w:before="120"/>
        <w:jc w:val="center"/>
      </w:pPr>
      <w:r>
        <w:drawing>
          <wp:inline distT="0" distB="0" distL="114300" distR="114300">
            <wp:extent cx="5399405" cy="431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BABB">
      <w:pPr>
        <w:jc w:val="center"/>
      </w:pPr>
      <w:r>
        <w:rPr>
          <w:b w:val="0"/>
          <w:i w:val="0"/>
          <w:sz w:val="18"/>
        </w:rPr>
        <w:t>Figure 1.  Macau tourism analysis, Jan 2019 – Aug 2026: (a) monthly visitor arrivals (bars, left axis) and hotel occupancy rate (line, right axis); (b) seasonal profile — 2019 baseline vs. 2023–2026 monthly average; (c) visitor arrivals vs. hotel occupancy with linear fit. Data: DSEC Time Series Database (retrieved 21 Oct 2026).</w:t>
      </w:r>
    </w:p>
    <w:p w14:paraId="5E48F8FA">
      <w:pPr>
        <w:jc w:val="both"/>
      </w:pPr>
      <w:r>
        <w:rPr>
          <w:b w:val="0"/>
          <w:i w:val="0"/>
        </w:rPr>
        <w:t>The figure answers the research question in three complementary layers. Panel (a) shows the pandemic shock and the temporal co-movement of demand and hotel performance: annual arrivals fell 85.0% in 2020, bottomed out at just 11,041 visitors in April 2020 (−99.7% year-on-year), and then recovered in a V-shape to an all-time record of 40.07 million in 2025 (+1.7% vs. 2019), while hotel occupancy followed the same trajectory (93.9% in August 2026). Panel (b) isolates the seasonal component by comparing the 2019 baseline with the 2023–2026 monthly average: the within-year pattern is stable and structural, with a strong August peak (summer holiday / Golden Week demand) and a secondary February peak around the Chinese New Year. Panel (c) quantifies the co-movement: the scatter of monthly arrivals against occupancy with a linear fit gives Pearson r = 0.943 (n = 92 months, 2019–2026), confirming that the two series move tightly together.</w:t>
      </w:r>
    </w:p>
    <w:p w14:paraId="26D71C0F">
      <w:pPr>
        <w:jc w:val="both"/>
      </w:pPr>
      <w:r>
        <w:rPr>
          <w:b w:val="0"/>
          <w:i w:val="0"/>
        </w:rPr>
        <w:t>These findings directly support the conclusion that COVID-19, despite its short-run severity, did not permanently alter Macau’s seasonal structure, and that visitor arrivals act as a strong leading indicator for hotel occupancy. For marketing analytics this is actionable: the seasonal profile identifies the August peak and the June trough as the natural windows for demand-driven versus value-based campaigns, and monthly arrival forecasts can feed occupancy-based pricing decisions. The visualisation therefore does not merely illustrate the data — it answers each sub-question (seasonality, recovery, co-movement) with evidence.</w:t>
      </w:r>
    </w:p>
    <w:p w14:paraId="5ACF7F19">
      <w:pPr>
        <w:pStyle w:val="3"/>
      </w:pPr>
      <w:bookmarkStart w:id="11" w:name="_LarkToc00012"/>
      <w:r>
        <w:rPr>
          <w:rFonts w:ascii="Times New Roman" w:hAnsi="Times New Roman" w:eastAsia="黑体"/>
          <w:color w:val="000000"/>
        </w:rPr>
        <w:t>7.  Collaboration: Roles, Task Division and Ground Rules</w:t>
      </w:r>
      <w:bookmarkEnd w:id="11"/>
    </w:p>
    <w:p w14:paraId="617EECAA">
      <w:pPr>
        <w:pStyle w:val="4"/>
      </w:pPr>
      <w:bookmarkStart w:id="12" w:name="_LarkToc00013"/>
      <w:r>
        <w:rPr>
          <w:rFonts w:ascii="Times New Roman" w:hAnsi="Times New Roman" w:eastAsia="黑体"/>
          <w:color w:val="000000"/>
        </w:rPr>
        <w:t>7.1  Roles</w:t>
      </w:r>
      <w:bookmarkEnd w:id="12"/>
    </w:p>
    <w:tbl>
      <w:tblPr>
        <w:tblStyle w:val="34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D1E25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3C3FF1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Role</w:t>
            </w:r>
          </w:p>
        </w:tc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508E915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Owner</w:t>
            </w:r>
          </w:p>
        </w:tc>
        <w:tc>
          <w:tcPr>
            <w:tcW w:w="3024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4D17D4E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Responsibilities</w:t>
            </w:r>
          </w:p>
        </w:tc>
      </w:tr>
      <w:tr w14:paraId="1990E64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28F449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Project coordinator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1678E922">
            <w:pPr>
              <w:spacing w:before="40" w:after="40" w:line="240" w:lineRule="auto"/>
              <w:ind w:firstLine="0"/>
              <w:jc w:val="left"/>
            </w:pPr>
            <w:r>
              <w:rPr>
                <w:rFonts w:hint="eastAsia" w:ascii="Times New Roman" w:hAnsi="Times New Roman"/>
                <w:b w:val="0"/>
                <w:sz w:val="21"/>
              </w:rPr>
              <w:t>WANG MENGCHEN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3ADF5E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Sets agenda, owns milestone deadlines, integrates final proposal</w:t>
            </w:r>
          </w:p>
        </w:tc>
      </w:tr>
      <w:tr w14:paraId="455ACAB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5357A0D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Scribe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18697E0F">
            <w:pPr>
              <w:spacing w:before="40" w:after="40" w:line="240" w:lineRule="auto"/>
              <w:ind w:firstLine="0"/>
              <w:jc w:val="left"/>
            </w:pPr>
            <w:r>
              <w:rPr>
                <w:rFonts w:hint="eastAsia" w:ascii="Times New Roman" w:hAnsi="Times New Roman"/>
                <w:b w:val="0"/>
                <w:sz w:val="21"/>
              </w:rPr>
              <w:t>YUAN DING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06B13CE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Records meeting minutes and key decisions</w:t>
            </w:r>
          </w:p>
        </w:tc>
      </w:tr>
      <w:tr w14:paraId="30465B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7A0AA3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Progress tracker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5187040E">
            <w:pPr>
              <w:spacing w:before="40" w:after="40" w:line="240" w:lineRule="auto"/>
              <w:ind w:firstLine="0"/>
              <w:jc w:val="left"/>
            </w:pPr>
            <w:r>
              <w:rPr>
                <w:rFonts w:hint="eastAsia" w:ascii="Times New Roman" w:hAnsi="Times New Roman"/>
                <w:b w:val="0"/>
                <w:sz w:val="21"/>
              </w:rPr>
              <w:t>WANG MENGCHEN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E926E8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Tracks tasks against timeline, flags risks early</w:t>
            </w:r>
          </w:p>
        </w:tc>
      </w:tr>
      <w:tr w14:paraId="51F646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2CDD207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Liaison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70559919">
            <w:pPr>
              <w:spacing w:before="40" w:after="40" w:line="240" w:lineRule="auto"/>
              <w:ind w:firstLine="0"/>
              <w:jc w:val="left"/>
            </w:pPr>
            <w:r>
              <w:rPr>
                <w:rFonts w:hint="eastAsia" w:ascii="Times New Roman" w:hAnsi="Times New Roman"/>
                <w:b w:val="0"/>
                <w:sz w:val="21"/>
              </w:rPr>
              <w:t>YUAN DING</w:t>
            </w:r>
          </w:p>
        </w:tc>
        <w:tc>
          <w:tcPr>
            <w:tcW w:w="3024" w:type="dxa"/>
            <w:tcBorders>
              <w:bottom w:val="single" w:color="000000" w:sz="2" w:space="0"/>
            </w:tcBorders>
            <w:vAlign w:val="center"/>
          </w:tcPr>
          <w:p w14:paraId="630F756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Handles instructor clarifications and submission logistics</w:t>
            </w:r>
          </w:p>
        </w:tc>
      </w:tr>
    </w:tbl>
    <w:p w14:paraId="1E74B5C8">
      <w:pPr>
        <w:jc w:val="left"/>
      </w:pPr>
      <w:r>
        <w:rPr>
          <w:b w:val="0"/>
          <w:i w:val="0"/>
          <w:sz w:val="18"/>
        </w:rPr>
        <w:t>Table 4.  Team roles (2 members, shared responsibilities).</w:t>
      </w:r>
    </w:p>
    <w:p w14:paraId="0D5BC000">
      <w:pPr>
        <w:pStyle w:val="4"/>
      </w:pPr>
      <w:bookmarkStart w:id="13" w:name="_LarkToc00014"/>
      <w:r>
        <w:rPr>
          <w:rFonts w:ascii="Times New Roman" w:hAnsi="Times New Roman" w:eastAsia="黑体"/>
          <w:color w:val="000000"/>
        </w:rPr>
        <w:t>7.2  Task Division</w:t>
      </w:r>
      <w:bookmarkEnd w:id="13"/>
    </w:p>
    <w:p w14:paraId="287E1C5B">
      <w:pPr>
        <w:pStyle w:val="16"/>
        <w:jc w:val="both"/>
      </w:pPr>
      <w:r>
        <w:rPr>
          <w:rFonts w:hint="eastAsia"/>
          <w:b/>
        </w:rPr>
        <w:t xml:space="preserve"> WANG MENGCHEN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 xml:space="preserve">—  </w:t>
      </w:r>
      <w:r>
        <w:t>data acquisition &amp; cleaning, statistical analysis, success-criteria verification.</w:t>
      </w:r>
    </w:p>
    <w:p w14:paraId="47C9C94B">
      <w:pPr>
        <w:pStyle w:val="16"/>
        <w:jc w:val="both"/>
      </w:pPr>
      <w:r>
        <w:rPr>
          <w:rFonts w:hint="eastAsia"/>
          <w:b/>
        </w:rPr>
        <w:t>YUAN DING</w:t>
      </w:r>
      <w:r>
        <w:rPr>
          <w:b/>
        </w:rPr>
        <w:t xml:space="preserve"> —  </w:t>
      </w:r>
      <w:r>
        <w:t>visualisation, notebook implementation, proposal drafting and final proofreading.</w:t>
      </w:r>
    </w:p>
    <w:p w14:paraId="38F05122">
      <w:pPr>
        <w:pStyle w:val="4"/>
      </w:pPr>
      <w:bookmarkStart w:id="14" w:name="_LarkToc00015"/>
      <w:r>
        <w:rPr>
          <w:rFonts w:ascii="Times New Roman" w:hAnsi="Times New Roman" w:eastAsia="黑体"/>
          <w:color w:val="000000"/>
        </w:rPr>
        <w:t>7.3  Ground Rules</w:t>
      </w:r>
      <w:bookmarkEnd w:id="14"/>
    </w:p>
    <w:p w14:paraId="4055A38E">
      <w:pPr>
        <w:pStyle w:val="16"/>
        <w:jc w:val="both"/>
      </w:pPr>
      <w:r>
        <w:t>One weekly 30-minute synchronous check-in plus an always-on chat thread for asynchronous updates.</w:t>
      </w:r>
    </w:p>
    <w:p w14:paraId="57F7E03D">
      <w:pPr>
        <w:pStyle w:val="16"/>
        <w:jc w:val="both"/>
      </w:pPr>
      <w:r>
        <w:t>Shared folder (UM/cloud drive) with versioned files; one canonical copy is the submission source of truth.</w:t>
      </w:r>
    </w:p>
    <w:p w14:paraId="2F741936">
      <w:pPr>
        <w:pStyle w:val="16"/>
        <w:jc w:val="both"/>
      </w:pPr>
      <w:r>
        <w:t>Any decision that changes scope, data or conclusions requires both members’ consent; disagreements are settled with evidence (data/code), not opinion.</w:t>
      </w:r>
    </w:p>
    <w:p w14:paraId="6737B67C">
      <w:pPr>
        <w:pStyle w:val="16"/>
        <w:jc w:val="both"/>
      </w:pPr>
      <w:r>
        <w:t>Final integration and the submission checklist are reviewed by both members at least 24 hours before the deadline.</w:t>
      </w:r>
    </w:p>
    <w:p w14:paraId="558E75D1">
      <w:pPr>
        <w:jc w:val="left"/>
      </w:pP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EA8D4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9d5ba3a0fb153a01f861ae4c7486dba630bb24e73424af9bdf364a2bf9b07679:76e60e8af8b6dd1f8f7a99aa9e5367078f0f840913725d5f2a651a559595ae7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553EC"/>
    <w:rsid w:val="4490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36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80" w:after="160" w:line="240" w:lineRule="auto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</Words>
  <Characters>837</Characters>
  <Lines>0</Lines>
  <Paragraphs>0</Paragraphs>
  <TotalTime>14</TotalTime>
  <ScaleCrop>false</ScaleCrop>
  <LinksUpToDate>false</LinksUpToDate>
  <CharactersWithSpaces>982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六元一斤虾</cp:lastModifiedBy>
  <dcterms:modified xsi:type="dcterms:W3CDTF">2026-10-23T09:04:51Z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eyJoZGlkIjoiZjFmZWIzNDg2MmIzZjExOTIzMmViNTBmYTMwYTk0ZWYiLCJ1c2VySWQiOiIxMTM0NzQ3OTUzIn0=</vt:lpwstr>
  </property>
  <property fmtid="{D5CDD505-2E9C-101B-9397-08002B2CF9AE}" pid="3" name="KSOProductBuildVer">
    <vt:lpwstr>2052-12.1.0.29161</vt:lpwstr>
  </property>
  <property fmtid="{D5CDD505-2E9C-101B-9397-08002B2CF9AE}" pid="4" name="ICV">
    <vt:lpwstr>69DD9243C483402CAB40E0FE2F760945_12</vt:lpwstr>
  </property>
</Properties>
</file>