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F497D"/>
          <w:sz w:val="80"/>
          <w:szCs w:val="80"/>
        </w:rPr>
        <w:t>太玄智译</w:t>
      </w:r>
    </w:p>
    <w:p>
      <w:pPr>
        <w:spacing w:before="0" w:after="160"/>
        <w:jc w:val="center"/>
      </w:pPr>
      <w:r>
        <w:rPr>
          <w:rFonts w:ascii="Arial" w:hAnsi="Arial" w:eastAsia="Arial" w:cs="Arial"/>
          <w:color w:val="2E74B5"/>
          <w:sz w:val="36"/>
          <w:szCs w:val="36"/>
        </w:rPr>
        <w:t>PDF智能翻译工作台</w:t>
      </w:r>
    </w:p>
    <w:p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TaiXuan Intelligent Translation Workbench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1F497D" w:sz="6" w:space="0"/>
        </w:pBdr>
        <w:spacing w:before="160" w:after="160"/>
      </w:pPr>
    </w:p>
    <w:p>
      <w:pPr>
        <w:spacing w:before="60" w:after="60"/>
      </w:pPr>
    </w:p>
    <w:p>
      <w:pPr>
        <w:spacing w:before="0" w:after="1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版本 1.0.0  |  2026-04</w:t>
      </w:r>
    </w:p>
    <w:p>
      <w:pPr>
        <w:spacing w:before="0" w:after="8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太玄计算机软件开发工作室</w:t>
      </w:r>
    </w:p>
    <w:p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AAAAAA"/>
          <w:sz w:val="18"/>
          <w:szCs w:val="18"/>
        </w:rPr>
        <w:t>Taixuan Computer Software Development Studio</w:t>
      </w:r>
    </w:p>
    <w:p>
      <w:r>
        <w:br w:type="page"/>
      </w:r>
    </w:p>
    <w:p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>目  录</w:t>
      </w:r>
    </w:p>
    <w:sdt>
      <w:sdtPr>
        <w:alias w:val="目  录"/>
        <w:id w:val="1"/>
      </w:sdtPr>
      <w:sdtContent>
        <w:p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>第一章  产品概述</w:t>
      </w:r>
    </w:p>
    <w:p>
      <w:pPr>
        <w:pBdr>
          <w:bottom w:val="single" w:color="2E74B5" w:sz="6" w:space="0"/>
        </w:pBdr>
        <w:spacing w:before="160" w:after="1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1.1  产品介绍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太玄智译是一款专为出版行业设计的 PDF 文档翻译工具，支持一键提取 PDF 文本、智能分段、多引擎翻译（DeepSeek/OpenAI/DeepL/Ollama 等），并可导出多种格式的双语对照 Word 文档。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通过深度分析文档的页面结构、段落语义与语言特征，软件能够自动识别段落、标题、脚注，并在翻译过程中自动调用 AI 翻译引擎进行准确翻译，最终输出符合出版标准的双语文档，大大提升工作效率。</w:t>
      </w:r>
    </w:p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1.2  核心优势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多引擎支持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支持 DeepSeek、OpenAI、Claude、DeepL、Ollama、通义千问、MiniMax、Gemini、Grok 等10种翻译引擎，可随时切换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智能文档解析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自动提取文本、表格、公式，能识别段落、标题、脚注类型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双语对照导出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支持段落交替、左右分栏、纯译文、脚注模式等多种格式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翻译缓存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已翻译段落自动缓存，避免重复调用 API，节省成本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本地部署选项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Ollama 本地模型无需 API Key，数据不出网，适合内网环境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暂停/继续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翻译过程中随时暂停和恢复，进度存档不丢失</w:t>
            </w:r>
          </w:p>
        </w:tc>
      </w:tr>
    </w:tbl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1.3  适用场景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太玄智译特别适合以下场景：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外文专业书籍、论文、报告的翻译与本地化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国际标准文档（ISO/IEC/IEEE 等）的中文导入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学术论文、硕士论文的英文内容翻译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商业报告、合同文书、产品说明书的外语本地化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内网环境下的故障保密文档处理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大型 PDF 文档的高效批量翻译</w:t>
      </w:r>
    </w:p>
    <w:p>
      <w:pPr>
        <w:spacing w:before="60" w:after="60"/>
      </w:pPr>
    </w:p>
    <w:p>
      <w:r>
        <w:br w:type="page"/>
      </w:r>
    </w:p>
    <w:p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>第二章  安装配置</w:t>
      </w:r>
    </w:p>
    <w:p>
      <w:pPr>
        <w:pBdr>
          <w:bottom w:val="single" w:color="2E74B5" w:sz="6" w:space="0"/>
        </w:pBdr>
        <w:spacing w:before="160" w:after="1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2.1  环境要求</w:t>
      </w:r>
    </w:p>
    <w:tbl>
      <w:tblPr>
        <w:tblStyle w:val="11"/>
        <w:tblW w:w="20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38"/>
        <w:gridCol w:w="150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操作系统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Windows 10/11 x64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内存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至少 4 GB（推荐 8 GB+）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硬盘空间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至少 500 MB 可用空间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Python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Python 3.10 / 3.11 / 3.12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网络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互联网连接（使用云端 API 时需要）</w:t>
            </w:r>
          </w:p>
        </w:tc>
      </w:tr>
    </w:tbl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2.2  安装步骤</w:t>
      </w: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方式一：推荐方式 — 解压即用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推荐新手使用：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下载压缩包 taixuan-translator-v1.0.0-win64.zip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右键解压到目标路径，如 D: 或 C: 直接解压到盘符级目录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双击「启动服务.bat」，空白屏幕会自动打开浏览器并连接到软件界面</w:t>
      </w:r>
    </w:p>
    <w:p>
      <w:pPr>
        <w:pBdr>
          <w:left w:val="single" w:color="2E74B5" w:sz="12" w:space="0"/>
        </w:pBdr>
        <w:spacing w:before="80" w:after="8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提示：如果稍后出现 Windows SmartScreen 警告，点击「更多信息」 → 「仍要运行」即可</w:t>
      </w:r>
    </w:p>
    <w:p>
      <w:pPr>
        <w:spacing w:before="60" w:after="60"/>
      </w:pP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方式二：源码部属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适合有技术背景的开发者：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克隆 git clone https://github.com/your-username/taixuan-translator.git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进入目录 cd taixuan-translator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创建虚拟环境 python -m venv venv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激活虚拟环境 venvScriptsactivate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安装依赖 pip install -r requirements.txt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配置 API Key（见 2.3 节）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启动服务 python silent_entry.py</w:t>
      </w:r>
    </w:p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2.3  配置 API Key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配置文件方式一：编辑 .env 文件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进入安装目录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找到 .env.example 文件，复制并重命名为 .env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用记事本打开 .env，填写对应引擎的 API Key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保存文件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配置文件方式二：环境变量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打开命令提示符，输入设置命令：</w:t>
      </w:r>
    </w:p>
    <w:p>
      <w:pPr>
        <w:pStyle w:val="16"/>
        <w:numPr>
          <w:ilvl w:val="1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set DEEPSEEK_API_KEY=sk-您的实际Key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注意：这种方式仅当前服务有效，重启后需重新设置</w:t>
      </w:r>
    </w:p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2.4  各引擎配置详情</w:t>
      </w:r>
    </w:p>
    <w:tbl>
      <w:tblPr>
        <w:tblStyle w:val="11"/>
        <w:tblW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26"/>
        <w:gridCol w:w="3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引擎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推荐场景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API Key获取地址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DeepSeek（推荐）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高性价比，适合大部分场景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platform.deepseek.com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OpenAI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通用翻译，质量稳定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platform.openai.com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Claude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学术文档翻译，语言表达准确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console.anthropic.com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通义千问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中文优化特训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dashscope.aliyuncs.com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DeepL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英/德/法专业术语翻译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deepl.com/pro-api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Ollama（本地）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内网环境，完全免费无限额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ollama.ai</w:t>
            </w:r>
          </w:p>
        </w:tc>
      </w:tr>
    </w:tbl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2.5  程序资源数据位置</w:t>
      </w:r>
    </w:p>
    <w:tbl>
      <w:tblPr>
        <w:tblStyle w:val="11"/>
        <w:tblW w:w="242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00"/>
        <w:gridCol w:w="156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数据库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C:/Users/[用户名]/.taixuan_translator/taixuan.db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日志文件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C:/Users/[用户名]/.taixuan_translator/logs/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导出文件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C:/Users/[用户名]/.taixuan_translator/exports/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缓存目录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C:/Users/[用户名]/.taixuan_translator/cache/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>第三章  界面与操作</w:t>
      </w:r>
    </w:p>
    <w:p>
      <w:pPr>
        <w:pBdr>
          <w:bottom w:val="single" w:color="2E74B5" w:sz="6" w:space="0"/>
        </w:pBdr>
        <w:spacing w:before="160" w:after="1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3.1  访问软件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启动软件后，打开浏览器，输入地址：</w:t>
      </w:r>
    </w:p>
    <w:p>
      <w:pPr>
        <w:spacing w:before="80" w:after="80"/>
      </w:pPr>
      <w:r>
        <w:rPr>
          <w:b/>
          <w:bCs/>
          <w:color w:val="2E74B5"/>
        </w:rPr>
        <w:t>http://127.0.0.1:8000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浏览器会自动打开四个标签页：</w:t>
      </w:r>
    </w:p>
    <w:tbl>
      <w:tblPr>
        <w:tblStyle w:val="11"/>
        <w:tblW w:w="20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38"/>
        <w:gridCol w:w="150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标签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上传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上传 PDF/DOCX/ePub 等文档进行解析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翻译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选择引擎、设置目标语言、启动翻译并查看结果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设置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配置各引擎的 API Key、模型参数等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状态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查看翻译进度、字符数、进度条等统计信息</w:t>
            </w:r>
          </w:p>
        </w:tc>
      </w:tr>
    </w:tbl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3.2  上传文档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步骤1：打开「上传」标签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步骤2：拖拽 PDF 文件到上传区，或点击「选择文件」按钮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步骤3：等待解析完成（文件大小和页数决定进度）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步骤4：解析完成后，展出文档概要：文件名、大小、段落数目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步骤5：点击「开始翻译」，切换到「翻译」标签</w:t>
      </w:r>
    </w:p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3.3  进行翻译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选择翻译引擎：下拉菜单选择 DeepSeek / OpenAI / Claude 等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选择目标语言：简体中文 / 繁体中文 / English / 日本語 / 한국어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点击「全文翻译」，系统会自动执行以下操作：</w:t>
      </w:r>
    </w:p>
    <w:p>
      <w:pPr>
        <w:pStyle w:val="16"/>
        <w:numPr>
          <w:ilvl w:val="1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解析 PDF 提取文本</w:t>
      </w:r>
    </w:p>
    <w:p>
      <w:pPr>
        <w:pStyle w:val="16"/>
        <w:numPr>
          <w:ilvl w:val="1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智能分段</w:t>
      </w:r>
    </w:p>
    <w:p>
      <w:pPr>
        <w:pStyle w:val="16"/>
        <w:numPr>
          <w:ilvl w:val="1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调用翻译 API</w:t>
      </w:r>
    </w:p>
    <w:p>
      <w:pPr>
        <w:pStyle w:val="16"/>
        <w:numPr>
          <w:ilvl w:val="1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实时显示进度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翻译过程中可点击「暂停」中断翻译，稍后点击「继续」恢复</w:t>
      </w:r>
    </w:p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3.4  导出结果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翻译完成后，点击「导出」按钮，选择导出格式：</w:t>
      </w:r>
    </w:p>
    <w:tbl>
      <w:tblPr>
        <w:tblStyle w:val="11"/>
        <w:tblW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26"/>
        <w:gridCol w:w="3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格式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段落交替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阅读查看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中文译文和英文原文段落交替排列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左右分栏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对照审校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中文译文对照原文左右分栏显示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纯译文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排版印刷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仅输出中文译文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脚注模式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专业审校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英文原文作为脚注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选择格式后点击「导出选中版本」，文档将自动下载到「导出文件」目录。</w:t>
      </w:r>
    </w:p>
    <w:p>
      <w:pPr>
        <w:spacing w:before="60" w:after="60"/>
      </w:pPr>
    </w:p>
    <w:p>
      <w:r>
        <w:br w:type="page"/>
      </w:r>
    </w:p>
    <w:p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>第四章  功能详解</w:t>
      </w:r>
    </w:p>
    <w:p>
      <w:pPr>
        <w:pBdr>
          <w:bottom w:val="single" w:color="2E74B5" w:sz="6" w:space="0"/>
        </w:pBdr>
        <w:spacing w:before="160" w:after="1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4.1  支持的文件格式</w:t>
      </w:r>
    </w:p>
    <w:tbl>
      <w:tblPr>
        <w:tblStyle w:val="11"/>
        <w:tblW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文件格式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支持版本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解析能力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PDF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任意 PDF 版本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文本、段落、标题、脚注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Word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DOCX / DOC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段落、标题、样式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ePub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ePub 2/3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文本内容、章节结构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HTML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网页文件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正文文本提取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TXT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纯文本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段落逐行解析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字幕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SRT / ASS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字幕逐条翻译</w:t>
            </w:r>
          </w:p>
        </w:tc>
      </w:tr>
    </w:tbl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4.2  翻译引擎详解</w:t>
      </w: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DeepSeek（默认引擎）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DeepSeek 是太玄智译的默认翻译引擎，以高性价比著称：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API 价格约为 GPT-4 的 1/10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支持 64K 上下文窗口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国内直连，延迟低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推荐配置：模型 deepseek-chat，温度 0.3</w:t>
      </w:r>
    </w:p>
    <w:p>
      <w:pPr>
        <w:spacing w:before="60" w:after="60"/>
      </w:pP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OpenAI GPT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通用翻译首选，适合各种场景：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推荐模型：gpt-4o-mini（性价比）或 gpt-4o（最高质量）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支持 128K 上下文窗口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翻译质量稳定，术语库丰富</w:t>
      </w:r>
    </w:p>
    <w:p>
      <w:pPr>
        <w:spacing w:before="60" w:after="60"/>
      </w:pP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Ollama 本地模型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适合内网环境和隐私敏感场景：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完全免费，无 API 调用费用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数据不出网，隐私安全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需要较大内存（7B 模型需 8GB+ RAM）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首次使用需下载模型：ollama pull qwen2.5:7b</w:t>
      </w:r>
    </w:p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4.3  翻译缓存机制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太玄智译内置翻译缓存，大幅提升效率：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已翻译段落自动存入本地缓存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相同内容再次翻译时直接读取缓存，零成本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缓存有效期默认 30 天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缓存命中后，进度条中显示「缓存」标记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缓存存储路径：C:/Users/[用户名]/.taixuan_translator/cache/</w:t>
      </w:r>
    </w:p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4.4  暂停与进度管理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翻译过程中支持完整的暂停/继续功能：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点击「暂停」：立即停止翻译，当前进度已翻译内容全部保留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点击「继续」：从上次位置恢复翻译，不重复翻译已完成段落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进度信息：实时显示已翻译段落数、总段落数、预估剩余时间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缓存命中统计：显示本次翻译中缓存命中的段落数量</w:t>
      </w:r>
    </w:p>
    <w:p>
      <w:pPr>
        <w:spacing w:before="60" w:after="60"/>
      </w:pPr>
    </w:p>
    <w:p>
      <w:r>
        <w:br w:type="page"/>
      </w:r>
    </w:p>
    <w:p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>第五章  常见问题</w:t>
      </w:r>
    </w:p>
    <w:p>
      <w:pPr>
        <w:pBdr>
          <w:bottom w:val="single" w:color="2E74B5" w:sz="6" w:space="0"/>
        </w:pBdr>
        <w:spacing w:before="160" w:after="1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5.1  安装与启动问题</w:t>
      </w: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Q1：双击启动后闪退怎么办？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原因：缺少 API Key 或依赖未安装。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确保 .env 文件存在且包含有效的 API Key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确保已安装 Python 3.10+ 和所有依赖（pip install -r requirements.txt）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从命令行启动查看具体错误信息</w:t>
      </w:r>
    </w:p>
    <w:p>
      <w:pPr>
        <w:spacing w:before="60" w:after="60"/>
      </w:pP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Q2：遇到 SmartScreen 警告怎么办？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这是 Windows 安全机制，代码签名证书未申请导致。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点击「更多信息」→「仍要运行」即可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或等待 v1.0.1 更新（将包含数字签名）</w:t>
      </w:r>
    </w:p>
    <w:p>
      <w:pPr>
        <w:spacing w:before="60" w:after="60"/>
      </w:pP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Q3：端口 8000 被占用怎么办？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查找占用进程：netstat -ano | findstr 8000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结束进程（假设 PID 是 1234）：taskkill /PID 1234 /F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或修改启动端口后重新启动服务</w:t>
      </w:r>
    </w:p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5.2  翻译质量问题</w:t>
      </w: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Q4：翻译结果不理想怎么办？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调整参数：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降低温度（TEMPERATURE）：数值越低，翻译越确定（推荐 0.3）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增加最大 Token 数（MAX_TOKENS）：允许更长输出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切换引擎：不同引擎在专业术语上有不同优势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使用 Claude：学术类文档推荐使用 Claude 引擎</w:t>
      </w:r>
    </w:p>
    <w:p>
      <w:pPr>
        <w:spacing w:before="60" w:after="60"/>
      </w:pP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Q5：翻译失败或超时怎么办？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排查步骤：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检查 .env 中 API Key 是否正确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检查网络是否正常（能否访问 api.deepseek.com 等）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检查 API Key 是否有余额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尝试增大超时时间配置（TIMEOUT=120）</w:t>
      </w:r>
    </w:p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5.3  数据与文件问题</w:t>
      </w: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Q6：导出文档乱码怎么办？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请使用 Microsoft Word 或 WPS 打开导出的 .docx 文件，避免使用系统自带记事本。</w:t>
      </w:r>
    </w:p>
    <w:p>
      <w:pPr>
        <w:spacing w:before="60" w:after="60"/>
      </w:pPr>
    </w:p>
    <w:p>
      <w:pPr>
        <w:pStyle w:val="4"/>
        <w:spacing w:before="180" w:after="100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Q7：数据库初始化失败怎么办？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删除 C:/Users/[用户名]/.taixuan_translator/ 目录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重新启动服务，系统会自动创建新的数据库</w:t>
      </w:r>
    </w:p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5.4  卸载软件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步骤1：停止服务（关闭命令行窗口或相关进程）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步骤2：删除安装目录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步骤3（可选）：删除数据目录 C:/Users/[用户名]/.taixuan_translator/</w:t>
      </w:r>
    </w:p>
    <w:p>
      <w:pPr>
        <w:spacing w:before="60" w:after="60"/>
      </w:pPr>
    </w:p>
    <w:p>
      <w:r>
        <w:br w:type="page"/>
      </w:r>
    </w:p>
    <w:p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>第六章  附录</w:t>
      </w:r>
    </w:p>
    <w:p>
      <w:pPr>
        <w:pBdr>
          <w:bottom w:val="single" w:color="2E74B5" w:sz="6" w:space="0"/>
        </w:pBdr>
        <w:spacing w:before="160" w:after="1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6.1  技术架构一览</w:t>
      </w:r>
    </w:p>
    <w:p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太玄智译采用模块化架构，各层职责清晰：</w:t>
      </w:r>
    </w:p>
    <w:tbl>
      <w:tblPr>
        <w:tblStyle w:val="11"/>
        <w:tblW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核心文件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API层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api/main.py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FastAPI Web 服务，提供 REST 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配置层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core/config.py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统一管理所有引擎配置（pydantic-settings）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解析层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pdf_parser/core_parser.py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PyMuPDF 解析 PDF，提取文本/表格/公式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翻译层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translator/engine_*.py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10种引擎适配层，统一接口设计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导出层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docx_generator/core.py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生成符合 GB/T 7713.1-2006 标准的 Word 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数据层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data/database.py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SQLite 存储任务记录和翻译历史</w:t>
            </w:r>
          </w:p>
        </w:tc>
      </w:tr>
    </w:tbl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6.2  技术栈一览</w:t>
      </w:r>
    </w:p>
    <w:tbl>
      <w:tblPr>
        <w:tblStyle w:val="11"/>
        <w:tblW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  <w:gridCol w:w="3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技术领域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选用方案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Web框架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FastAPI + Uvicorn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高性能异步 API 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PDF解析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PyMuPDF (fitz)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高性能 PDF 解析库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翻译接口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OpenAI兼容协议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统一接口对接多种大模型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文档生成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python-docx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生成 Word 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UI界面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PyQt6 + Web前端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桌面+浏览器双入口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数据存储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SQLite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轻量级本地数据库</w:t>
            </w:r>
          </w:p>
        </w:tc>
      </w:tr>
    </w:tbl>
    <w:p>
      <w:pPr>
        <w:spacing w:before="60" w:after="60"/>
      </w:pPr>
    </w:p>
    <w:p>
      <w:pPr>
        <w:pStyle w:val="3"/>
        <w:spacing w:before="260" w:after="140"/>
      </w:pPr>
      <w:r>
        <w:rPr>
          <w:rFonts w:ascii="Arial" w:hAnsi="Arial" w:eastAsia="Arial" w:cs="Arial"/>
          <w:b/>
          <w:bCs/>
          <w:color w:val="2E74B5"/>
          <w:sz w:val="28"/>
          <w:szCs w:val="28"/>
        </w:rPr>
        <w:t>6.3  版本历史</w:t>
      </w:r>
    </w:p>
    <w:tbl>
      <w:tblPr>
        <w:tblStyle w:val="11"/>
        <w:tblW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400"/>
        <w:gridCol w:w="6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6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更新内容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1.0.0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2026-04-04</w:t>
            </w:r>
          </w:p>
        </w:tc>
        <w:tc>
          <w:tcPr>
            <w:tcW w:w="6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全新 PDF 翻译工作台界面、多引擎支持、四种导出模式、翻译缓存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0.1.0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2024-12-01</w:t>
            </w:r>
          </w:p>
        </w:tc>
        <w:tc>
          <w:tcPr>
            <w:tcW w:w="6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初始版本，基本 PDF 翻译功能，单引擎支持（DeepSeek）</w:t>
            </w:r>
          </w:p>
        </w:tc>
      </w:tr>
    </w:tbl>
    <w:p>
      <w:pPr>
        <w:spacing w:before="60" w:after="60"/>
      </w:pPr>
    </w:p>
    <w:p>
      <w:pPr>
        <w:pBdr>
          <w:bottom w:val="single" w:color="2E74B5" w:sz="6" w:space="0"/>
        </w:pBdr>
        <w:spacing w:before="160" w:after="160"/>
      </w:pPr>
    </w:p>
    <w:p>
      <w:pPr>
        <w:spacing w:before="300" w:after="300"/>
        <w:jc w:val="center"/>
      </w:pPr>
      <w:r>
        <w:rPr>
          <w:rFonts w:ascii="Arial" w:hAnsi="Arial" w:eastAsia="Arial" w:cs="Arial"/>
          <w:b/>
          <w:bCs/>
          <w:i/>
          <w:iCs/>
          <w:color w:val="1F497D"/>
          <w:sz w:val="26"/>
          <w:szCs w:val="26"/>
        </w:rPr>
        <w:t>「让每一个文档都能被世界看见」</w:t>
      </w:r>
    </w:p>
    <w:p>
      <w:pPr>
        <w:pBdr>
          <w:bottom w:val="single" w:color="2E74B5" w:sz="6" w:space="0"/>
        </w:pBdr>
        <w:spacing w:before="160" w:after="160"/>
      </w:pPr>
    </w:p>
    <w:p>
      <w:pPr>
        <w:spacing w:before="200" w:after="100"/>
      </w:pPr>
      <w:r>
        <w:rPr>
          <w:rFonts w:ascii="Arial" w:hAnsi="Arial" w:eastAsia="Arial" w:cs="Arial"/>
          <w:color w:val="888888"/>
          <w:sz w:val="18"/>
          <w:szCs w:val="18"/>
        </w:rPr>
        <w:t>太玄计算机软件开发工作室  |  Taixuan Computer Software Development Studio</w:t>
      </w:r>
    </w:p>
    <w:p>
      <w:pPr>
        <w:spacing w:before="60" w:after="10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color w:val="AAAAAA"/>
          <w:sz w:val="18"/>
          <w:szCs w:val="18"/>
        </w:rPr>
        <w:t>联系邮箱：</w:t>
      </w:r>
      <w:r>
        <w:rPr>
          <w:rFonts w:hint="eastAsia" w:eastAsia="宋体" w:cs="Arial"/>
          <w:color w:val="AAAAAA"/>
          <w:sz w:val="18"/>
          <w:szCs w:val="18"/>
          <w:lang w:val="en-US" w:eastAsia="zh-CN"/>
        </w:rPr>
        <w:t>294945908</w:t>
      </w:r>
      <w:r>
        <w:rPr>
          <w:rFonts w:ascii="Arial" w:hAnsi="Arial" w:eastAsia="Arial" w:cs="Arial"/>
          <w:color w:val="AAAAAA"/>
          <w:sz w:val="18"/>
          <w:szCs w:val="18"/>
        </w:rPr>
        <w:t>@</w:t>
      </w:r>
      <w:r>
        <w:rPr>
          <w:rFonts w:hint="eastAsia" w:eastAsia="宋体" w:cs="Arial"/>
          <w:color w:val="AAAAAA"/>
          <w:sz w:val="18"/>
          <w:szCs w:val="18"/>
          <w:lang w:val="en-US" w:eastAsia="zh-CN"/>
        </w:rPr>
        <w:t>qq</w:t>
      </w:r>
      <w:r>
        <w:rPr>
          <w:rFonts w:ascii="Arial" w:hAnsi="Arial" w:eastAsia="Arial" w:cs="Arial"/>
          <w:color w:val="AAAAAA"/>
          <w:sz w:val="18"/>
          <w:szCs w:val="18"/>
        </w:rPr>
        <w:t>.com  |  官方网站：https://</w:t>
      </w:r>
      <w:r>
        <w:rPr>
          <w:rFonts w:hint="eastAsia" w:eastAsia="宋体" w:cs="Arial"/>
          <w:color w:val="AAAAAA"/>
          <w:sz w:val="18"/>
          <w:szCs w:val="18"/>
          <w:lang w:val="en-US" w:eastAsia="zh-CN"/>
        </w:rPr>
        <w:t>www.wangmingsen.cn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700" w:right="1440" w:bottom="17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CCCCCC" w:sz="4" w:space="0"/>
      </w:pBdr>
      <w:spacing w:before="80"/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2E74B5" w:sz="4" w:space="0"/>
      </w:pBdr>
      <w:spacing w:after="100"/>
      <w:jc w:val="right"/>
    </w:pPr>
    <w:r>
      <w:rPr>
        <w:rFonts w:ascii="Arial" w:hAnsi="Arial" w:eastAsia="Arial" w:cs="Arial"/>
        <w:color w:val="888888"/>
        <w:sz w:val="18"/>
        <w:szCs w:val="18"/>
      </w:rPr>
      <w:t>太玄智译 ·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0295B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97D"/>
      <w:sz w:val="36"/>
      <w:szCs w:val="36"/>
    </w:rPr>
  </w:style>
  <w:style w:type="paragraph" w:styleId="3">
    <w:name w:val="heading 2"/>
    <w:next w:val="1"/>
    <w:qFormat/>
    <w:uiPriority w:val="0"/>
    <w:pPr>
      <w:spacing w:before="260" w:after="140"/>
      <w:outlineLvl w:val="1"/>
    </w:pPr>
    <w:rPr>
      <w:rFonts w:ascii="Arial" w:hAnsi="Arial" w:eastAsia="Arial" w:cs="Arial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0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Office_11.8.2.10154_F1E327BC-269C-435d-A152-05C5408002CA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2026-04-05T14:35:00Z</dcterms:created>
  <dc:creator>Un-named</dc:creator>
  <cp:lastModifiedBy>29494</cp:lastModifiedBy>
  <dcterms:modified xsi:type="dcterms:W3CDTF">2026-04-05T14:37:57Z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