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600"/>
        <w:jc w:val="center"/>
      </w:pPr>
      <w:r>
        <w:rPr>
          <w:b/>
          <w:bCs/>
          <w:sz w:val="44"/>
          <w:szCs w:val="44"/>
          <w:rFonts w:ascii="SimHei" w:cs="SimHei" w:eastAsia="SimHei" w:hAnsi="SimHei"/>
        </w:rPr>
        <w:t xml:space="preserve">逻辑修复-详细设计设计说明书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公司：恒生电子股份有限公司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产品：HUNDSUN 票据交易管理平台软件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版本：V5.0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文档类型：设计说明书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部门：票据业务事业部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日期：2026/5/21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修订记录</w:t>
      </w:r>
    </w:p>
    <w:tbl>
      <w:tblPr>
        <w:tblW w:type="dxa" w:w="8306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版本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修订人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修订说明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批准人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发布日期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初始版本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2026/5/21</w:t>
            </w:r>
          </w:p>
        </w:tc>
      </w:tr>
    </w:tbl>
    <w:p>
      <w:r>
        <w:br w:type="page"/>
      </w:r>
    </w:p>
    <w:p>
      <w:pPr>
        <w:spacing w:before="240" w:after="360"/>
        <w:jc w:val="center"/>
      </w:pPr>
      <w:r>
        <w:rPr>
          <w:b/>
          <w:bCs/>
          <w:sz w:val="32"/>
          <w:szCs w:val="32"/>
          <w:rFonts w:ascii="SimHei" w:cs="SimHei" w:eastAsia="SimHei" w:hAnsi="SimHei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第一章 系统概述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1.1 业务背景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（待补充业务背景）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1.2 设计目标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（待补充设计目标）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1.3 范围说明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（待补充范围说明）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第二章 功能模块划分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2.1 模块划分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（待补充模块划分）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第三章 核心业务流程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3.1 业务流程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（待补充业务流程）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第四章 数据模型设计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4.1 数据字典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（待补充数据字典）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第五章 接口定义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5.1 接口清单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（待补充接口清单）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第六章 异常处理机制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6.1 异常处理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（待补充异常处理机制）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第七章 安全策略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7.1 安全策略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（待补充安全策略）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第八章 技术实现细节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8.1 技术实现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（待补充技术实现细节）</w:t>
      </w:r>
    </w:p>
    <w:sectPr>
      <w:headerReference w:type="default" r:id="rId6"/>
      <w:footerReference w:type="default" r:id="rId7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  <w:rFonts w:ascii="SimSun" w:cs="SimSun" w:eastAsia="SimSun" w:hAnsi="SimSun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  <w:rFonts w:ascii="SimSun" w:cs="SimSun" w:eastAsia="SimSun" w:hAnsi="SimSun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20"/>
        <w:szCs w:val="20"/>
        <w:rFonts w:ascii="SimSun" w:cs="SimSun" w:eastAsia="SimSun" w:hAnsi="SimSun"/>
      </w:rPr>
      <w:t xml:space="preserve">BEMP文档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SimSun" w:cs="SimSun" w:eastAsia="SimSun" w:hAnsi="SimSu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b/>
      <w:bCs/>
      <w:color w:val="000000"/>
      <w:sz w:val="32"/>
      <w:szCs w:val="32"/>
      <w:rFonts w:ascii="SimHei" w:cs="SimHei" w:eastAsia="SimHei" w:hAnsi="SimHei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b/>
      <w:bCs/>
      <w:color w:val="000000"/>
      <w:sz w:val="28"/>
      <w:szCs w:val="28"/>
      <w:rFonts w:ascii="SimHei" w:cs="SimHei" w:eastAsia="SimHei" w:hAnsi="SimHei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b/>
      <w:bCs/>
      <w:color w:val="000000"/>
      <w:sz w:val="24"/>
      <w:szCs w:val="24"/>
      <w:rFonts w:ascii="SimHei" w:cs="SimHei" w:eastAsia="SimHei" w:hAnsi="SimHei"/>
    </w:rPr>
  </w:style>
  <w:style w:type="paragraph" w:styleId="Heading4">
    <w:name w:val="Heading 4"/>
    <w:basedOn w:val="Normal"/>
    <w:next w:val="Normal"/>
    <w:qFormat/>
    <w:pPr>
      <w:spacing w:before="120" w:after="80" indent="[object Object]"/>
      <w:outlineLvl w:val="3"/>
    </w:pPr>
    <w:rPr>
      <w:b/>
      <w:bCs/>
      <w:color w:val="000000"/>
      <w:sz w:val="21"/>
      <w:szCs w:val="21"/>
      <w:rFonts w:ascii="SimHei" w:cs="SimHei" w:eastAsia="SimHei" w:hAnsi="SimHei"/>
    </w:rPr>
  </w:style>
  <w:style w:type="paragraph" w:styleId="Heading5">
    <w:name w:val="Heading 5"/>
    <w:basedOn w:val="Normal"/>
    <w:next w:val="Normal"/>
    <w:qFormat/>
    <w:pPr>
      <w:spacing w:before="80" w:after="60" indent="[object Object]"/>
      <w:outlineLvl w:val="4"/>
    </w:pPr>
    <w:rPr>
      <w:b/>
      <w:bCs/>
      <w:color w:val="000000"/>
      <w:sz w:val="21"/>
      <w:szCs w:val="21"/>
      <w:rFonts w:ascii="SimHei" w:cs="SimHei" w:eastAsia="SimHei" w:hAnsi="SimHe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2026-05-20T17:39:28.533Z</dcterms:created>
  <dcterms:modified xsi:type="dcterms:W3CDTF">2026-05-20T17:39:28.533Z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