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600"/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优化验证-SRS-需求规格说明书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公司：恒生电子股份有限公司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产品：HUNDSUN 票据交易管理平台软件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版本：V5.0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文档类型：需求规格说明书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部门：票据业务事业部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日期：2026/5/21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修订记录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修订人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修订说明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批准人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发布日期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2026/5/21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初始版本</w:t>
            </w:r>
          </w:p>
        </w:tc>
      </w:tr>
    </w:tbl>
    <w:p>
      <w:r>
        <w:br w:type="page"/>
      </w:r>
    </w:p>
    <w:p>
      <w:pPr>
        <w:spacing w:before="240" w:after="360"/>
        <w:jc w:val="center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第一章 引言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1.1 背景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1. 发票管理、合同管理，只能查询、修改、删除本机构及下级机构的信息；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2. 附件管理调用行内对象存储；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3. 只有验真通过的可以关联合同；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4. 增加状态“验真通过、强制通过、超过验真次数”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5. 增加“发票查询最大次数”，超过次数不能通过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6. 增加强制通过按钮；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7. 贴现发票后补的菜单；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1. 新增业务参数“允许发票验真通过的最大发票查询次数”；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2. 【业务管理子系统】-【合同发票管理】-【发票维护】菜单，查询界面：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1. 默认查询功能调整，默认查询“机构名称”为本机及下级机构的数据信息；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2. 查询条件“机构名称”弹出框，只能展示本机及下级机构；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3. “新增”按钮后面增加“发票验真”按钮，对接外围系统接口做发票验真；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4. “发票验真”按钮后面增加“发票强制通过”按钮；强制通过要使用公共的审批模块进行审批；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5. 查询条件“录入日期”后面增加“发票验真状态”字段；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6. 展示列表“序号”后面增加“发票验真状态”字段；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7. 展示列表“发票校验码”后面增加“失败原因”、“强制通过原因”字段；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3. 【业务管理子系统】-【合同发票管理】-【合同发票管理】菜单，查询界面：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1. 默认查询功能调整，默认查询“机构名称”为本机及下级机构的数据信息；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2. 查询条件“机构名称”弹出框，只能展示本机及下级机构；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4. 【业务管理子系统】-【合同发票管理】-【合同发票管理】菜单，发票管理界面：只展示发票验真状态为“发票验真通过、发票强制通过”的发票信息；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5. 【业务管理子系统】-【合同发票管理】-【发票管理】、【合同发票管理】、【其他凭证管理】菜单，附件管理调整附件的保存方式为“使用对象存储”；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6. 新增下发【场外交易子系统】-【贴现业务】-【电票贴现】-【贴现】-【发票后补】菜单功能；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* 允许发票验真通过的最大发票查询次数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**取值范围:**数字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**默认取值：**10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**使用范围：**发票验真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**使用说明：**查询验真结果中的查询次数大于参数值时发票验真结果为“超过验真次数”；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* 界面设计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机构名称[ ] 发票编码[ ] 客户名称[ ] 查询 重置  录入日期[ ] 发票验真状态[ ]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 </w:t>
            </w:r>
          </w:p>
        </w:tc>
      </w:tr>
      <w:tr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新增 发票验真 发票强制通过 修改 删除 批量导入 批量导出 模版下载 发票额度历史 附件管理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序号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发票验真状态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发票编码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发票代码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发票号码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客户号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客户名称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机构名称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客户税号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发票类型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发票税率(%)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发票税额(元)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发票金额(不含税)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发票金额(元)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交易对手名称</w:t>
            </w:r>
          </w:p>
        </w:tc>
      </w:tr>
      <w:tr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□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交易对手税号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录入日期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发票日期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发票内容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发票备注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发票校验码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失败原因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强制通过原因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□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分页展示</w:t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56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</w:tbl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* 栏位描述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数据名称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输入/输出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表现形式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是否必输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数据约束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备注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输入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弹出框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O(可输)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机构可多选，上级可选择本级及下级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发票编码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输入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O(可输)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输入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弹出框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O(可输)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录入日期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输入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日期区间框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O(可输)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发票验真状态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输入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下拉框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O(可输)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新增待验真  修改待验真  发票验真失败  发票验真通过  发票强制通过  已红冲  已作废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序号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发票验真状态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发票编码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发票代码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发票号码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客户税号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发票类型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发票税率(%)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发票税额(元)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发票金额(不含税)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发票金额(元)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交易对手名称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交易对手税号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录入日期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发票日期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发票内容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发票备注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发票校验码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失败原因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超过验真次数时，记录失败原因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强制通过原因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文本框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D(显示)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</w:tr>
    </w:tbl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* 业务规则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1. 默认查询“机构名称”为本机及下级机构的数据信息；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2. 选择一条或多条记录点击发票验真，自动调用发票验真平台；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1. “发票状态”为“发票验真失败”、“新增待验真”、“修改待验真”、“发票强制通过”状态时允许发票验真；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3. 选择一条或多条记录点击发票强制通过，弹出【强制通过】界面；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1. “发票验真状态”为“发票验真失败”、”新增待验真“、“修改待验真”状态时允许强制通过；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2. 点击按钮弹出【强制通过】界面；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点击新增，弹出【新增发票】界面；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选择一条数据后点击修改，弹出【修改发票】界面，若未选择或者选择多条数据，则提示“请选中一条数据”；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1.2 目的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本文档旨在明确优化验证-SRS的功能需求和非功能性需求，为后续的设计、开发、测试和验收提供依据。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1.3 范围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（根据需求文档内容补充功能范围）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1.4 术语和缩略语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BEMP：HUNDSUN票据交易管理平台；BBSP：HUNDSUN电子商业汇票综合处理平台软件。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1.5 参考资料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文档名称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中国票据业务系统直连接口规范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V1.3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上海票据交易所接口规范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提示付款拒付通知文件功能投产上线通知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票交所发〔2024〕92号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上海票据交易所通知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2024年8月12日票交所更新通知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V1.3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接口规范升级依据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第二章 项目概述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2.1 项目介绍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本项目为优化验证-SRS模块的功能优化开发。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2.2 项目目标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（待补充项目目标）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2.3 项目范围影响分析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2.4 运行环境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2.5 面向用户群体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行内用户（经办、复核、客户经理）、客户（操作员）。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2.6 假定和约束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第三章 功能需求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3.1 功能需求综述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（根据需求文档补充功能需求综述）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3.2 功能结构及列表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（详见业务功能列表）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3.4 反洗钱需求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需评估业务是否涉及反洗钱（客户信息、交易信息、账户信息）。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3.5 监管报送需求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需评估业务是否涉及监管报送（1104、人行大集中、利率报备、金融基础数据、EAST等）。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3.6 报表需求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需评估是否需出具报表（固定报表、明细查询、营销分析等）。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3.7 新技术应用需求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需评估是否采用大数据、RPA等新技术。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第四章 非功能性需求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4.1 数据标准化要求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4.2 用户界面需求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统一的页面框架，包含顶部导航、左侧菜单、主操作区；交互方式包含表单提交、弹出框操作、批量操作、分页展示。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4.3 软硬件环境要求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服务器：CPU X核/内存XG/硬盘XG；操作系统：Linux/Windows；浏览器：Chrome 80+/Edge 80+；数据库：Oracle/MySQL。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4.4 接口需求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4.5 业务量说明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需根据业务发展规划预估日均业务量，并预估未来1-3年的日均业务量。当前阶段日均业务量需评估量级（100笔以下/100-1000笔/1000-1万笔等）。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4.6 用户数量说明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需预估当前阶段及未来1-3年系统涉及的使用用户总数，包括行内柜员、客户经理、管理人员及客户。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4.7 业务处理安全性要求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系统需支持多种用户身份鉴别方式，包含密码管理机制（密码复杂度、锁定策略），区分数据分级，确保数据机密性。</w:t>
      </w:r>
    </w:p>
    <w:p>
      <w:pPr>
        <w:pStyle w:val="Heading3"/>
        <w:spacing w:before="180" w:after="120"/>
      </w:pPr>
      <w:r>
        <w:rPr>
          <w:b/>
          <w:bCs/>
          <w:i w:val="false"/>
          <w:iCs w:val="false"/>
          <w:color w:val="000000"/>
          <w:sz w:val="24"/>
          <w:szCs w:val="24"/>
          <w:rFonts w:ascii="SimHei" w:cs="SimHei" w:eastAsia="SimHei" w:hAnsi="SimHei"/>
        </w:rPr>
        <w:t xml:space="preserve">4.7.3 数据分级与机密性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区分非敏感数据与敏感数据；敏感数据（如密码等）加密传输与存储；应用系统使用密钥保护。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4.8 系统软硬件及运行要求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需评估与第三方机构互联情况；确定系统对外服务运行时间（7×24小时/5×8小时）；识别业务重要性（重要业务/次重要业务/一般业务）。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4.9 性能需求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4.10 品质需求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系统稳定可靠，故障率低；界面友好，操作便捷；代码规范，文档齐全。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4.11 运维需求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3"/>
        <w:spacing w:before="180" w:after="120"/>
      </w:pPr>
      <w:r>
        <w:rPr>
          <w:b/>
          <w:bCs/>
          <w:i w:val="false"/>
          <w:iCs w:val="false"/>
          <w:color w:val="000000"/>
          <w:sz w:val="24"/>
          <w:szCs w:val="24"/>
          <w:rFonts w:ascii="SimHei" w:cs="SimHei" w:eastAsia="SimHei" w:hAnsi="SimHei"/>
        </w:rPr>
        <w:t xml:space="preserve">4.11.1 运行需求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3"/>
        <w:spacing w:before="180" w:after="120"/>
      </w:pPr>
      <w:r>
        <w:rPr>
          <w:b/>
          <w:bCs/>
          <w:i w:val="false"/>
          <w:iCs w:val="false"/>
          <w:color w:val="000000"/>
          <w:sz w:val="24"/>
          <w:szCs w:val="24"/>
          <w:rFonts w:ascii="SimHei" w:cs="SimHei" w:eastAsia="SimHei" w:hAnsi="SimHei"/>
        </w:rPr>
        <w:t xml:space="preserve">4.11.2 监控需求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3"/>
        <w:spacing w:before="180" w:after="120"/>
      </w:pPr>
      <w:r>
        <w:rPr>
          <w:b/>
          <w:bCs/>
          <w:i w:val="false"/>
          <w:iCs w:val="false"/>
          <w:color w:val="000000"/>
          <w:sz w:val="24"/>
          <w:szCs w:val="24"/>
          <w:rFonts w:ascii="SimHei" w:cs="SimHei" w:eastAsia="SimHei" w:hAnsi="SimHei"/>
        </w:rPr>
        <w:t xml:space="preserve">4.11.3 数据管理需求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3"/>
        <w:spacing w:before="180" w:after="120"/>
      </w:pPr>
      <w:r>
        <w:rPr>
          <w:b/>
          <w:bCs/>
          <w:i w:val="false"/>
          <w:iCs w:val="false"/>
          <w:color w:val="000000"/>
          <w:sz w:val="24"/>
          <w:szCs w:val="24"/>
          <w:rFonts w:ascii="SimHei" w:cs="SimHei" w:eastAsia="SimHei" w:hAnsi="SimHei"/>
        </w:rPr>
        <w:t xml:space="preserve">4.11.4 容灾需求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3"/>
        <w:spacing w:before="180" w:after="120"/>
      </w:pPr>
      <w:r>
        <w:rPr>
          <w:b/>
          <w:bCs/>
          <w:i w:val="false"/>
          <w:iCs w:val="false"/>
          <w:color w:val="000000"/>
          <w:sz w:val="24"/>
          <w:szCs w:val="24"/>
          <w:rFonts w:ascii="SimHei" w:cs="SimHei" w:eastAsia="SimHei" w:hAnsi="SimHei"/>
        </w:rPr>
        <w:t xml:space="preserve">4.11.5 故障处理需求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（根据项目实际情况补充）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4.12 政策和法律要求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需遵循《电子签名法》、《票据法》、信息安全等级保护等相关法律法规。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4.13 设计约束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必须使用JAVA语言开发，基于Spring Boot框架；遵循BEMP平台架构规范；遵循行内编码规范和命名规范。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第五章 附录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5.1 流程图图示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详细流程图参见原始业务需求说明书。流程图使用标准符号：终结符（开始/结束）、判定符（条件分支）、进程/活动、文档、多文档、数据、连接线等。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5.2 补充说明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本文档基于优化验证-SRS业务需求说明书生成。完整需求细节、界面设计截图及详细数据字段描述请参见原始业务需求说明书。</w:t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SimSun" w:cs="SimSun" w:eastAsia="SimSun" w:hAnsi="SimSu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BEMP文档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SimSun" w:cs="SimSun" w:eastAsia="SimSun" w:hAnsi="SimSu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b/>
      <w:bCs/>
      <w:color w:val="000000"/>
      <w:sz w:val="32"/>
      <w:szCs w:val="32"/>
      <w:rFonts w:ascii="SimHei" w:cs="SimHei" w:eastAsia="SimHei" w:hAnsi="SimHei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b/>
      <w:bCs/>
      <w:color w:val="000000"/>
      <w:sz w:val="28"/>
      <w:szCs w:val="28"/>
      <w:rFonts w:ascii="SimHei" w:cs="SimHei" w:eastAsia="SimHei" w:hAnsi="SimHei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b/>
      <w:bCs/>
      <w:color w:val="000000"/>
      <w:sz w:val="24"/>
      <w:szCs w:val="24"/>
      <w:rFonts w:ascii="SimHei" w:cs="SimHei" w:eastAsia="SimHei" w:hAnsi="SimHei"/>
    </w:rPr>
  </w:style>
  <w:style w:type="paragraph" w:styleId="Heading4">
    <w:name w:val="Heading 4"/>
    <w:basedOn w:val="Normal"/>
    <w:next w:val="Normal"/>
    <w:qFormat/>
    <w:pPr>
      <w:spacing w:before="120" w:after="80" indent="[object Object]"/>
      <w:outlineLvl w:val="3"/>
    </w:pPr>
    <w:rPr>
      <w:b/>
      <w:bCs/>
      <w:color w:val="000000"/>
      <w:sz w:val="21"/>
      <w:szCs w:val="21"/>
      <w:rFonts w:ascii="SimHei" w:cs="SimHei" w:eastAsia="SimHei" w:hAnsi="SimHei"/>
    </w:rPr>
  </w:style>
  <w:style w:type="paragraph" w:styleId="Heading5">
    <w:name w:val="Heading 5"/>
    <w:basedOn w:val="Normal"/>
    <w:next w:val="Normal"/>
    <w:qFormat/>
    <w:pPr>
      <w:spacing w:before="80" w:after="60" indent="[object Object]"/>
      <w:outlineLvl w:val="4"/>
    </w:pPr>
    <w:rPr>
      <w:b/>
      <w:bCs/>
      <w:color w:val="000000"/>
      <w:sz w:val="21"/>
      <w:szCs w:val="21"/>
      <w:rFonts w:ascii="SimHei" w:cs="SimHei" w:eastAsia="SimHei" w:hAnsi="Sim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2026-05-20T17:10:55.162Z</dcterms:created>
  <dcterms:modified xsi:type="dcterms:W3CDTF">2026-05-20T17:10:55.162Z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