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Chars="200" w:firstLine="420"/>
      </w:pPr>
      <w:r>
        <w:t>详细设计说明书</w:t>
      </w:r>
    </w:p>
    <w:p>
      <w:pPr>
        <w:pStyle w:val="Heading1"/>
      </w:pPr>
      <w:r>
        <w:t>概述</w:t>
      </w:r>
    </w:p>
    <w:p>
      <w:pPr>
        <w:pStyle w:val="Heading1"/>
      </w:pPr>
      <w:r>
        <w:t>目录</w:t>
      </w:r>
    </w:p>
    <w:p>
      <w:pPr>
        <w:ind w:firstLineChars="200" w:firstLine="4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请在 Word 中按 F9 或右键更新域以生成目录</w:t>
      </w:r>
      <w:r>
        <w:fldChar w:fldCharType="end"/>
      </w:r>
    </w:p>
    <w:p>
      <w:pPr>
        <w:pStyle w:val="Heading1"/>
      </w:pPr>
      <w:r>
        <w:t>设计约束</w:t>
      </w:r>
    </w:p>
    <w:p>
      <w:pPr>
        <w:pStyle w:val="Heading1"/>
      </w:pPr>
      <w:r>
        <w:t>1 业务背景</w:t>
      </w:r>
    </w:p>
    <w:p>
      <w:pPr>
        <w:pStyle w:val="Heading2"/>
      </w:pPr>
      <w:r>
        <w:t>目的</w:t>
      </w:r>
    </w:p>
    <w:p>
      <w:pPr>
        <w:ind w:firstLineChars="200" w:firstLine="420"/>
      </w:pPr>
      <w:r>
        <w:t xml:space="preserve">本文档详细描述账户管理子系统的设计方案，为开发、测试和维护提供技术依据。</w:t>
      </w:r>
    </w:p>
    <w:p>
      <w:pPr>
        <w:pStyle w:val="Heading2"/>
      </w:pPr>
      <w:r>
        <w:t>适用范围</w:t>
      </w:r>
    </w:p>
    <w:p>
      <w:pPr>
        <w:ind w:firstLineChars="200" w:firstLine="420"/>
      </w:pPr>
      <w:r>
        <w:t xml:space="preserve">本文档适用于账户管理子系统的设计与开发。</w:t>
      </w:r>
    </w:p>
    <w:p>
      <w:pPr>
        <w:pStyle w:val="Heading2"/>
      </w:pPr>
      <w:r>
        <w:t>术语定义</w:t>
      </w:r>
    </w:p>
    <w:p>
      <w:pPr>
        <w:ind w:firstLineChars="200" w:firstLine="420"/>
      </w:pPr>
      <w:r>
        <w:rPr>
          <w:color w:val="000000"/>
        </w:rPr>
        <w:t xml:space="preserve">不涉及</w:t>
      </w:r>
    </w:p>
    <w:tbl>
      <w:tblPr>
        <w:tblStyle w:val="Table 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D9D9"/>
          </w:tcPr>
          <w:p>
            <w:r>
              <w:rPr>
                <w:b/>
                <w:sz w:val="21"/>
              </w:rPr>
              <w:t>术语/缩写</w:t>
            </w:r>
          </w:p>
        </w:tc>
        <w:tc>
          <w:tcPr>
            <w:shd w:val="clear" w:color="auto" w:fill="D9D9D9"/>
          </w:tcPr>
          <w:p>
            <w:r>
              <w:rPr>
                <w:b/>
                <w:sz w:val="21"/>
              </w:rPr>
              <w:t>全称</w:t>
            </w:r>
          </w:p>
        </w:tc>
        <w:tc>
          <w:tcPr>
            <w:shd w:val="clear" w:color="auto" w:fill="D9D9D9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p>
            <w:r>
              <w:rPr>
                <w:sz w:val="21"/>
              </w:rPr>
              <w:t>API</w:t>
            </w:r>
          </w:p>
        </w:tc>
        <w:tc>
          <w:p>
            <w:r>
              <w:rPr>
                <w:sz w:val="21"/>
              </w:rPr>
              <w:t/>
            </w:r>
          </w:p>
        </w:tc>
        <w:tc>
          <w:p>
            <w:r>
              <w:rPr>
                <w:sz w:val="21"/>
              </w:rPr>
              <w:t>Application Programming Interface，应用程序编程接口</w:t>
            </w:r>
          </w:p>
        </w:tc>
      </w:tr>
      <w:tr>
        <w:tc>
          <w:p>
            <w:r>
              <w:rPr>
                <w:sz w:val="21"/>
              </w:rPr>
              <w:t>CRUD</w:t>
            </w:r>
          </w:p>
        </w:tc>
        <w:tc>
          <w:p>
            <w:r>
              <w:rPr>
                <w:sz w:val="21"/>
              </w:rPr>
              <w:t/>
            </w:r>
          </w:p>
        </w:tc>
        <w:tc>
          <w:p>
            <w:r>
              <w:rPr>
                <w:sz w:val="21"/>
              </w:rPr>
              <w:t>Create/Read/Update/Delete，增删改查操作</w:t>
            </w:r>
          </w:p>
        </w:tc>
      </w:tr>
      <w:tr>
        <w:tc>
          <w:p>
            <w:r>
              <w:rPr>
                <w:sz w:val="21"/>
              </w:rPr>
              <w:t>DAO</w:t>
            </w:r>
          </w:p>
        </w:tc>
        <w:tc>
          <w:p>
            <w:r>
              <w:rPr>
                <w:sz w:val="21"/>
              </w:rPr>
              <w:t/>
            </w:r>
          </w:p>
        </w:tc>
        <w:tc>
          <w:p>
            <w:r>
              <w:rPr>
                <w:sz w:val="21"/>
              </w:rPr>
              <w:t>Data Access Object，数据访问对象</w:t>
            </w:r>
          </w:p>
        </w:tc>
      </w:tr>
      <w:tr>
        <w:tc>
          <w:p>
            <w:r>
              <w:rPr>
                <w:sz w:val="21"/>
              </w:rPr>
              <w:t>DTO</w:t>
            </w:r>
          </w:p>
        </w:tc>
        <w:tc>
          <w:p>
            <w:r>
              <w:rPr>
                <w:sz w:val="21"/>
              </w:rPr>
              <w:t/>
            </w:r>
          </w:p>
        </w:tc>
        <w:tc>
          <w:p>
            <w:r>
              <w:rPr>
                <w:sz w:val="21"/>
              </w:rPr>
              <w:t>Data Transfer Object，数据传输对象</w:t>
            </w:r>
          </w:p>
        </w:tc>
      </w:tr>
      <w:tr>
        <w:tc>
          <w:p>
            <w:r>
              <w:rPr>
                <w:sz w:val="21"/>
              </w:rPr>
              <w:t>RPC</w:t>
            </w:r>
          </w:p>
        </w:tc>
        <w:tc>
          <w:p>
            <w:r>
              <w:rPr>
                <w:sz w:val="21"/>
              </w:rPr>
              <w:t/>
            </w:r>
          </w:p>
        </w:tc>
        <w:tc>
          <w:p>
            <w:r>
              <w:rPr>
                <w:sz w:val="21"/>
              </w:rPr>
              <w:t>Remote Procedure Call，远程过程调用</w:t>
            </w:r>
          </w:p>
        </w:tc>
      </w:tr>
    </w:tbl>
    <w:p>
      <w:pPr>
        <w:pStyle w:val="Heading2"/>
      </w:pPr>
      <w:r>
        <w:t>参考资料</w:t>
      </w:r>
    </w:p>
    <w:p>
      <w:pPr>
        <w:ind w:firstLineChars="200" w:firstLine="420"/>
      </w:pPr>
      <w:r>
        <w:t xml:space="preserve">[1] 《需求规格说明书》</w:t>
      </w:r>
    </w:p>
    <w:p>
      <w:pPr>
        <w:ind w:firstLineChars="200" w:firstLine="420"/>
      </w:pPr>
      <w:r>
        <w:t xml:space="preserve">[2] 《概要设计说明书》</w:t>
      </w:r>
    </w:p>
    <w:p>
      <w:pPr>
        <w:ind w:firstLineChars="200" w:firstLine="420"/>
      </w:pPr>
      <w:r>
        <w:t xml:space="preserve">[3] 《系统接口规范》</w:t>
      </w:r>
    </w:p>
    <w:p>
      <w:pPr>
        <w:ind w:firstLineChars="200" w:firstLine="420"/>
      </w:pPr>
      <w:r>
        <w:t xml:space="preserve">[4] 《数据库设计文档》</w:t>
      </w:r>
    </w:p>
    <w:p>
      <w:pPr>
        <w:pStyle w:val="Heading1"/>
      </w:pPr>
      <w:r>
        <w:t>组件内部的模块列表及说明</w:t>
      </w:r>
    </w:p>
    <w:p>
      <w:pPr>
        <w:pStyle w:val="Heading1"/>
      </w:pPr>
      <w:r>
        <w:t>1 业务模块</w:t>
      </w:r>
    </w:p>
    <w:p>
      <w:pPr>
        <w:pStyle w:val="Heading2"/>
      </w:pPr>
      <w:r>
        <w:t>1.1 功能描述</w:t>
      </w:r>
    </w:p>
    <w:p>
      <w:pPr>
        <w:ind w:firstLineChars="200" w:firstLine="420"/>
      </w:pPr>
      <w:r>
        <w:t xml:space="preserve">账户开户、销户、查询、修改</w:t>
      </w:r>
    </w:p>
    <w:p>
      <w:pPr>
        <w:pStyle w:val="Heading2"/>
      </w:pPr>
      <w:r>
        <w:t>1.2 设计目标</w:t>
      </w:r>
    </w:p>
    <w:p>
      <w:pPr>
        <w:ind w:firstLineChars="200" w:firstLine="420"/>
      </w:pPr>
      <w:r>
        <w:rPr>
          <w:color w:val="000000"/>
        </w:rPr>
        <w:t xml:space="preserve">不涉及</w:t>
      </w:r>
    </w:p>
    <w:p>
      <w:pPr>
        <w:pStyle w:val="Heading2"/>
      </w:pPr>
      <w:r>
        <w:t>1.3 输入项</w:t>
      </w:r>
    </w:p>
    <w:p>
      <w:pPr>
        <w:ind w:firstLineChars="200" w:firstLine="420"/>
      </w:pPr>
      <w:r>
        <w:rPr>
          <w:color w:val="000000"/>
        </w:rPr>
        <w:t xml:space="preserve">不涉及</w:t>
      </w:r>
    </w:p>
    <w:p>
      <w:pPr>
        <w:pStyle w:val="Heading2"/>
      </w:pPr>
      <w:r>
        <w:t>1.4 输出项</w:t>
      </w:r>
    </w:p>
    <w:p>
      <w:pPr>
        <w:ind w:firstLineChars="200" w:firstLine="420"/>
      </w:pPr>
      <w:r>
        <w:rPr>
          <w:color w:val="000000"/>
        </w:rPr>
        <w:t xml:space="preserve">不涉及</w:t>
      </w:r>
    </w:p>
    <w:p>
      <w:pPr>
        <w:pStyle w:val="Heading2"/>
      </w:pPr>
      <w:r>
        <w:t>1.5 错误码</w:t>
      </w:r>
    </w:p>
    <w:p>
      <w:pPr>
        <w:ind w:firstLineChars="200" w:firstLine="420"/>
      </w:pPr>
      <w:r>
        <w:rPr>
          <w:color w:val="000000"/>
        </w:rPr>
        <w:t xml:space="preserve">本系统统一错误码定义如下：</w:t>
      </w:r>
    </w:p>
    <w:tbl>
      <w:tblPr>
        <w:tblStyle w:val="Table 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D9D9"/>
          </w:tcPr>
          <w:p>
            <w:r>
              <w:rPr>
                <w:b/>
                <w:sz w:val="21"/>
              </w:rPr>
              <w:t>错误码</w:t>
            </w:r>
          </w:p>
        </w:tc>
        <w:tc>
          <w:tcPr>
            <w:shd w:val="clear" w:color="auto" w:fill="D9D9D9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p>
            <w:r>
              <w:rPr>
                <w:sz w:val="21"/>
              </w:rPr>
              <w:t>E0000</w:t>
            </w:r>
          </w:p>
        </w:tc>
        <w:tc>
          <w:p>
            <w:r>
              <w:rPr>
                <w:sz w:val="21"/>
              </w:rPr>
              <w:t>成功</w:t>
            </w:r>
          </w:p>
        </w:tc>
      </w:tr>
      <w:tr>
        <w:tc>
          <w:p>
            <w:r>
              <w:rPr>
                <w:sz w:val="21"/>
              </w:rPr>
              <w:t>E0001</w:t>
            </w:r>
          </w:p>
        </w:tc>
        <w:tc>
          <w:p>
            <w:r>
              <w:rPr>
                <w:sz w:val="21"/>
              </w:rPr>
              <w:t>系统异常</w:t>
            </w:r>
          </w:p>
        </w:tc>
      </w:tr>
      <w:tr>
        <w:tc>
          <w:p>
            <w:r>
              <w:rPr>
                <w:sz w:val="21"/>
              </w:rPr>
              <w:t>E0002</w:t>
            </w:r>
          </w:p>
        </w:tc>
        <w:tc>
          <w:p>
            <w:r>
              <w:rPr>
                <w:sz w:val="21"/>
              </w:rPr>
              <w:t>参数错误</w:t>
            </w:r>
          </w:p>
        </w:tc>
      </w:tr>
      <w:tr>
        <w:tc>
          <w:p>
            <w:r>
              <w:rPr>
                <w:sz w:val="21"/>
              </w:rPr>
              <w:t>E0003</w:t>
            </w:r>
          </w:p>
        </w:tc>
        <w:tc>
          <w:p>
            <w:r>
              <w:rPr>
                <w:sz w:val="21"/>
              </w:rPr>
              <w:t>鉴权失败</w:t>
            </w:r>
          </w:p>
        </w:tc>
      </w:tr>
      <w:tr>
        <w:tc>
          <w:p>
            <w:r>
              <w:rPr>
                <w:sz w:val="21"/>
              </w:rPr>
              <w:t>E0004</w:t>
            </w:r>
          </w:p>
        </w:tc>
        <w:tc>
          <w:p>
            <w:r>
              <w:rPr>
                <w:sz w:val="21"/>
              </w:rPr>
              <w:t>数据不存在</w:t>
            </w:r>
          </w:p>
        </w:tc>
      </w:tr>
      <w:tr>
        <w:tc>
          <w:p>
            <w:r>
              <w:rPr>
                <w:sz w:val="21"/>
              </w:rPr>
              <w:t>E0005</w:t>
            </w:r>
          </w:p>
        </w:tc>
        <w:tc>
          <w:p>
            <w:r>
              <w:rPr>
                <w:sz w:val="21"/>
              </w:rPr>
              <w:t>数据已存在</w:t>
            </w:r>
          </w:p>
        </w:tc>
      </w:tr>
    </w:tbl>
    <w:p>
      <w:pPr>
        <w:pStyle w:val="Heading2"/>
      </w:pPr>
      <w:r>
        <w:t>1.6 代码示例</w:t>
      </w:r>
    </w:p>
    <w:p>
      <w:pPr>
        <w:ind w:firstLineChars="200" w:firstLine="420"/>
      </w:pPr>
      <w:r>
        <w:rPr>
          <w:color w:val="000000"/>
        </w:rPr>
        <w:t xml:space="preserve">不涉及</w:t>
      </w:r>
    </w:p>
    <w:p>
      <w:pPr>
        <w:pStyle w:val="Heading2"/>
      </w:pPr>
      <w:r>
        <w:t>1.7 性能优化</w:t>
      </w:r>
    </w:p>
    <w:p>
      <w:pPr>
        <w:ind w:firstLineChars="200" w:firstLine="420"/>
      </w:pPr>
      <w:r>
        <w:rPr>
          <w:color w:val="000000"/>
        </w:rPr>
        <w:t xml:space="preserve">不涉及</w:t>
      </w:r>
    </w:p>
    <w:p>
      <w:pPr>
        <w:pStyle w:val="Heading2"/>
      </w:pPr>
      <w:r>
        <w:t>1.8 界面</w:t>
      </w:r>
    </w:p>
    <w:p>
      <w:pPr>
        <w:ind w:firstLineChars="200" w:firstLine="420"/>
      </w:pPr>
      <w:r>
        <w:rPr>
          <w:color w:val="000000"/>
        </w:rPr>
        <w:t xml:space="preserve">不涉及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