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详细设计说明书</w:t>
      </w:r>
    </w:p>
    <w:p>
      <w:pPr>
        <w:pStyle w:val="Heading1"/>
      </w:pPr>
      <w:r>
        <w:t>概述</w:t>
      </w:r>
    </w:p>
    <w:p>
      <w:pPr>
        <w:pStyle w:val="Heading1"/>
      </w:pPr>
      <w:r>
        <w:t>目录</w:t>
      </w:r>
    </w:p>
    <w:p>
      <w:pPr>
        <w:pStyle w:val="Heading1"/>
      </w:pPr>
      <w:r>
        <w:t>设计约束</w:t>
      </w:r>
    </w:p>
    <w:p>
      <w:r>
        <w:t>不相关内容1: 这里是不相关的内容，应被清除</w:t>
      </w:r>
    </w:p>
    <w:p>
      <w:pPr>
        <w:pStyle w:val="Heading1"/>
      </w:pPr>
      <w:r>
        <w:t>1 业务背景</w:t>
      </w:r>
    </w:p>
    <w:p>
      <w:pPr>
        <w:pStyle w:val="Heading2"/>
      </w:pPr>
      <w:r>
        <w:t>目的</w:t>
      </w:r>
    </w:p>
    <w:p>
      <w:pPr>
        <w:pStyle w:val="Heading2"/>
      </w:pPr>
      <w:r>
        <w:t>适用范围</w:t>
      </w:r>
    </w:p>
    <w:p>
      <w:pPr>
        <w:pStyle w:val="Heading2"/>
      </w:pPr>
      <w:r>
        <w:t>术语定义</w:t>
      </w:r>
    </w:p>
    <w:p>
      <w:pPr>
        <w:pStyle w:val="Heading2"/>
      </w:pPr>
      <w:r>
        <w:t>参考资料</w:t>
      </w:r>
    </w:p>
    <w:p>
      <w:pPr>
        <w:pStyle w:val="Heading1"/>
      </w:pPr>
      <w:r>
        <w:t>组件内部的模块列表及说明</w:t>
      </w:r>
    </w:p>
    <w:p>
      <w:pPr>
        <w:pStyle w:val="Heading1"/>
      </w:pPr>
      <w:r>
        <w:t>1 业务模块</w:t>
      </w:r>
    </w:p>
    <w:p>
      <w:pPr>
        <w:pStyle w:val="Heading2"/>
      </w:pPr>
      <w:r>
        <w:t>1.1 功能描述</w:t>
      </w:r>
    </w:p>
    <w:p>
      <w:pPr>
        <w:pStyle w:val="Heading2"/>
      </w:pPr>
      <w:r>
        <w:t>1.2 设计目标</w:t>
      </w:r>
    </w:p>
    <w:p>
      <w:pPr>
        <w:pStyle w:val="Heading2"/>
      </w:pPr>
      <w:r>
        <w:t>1.3 输入项</w:t>
      </w:r>
    </w:p>
    <w:p>
      <w:pPr>
        <w:pStyle w:val="Heading2"/>
      </w:pPr>
      <w:r>
        <w:t>1.4 输出项</w:t>
      </w:r>
    </w:p>
    <w:p>
      <w:pPr>
        <w:pStyle w:val="Heading2"/>
      </w:pPr>
      <w:r>
        <w:t>1.5 错误码</w:t>
      </w:r>
    </w:p>
    <w:p>
      <w:pPr>
        <w:pStyle w:val="Heading2"/>
      </w:pPr>
      <w:r>
        <w:t>1.6 代码示例</w:t>
      </w:r>
    </w:p>
    <w:p>
      <w:pPr>
        <w:pStyle w:val="Heading2"/>
      </w:pPr>
      <w:r>
        <w:t>1.7 性能优化</w:t>
      </w:r>
    </w:p>
    <w:p>
      <w:pPr>
        <w:pStyle w:val="Heading2"/>
      </w:pPr>
      <w:r>
        <w:t>1.8 界面</w:t>
      </w:r>
    </w:p>
    <w:p>
      <w:r>
        <w:t>界面设计：用户在首页选择账户类型，输入账号信息，查询条件包括账户名、账户号、开户日期等。查询按钮位于页面顶部。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