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简单机构功能</w:t>
      </w:r>
    </w:p>
    <w:p>
      <w:pPr>
        <w:spacing w:after="60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详细设计文档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HUNDSUN 票据交易管理平台软件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版本：V5.0</w:t>
      </w:r>
    </w:p>
    <w:p>
      <w:pPr>
        <w:spacing w:after="200"/>
        <w:jc w:val="center"/>
      </w:pPr>
      <w:r>
        <w:rPr>
          <w:sz w:val="28"/>
          <w:szCs w:val="28"/>
          <w:rFonts w:ascii="SimSun" w:cs="SimSun" w:eastAsia="SimSun" w:hAnsi="SimSun"/>
        </w:rPr>
        <w:t xml:space="preserve">河南农信个性化</w:t>
      </w:r>
    </w:p>
    <w:p>
      <w:pPr>
        <w:jc w:val="center"/>
      </w:pPr>
      <w:r>
        <w:rPr>
          <w:sz w:val="28"/>
          <w:szCs w:val="28"/>
          <w:rFonts w:ascii="SimSun" w:cs="SimSun" w:eastAsia="SimSun" w:hAnsi="SimSun"/>
        </w:rPr>
        <w:t xml:space="preserve">2026年5月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修订记录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BEMP开发团队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初始版本，简单机构功能详细设计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2026-05-11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第一章 系统概述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1.1 业务背景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当前BEMP系统中，上级机构无法为下级机构（分理处）进行企业信息报备，导致下级机构开户客户无法收票。具体问题如下：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分理处作为最基层的营业网点，通常只有简单的柜面业务能力，没有独立的票交所机构代码和业务人员配置。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分理处开户的企业客户，其企业信息报备需要由上级支行代为处理，但现有系统不支持这种代报备机制。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企业信息报备查询范围未做机构层级限制，可能导致越权查看其他机构数据的安全风险。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为解决上述问题，引入"简单机构"概念：将不具备独立票交所业务能力的机构标记为简单机构，其企业账号签约开户时自动上移到上级非简单机构处理，同时限制企业信息报备相关查询范围为本机构及下级机构。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1.2 设计目标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目标类型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机构管理增加"是否简单机构"字段，支持新增/修改/同步/批量导入/模板下载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企业账号同步保存时，简单机构开户自动上移到上级非简单机构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企业信息报备相关4个查询界面限制为本机构及下级机构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性能目标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简单机构上移查找逻辑设置最大遍历深度（10层），防止死循环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性能目标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机构过滤查询使用IN条件批量查询，避免多次数据库访问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质量目标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复用TM_BRANCH表RESERVE2字段存储，不新增数据库字段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质量目标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遵循BEMP个性化开发规范，所有代码在个性化目录下开发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1.3 范围说明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机构管理新增/修改/同步界面增加"是否简单机构"字段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机构管理批量导入增加"是否简单机构"列及校验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机构管理导入模板增加"是否简单机构"列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企业账号同步保存时简单机构开户自动上移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企业信息报备查询限制本机构及下级机构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企业信息报备复核查询限制本机构及下级机构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企业信息报备记录查询限制本机构及下级机构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企业信息在线查询限制本机构及下级机构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机构树结构变更、机构层级调整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票交所报备接口协议变更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第二章 功能模块划分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2.1 模块划分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子模块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功能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简单机构标识维护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在机构新增/修改/同步/批量导入界面增加"是否简单机构"字段，复用RESERVE2字段存储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账号上移模块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简单机构开户自动上移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企业账号同步保存时，若开户机构为简单机构，自动向上查找第一个非简单机构作为签约开户机构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报备查询过滤模块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机构范围查询限制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企业信息报备相关的4个查询界面，将单机构过滤替换为本机构及下级机构列表过滤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2.2 模块职责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机构管理模块：负责"是否简单机构"标识的录入、展示和存储。前端在新增/修改/同步弹窗中增加下拉选择框（是/否），在列表和导入预览中增加展示列。后端在批量导入校验中解析"是否简单机构"值，导入模板增加对应列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账号上移模块：负责在企业账号同步保存时检测开户机构是否为简单机构，若是则向上遍历机构树找到第一个非简单机构，替换开户机构号。覆盖collCustAcct和queryAndCollCustAcct两个入口方法，确保所有保存路径都经过简单机构检查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报备查询过滤模块：负责在4个企业信息报备相关查询中，将产品化的单机构过滤（brchNo等值查询）替换为本机构及下级机构列表过滤（brchNos的IN查询）。通过个性化Controller拦截请求，调用BranchService.getBegatsBranch获取下级机构列表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2.3 接口边界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接口类型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调用方向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BranchService.getBegatsBranch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RPC服务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Controller -&gt; Service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获取当前机构及所有下级机构列表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BranchService.getCacheBranch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RPC服务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Service -&gt; Service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根据机构号获取机构信息（含reserve2字段）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/hnnxbank/sm/auth/branch/branch/*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HTTP接口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 -&gt; 后端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机构管理个性化接口（含批量导入、模板下载）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/hnnxbank/bm/cpes/custsign/*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HTTP接口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 -&gt; 后端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企业信息报备查询个性化接口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/hnnxbank/bm/cpes/custsignaudit/*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HTTP接口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 -&gt; 后端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企业信息报备复核查询个性化接口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/hnnxbank/bm/sign/cpes/custInfoOnlineQuery/*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HTTP接口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 -&gt; 后端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企业信息在线查询个性化接口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第三章 核心业务流程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3.1 简单机构开户自动上移流程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当企业账号同步保存时，系统检测开户机构是否为简单机构，若是则自动向上查找非简单机构进行替换：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获取账号的开户机构号（openBrchNo）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根据机构号查询机构信息，检查reserve2字段是否为"1"（简单机构）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若为简单机构，获取其上级机构号（parentBrchNo），继续向上查找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4. 重复步骤2-3，直到找到第一个reserve2不为"1"的机构，或到达机构树根节点（parentBrchNo="0000"），或达到最大遍历深度（10层）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5. 将找到的非简单机构号替换原开户机构号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6. 若未找到非简单机构，保持原机构号不变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3.2 企业信息报备查询机构过滤流程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4个企业信息报备相关查询界面均采用相同的机构过滤策略：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从UserContext获取当前用户的机构号（brchNo）和法人编号（legalNo）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调用BranchService.getBegatsBranch获取当前机构的所有下级机构列表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将本机构号加入列表头部，构建完整的机构号列表（brchNos）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4. 将查询条件中的单机构过滤（brchNo）置空，替换为机构号列表（brchNos）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5. 底层SQL使用IN条件进行批量查询，实现本机构及下级机构的数据过滤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3.3 关键节点说明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节点编号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节点名称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处理逻辑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业务规则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简单机构检测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查询开户机构的reserve2字段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reserve2="1"表示简单机构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上级机构遍历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沿parentBrchNo向上查找非简单机构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最大遍历深度10层，防止死循环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开户机构替换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将openBrchNo替换为非简单机构号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记录替换日志，便于问题排查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下级机构获取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调用getBegatsBranch获取所有下级机构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始终包含本机构号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查询条件替换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将brchNo等值查询替换为brchNos的IN查询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brchNo置空，brchNos设置机构列表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ThreadLocal清理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在线查询场景下清理ThreadLocal中的机构列表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防止内存泄漏，在finally块中执行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第四章 数据模型设计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4.1 数据存储设计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本功能复用TM_BRANCH表的RESERVE2字段存储"是否简单机构"标识，不新增数据库字段。选择复用而非新增字段的原因：避免数据库表结构变更带来的迁移风险，RESERVE2字段为产品预留字段，个性化使用符合BEMP规范。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4.2 字段定义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存储值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含义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是否简单机构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"1"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该机构为简单机构，开户自动上移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是否简单机构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"0"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该机构为非简单机构（默认值）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是否简单机构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否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空值等同于"0"，按非简单机构处理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4.3 前端数据映射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界面元素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数据字段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映射规则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新增/修改/同步弹窗-下拉框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addForm.reserve2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直接绑定，"1"=是，"0"=否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默认值"0"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机构列表-展示列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render函数转换，"1"显示"是"，"0"或空显示"否"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空值默认显示"否"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导入预览-展示列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reserve2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render函数转换，同列表展示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导入时"是"转"1"，"否"转"0"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批量导入-Excel列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第12列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"是"转"1"，"否"转"0"，空默认"0"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列标题为"是否简单机构"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第五章 接口定义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5.1 个性化接口清单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请求方式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所属模块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个性化说明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/hnnxbank/sm/auth/branch/branch/func_querySubBranchAndSelf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查询机构列表（含reserve2字段展示）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/hnnxbank/sm/auth/branch/branch/func_downloadModel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导入模板下载（含"是否简单机构"列）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/hnnxbank/sm/auth/branch/branch/func_batchImportValidate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批量导入校验（含reserve2解析校验）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/hnnxbank/sm/auth/branch/branch/func_batchImport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批量导入执行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/hnnxbank/bm/cpes/custsign/custCorpSign/func_queryCustCorpInfoByPage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报备查询（增加机构过滤）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/hnnxbank/bm/cpes/custsign/custCorpSign/func_queryCustCorpSignRecordByPage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报备记录查询（增加机构过滤）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/hnnxbank/bm/cpes/custsignaudit/func_queryCustSignAuditByPage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企业信息报备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报备复核查询（增加机构过滤）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/hnnxbank/bm/sign/cpes/custInfoOnlineQuery/func_queryCustInfoByPage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企业信息在线查询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在线查询（增加机构过滤）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5.2 机构过滤接口详情</w:t>
      </w:r>
    </w:p>
    <w:p>
      <w:pPr>
        <w:pStyle w:val="Heading3"/>
        <w:spacing w:before="160" w:after="120"/>
      </w:pPr>
      <w:r>
        <w:rPr>
          <w:b/>
          <w:bCs/>
          <w:sz w:val="24"/>
          <w:szCs w:val="24"/>
          <w:rFonts w:ascii="SimHei" w:cs="SimHei" w:eastAsia="SimHei" w:hAnsi="SimHei"/>
        </w:rPr>
        <w:t xml:space="preserve">5.2.1 企业信息报备查询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接口路径：/hnnxbank/bm/cpes/custsign/custCorpSign/func_queryCustCorpInfoByPage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请求参数：CustSignQueryDto（含brchNos字段，由Controller自动注入）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处理逻辑：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1. Controller层获取当前用户信息，调用getSubBranchNos构建机构号列表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2. 将brchNo置空，brchNos设置为机构号列表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3. Service层使用Criteria构建查询，添加createBrchNo IN条件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4. 返回过滤后的分页结果</w:t>
      </w:r>
    </w:p>
    <w:p>
      <w:pPr>
        <w:pStyle w:val="Heading3"/>
        <w:spacing w:before="160" w:after="120"/>
      </w:pPr>
      <w:r>
        <w:rPr>
          <w:b/>
          <w:bCs/>
          <w:sz w:val="24"/>
          <w:szCs w:val="24"/>
          <w:rFonts w:ascii="SimHei" w:cs="SimHei" w:eastAsia="SimHei" w:hAnsi="SimHei"/>
        </w:rPr>
        <w:t xml:space="preserve">5.2.2 企业信息在线查询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接口路径：/hnnxbank/bm/sign/cpes/custInfoOnlineQuery/func_queryCustInfoByPage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请求参数：CustCorpQueryDto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处理逻辑：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1. Controller层获取机构号列表，通过ThreadLocal传递给Service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2. Service层从ThreadLocal获取机构号列表，添加operBrchNo IN条件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3. 在finally块中清理ThreadLocal，防止内存泄漏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4. 返回过滤后的分页结果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说明：由于CustCorpQueryDto没有brchNos字段，采用ThreadLocal方式传递机构号列表，这是在线查询场景的特殊处理。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5.3 简单机构上移接口详情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涉及方法：HnnxbankCustAcctServiceImpl.collCustAcct / queryAndCollCustAcct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入参：BaseRequest&lt;CustAcctDto&gt;（含acctListJson或单笔custAcctDto）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处理逻辑：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1. 解析账号列表（批量从acctListJson解析，单笔直接使用）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2. 对每个账号调用replaceSimpleBranchOpenBrchNo检查并替换开户机构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3. 调用产品化Atom层方法完成保存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  4. 替换时记录INFO级别日志，包含账号、原机构、替换后机构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第六章 异常处理机制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6.1 错误码定义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错误信息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触发场景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EX_0BE229905511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批量导入校验失败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导入数据格式或内容校验不通过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返回校验错误详情，提示用户修正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EX_0BE229905512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批量导入执行失败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机构新增失败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返回失败机构列表及原因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0BE229905101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客户账号不存在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同步核心账号时未找到对应账号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抛出业务异常，提示用户检查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是否简单机构值错误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批量导入时"是否简单机构"列值非"是"/"否"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提示第N行是否简单机构值错误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机构未找到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向上查找非简单机构时机构不存在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记录WARN日志，停止查找，保持原机构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6.2 异常处理策略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简单机构上移查找：设置最大遍历深度（MAX_BRANCH_TRAVERSE_DEPTH=10），防止因数据异常（如机构树循环引用）导致死循环。到达最大深度后保持原机构号不变。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机构信息查询失败：若getCacheBranch返回null，记录WARN日志并停止向上查找，保持原机构号不变，不抛出异常。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批量导入校验：逐行校验，收集所有错误信息后一次性返回，避免用户反复修正。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4. ThreadLocal泄漏防护：在线查询Service中使用try-finally确保ThreadLocal在请求结束后清理。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6.3 恢复策略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简单机构上移失败时，不阻断业务流程，保持原机构号继续执行保存操作。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机构过滤查询失败时，降级为仅查询本机构数据（brchNo等值查询），确保用户至少能看到本机构数据。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批量导入部分失败时，成功的机构正常入库，失败的机构汇总返回错误信息。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第七章 安全策略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7.1 访问控制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企业信息报备相关4个查询界面限制为本机构及下级机构，防止越权查看其他机构数据。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机构号列表由后端根据当前登录用户自动生成，前端无法篡改查询范围。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机构管理界面的按钮权限通过authObj控制，不同用户类型看到不同操作按钮。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7.2 数据安全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简单机构上移操作记录INFO级别日志，包含账号、原机构号、替换后机构号，便于审计追溯。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机构过滤条件在Controller层强制注入，Service层无法绕过。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3. ThreadLocal中存储的机构号列表在请求结束后立即清理，防止信息泄漏。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7.3 操作审计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1. 机构管理新增/修改/同步操作走产品化复核流程，简单机构标识变更需经过复核。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2. 批量导入操作逐条执行，失败记录包含机构名称和失败原因。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第八章 技术实现细节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8.1 核心算法</w:t>
      </w:r>
    </w:p>
    <w:p>
      <w:pPr>
        <w:pStyle w:val="Heading3"/>
        <w:spacing w:before="160" w:after="120"/>
      </w:pPr>
      <w:r>
        <w:rPr>
          <w:b/>
          <w:bCs/>
          <w:sz w:val="24"/>
          <w:szCs w:val="24"/>
          <w:rFonts w:ascii="SimHei" w:cs="SimHei" w:eastAsia="SimHei" w:hAnsi="SimHei"/>
        </w:rPr>
        <w:t xml:space="preserve">8.1.1 简单机构上移查找算法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算法描述：从指定机构开始，沿机构树向上查找第一个非简单机构。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findNonSimpleParentBrchNo(legalNo, brchNo):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currentBrchNo = brchNo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maxDepth = 10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while currentBrchNo != null and maxDepth-- &gt; 0: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branch = branchService.getCacheBranch(legalNo, currentBrchNo)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if branch == null: break  // 机构不存在，停止查找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if branch.reserve2 != "1": return currentBrchNo  // 非简单机构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currentBrchNo = branch.parentBrchNo  // 继续向上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if currentBrchNo == "0000": break  // 到达根节点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return brchNo  // 未找到非简单机构，保持原值</w:t>
      </w:r>
    </w:p>
    <w:p>
      <w:pPr>
        <w:pStyle w:val="Heading3"/>
        <w:spacing w:before="160" w:after="120"/>
      </w:pPr>
      <w:r>
        <w:rPr>
          <w:b/>
          <w:bCs/>
          <w:sz w:val="24"/>
          <w:szCs w:val="24"/>
          <w:rFonts w:ascii="SimHei" w:cs="SimHei" w:eastAsia="SimHei" w:hAnsi="SimHei"/>
        </w:rPr>
        <w:t xml:space="preserve">8.1.2 下级机构列表获取算法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getSubBranchNos(userInfo):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brchNo = userInfo.brchNo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legalNo = userInfo.legalNo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subBranches = branchService.getBegatsBranch(legalNo, brchNo)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brchNos = [brchNo]  // 始终包含本机构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for branch in subBranches: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if branch.brchNo != brchNo:  // 避免重复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    brchNos.add(branch.brchNo)</w:t>
      </w:r>
    </w:p>
    <w:p>
      <w:pPr>
        <w:spacing w:line="276" w:before="40" w:after="40"/>
        <w:ind w:left="480"/>
      </w:pPr>
      <w:r>
        <w:rPr>
          <w:sz w:val="18"/>
          <w:szCs w:val="18"/>
          <w:rFonts w:ascii="Courier New" w:cs="Courier New" w:eastAsia="Courier New" w:hAnsi="Courier New"/>
        </w:rPr>
        <w:t xml:space="preserve">  return brchNos</w:t>
      </w:r>
    </w:p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8.2 代码实现清单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类名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方法名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代码行数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HnnxbankCustAcctServiceImpl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collCustAcct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批量账号同步保存（含简单机构上移）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HnnxbankCustAcctServiceImpl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queryAndCollCustAcct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单笔账号同步保存（含简单机构上移）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约30行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HnnxbankCustAcctServiceImpl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replaceSimpleBranchOpenBrchNo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简单机构开户机构替换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约15行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HnnxbankCustAcctServiceImpl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findNonSimpleParentBrchNo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向上查找非简单机构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约25行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HnnxCustSignController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queryCustCorpInfoByPage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报备查询（含机构过滤）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HnnxCustSignController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queryCustCorpSignRecordByPage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报备记录查询（含机构过滤）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HnnxCustSignAuditController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queryCustSignAuditByPage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报备复核查询（含机构过滤）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HnnxCustInfoOnlineQueryController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queryCustInfoByPage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在线查询（含机构过滤）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约10行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HnnxCustCorpSignServiceImpl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queryCustSignInfoWithBrchNos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报备查询Criteria构建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约40行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HnnxCustCorpQueryServiceImpl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queryCustInfoByPage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在线查询Criteria构建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约30行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HnnxBankBranchController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downloadModel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导入模板（含简单机构列）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约25行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HnnxBankBranchController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batchImportValidate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批量导入校验（含简单机构解析）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约30行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8.3 性能优化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优化项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优化策略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预期效果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机构信息缓存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使用branchService.getCacheBranch获取机构信息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避免重复数据库查询，利用产品化缓存机制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IN条件批量查询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使用brchNos的IN条件替代多次单机构查询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减少数据库访问次数，一次查询获取所有下级机构数据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遍历深度限制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MAX_BRANCH_TRAVERSE_DEPTH=10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防止数据异常导致死循环，保障系统稳定性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ThreadLocal及时清理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在finally块中清理ThreadLocal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防止内存泄漏，保障长时间运行稳定性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8.4 开发规范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规范类型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规范要求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代码目录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后端代码在banks/ext-hnnxbank目录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遵循个性化开发规范，禁止修改产品化代码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前端目录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前端代码在frontend/src/views/bizViews/banks/hnnxbank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遵循前端个性化目录规范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路径映射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在hnnxbankIndex.js中维护路径映射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确保个性化Vue组件正确加载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国际化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在zh-CN.js中维护中文标签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使用$hnnxbank.m.i.auth.isSimpleBranch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注解使用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使用@CustomizedBean注解注册个性化Bean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确保Spring容器正确管理个性化组件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字段复用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复用RESERVE2字段存储简单机构标识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不新增数据库字段，降低迁移风险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日志规范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关键操作记录INFO日志，异常记录WARN日志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便于问题排查和审计追溯</w:t>
            </w:r>
          </w:p>
        </w:tc>
      </w:tr>
    </w:tbl>
    <w:p>
      <w:pPr>
        <w:pStyle w:val="Heading2"/>
        <w:spacing w:before="240" w:after="160"/>
      </w:pPr>
      <w:r>
        <w:rPr>
          <w:b/>
          <w:bCs/>
          <w:sz w:val="28"/>
          <w:szCs w:val="28"/>
          <w:rFonts w:ascii="SimHei" w:cs="SimHei" w:eastAsia="SimHei" w:hAnsi="SimHei"/>
        </w:rPr>
        <w:t xml:space="preserve">8.5 偏差记录</w:t>
      </w:r>
    </w:p>
    <w:p>
      <w:pPr>
        <w:spacing w:line="360" w:before="60" w:after="60"/>
      </w:pPr>
      <w:r>
        <w:rPr>
          <w:sz w:val="24"/>
          <w:szCs w:val="24"/>
          <w:rFonts w:ascii="SimSun" w:cs="SimSun" w:eastAsia="SimSun" w:hAnsi="SimSun"/>
        </w:rPr>
        <w:t xml:space="preserve">以下为需求与实际实现之间的偏差说明：</w:t>
      </w:r>
    </w:p>
    <w:tbl>
      <w:tblPr>
        <w:tblW w:type="dxa" w:w="8306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偏差编号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偏差描述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需求描述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实际实现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偏差原因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DEV-001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客户号弹出框查询增加机构过滤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需求10个功能点中未包含客户号弹出框查询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HnnxCustCorpController.pageQueryCustCorpList也增加了本机构及下级机构过滤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客户号弹出框是企业信息报备的关联入口，若不过滤则报备查询的机构过滤可被绕过，属于安全加固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DEV-002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企业账号查询增加机构过滤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需求未明确提及企业账号查询的机构过滤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HnnxbankCustAcctServiceImpl.pageQueryCustAcctList增加了本机构及下级机构过滤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40" w:after="40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与报备查询保持一致，防止通过账号查询绕过机构限制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2026-05-11T03:14:31.590Z</dcterms:created>
  <dcterms:modified xsi:type="dcterms:W3CDTF">2026-05-11T03:14:31.592Z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