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  <w:jc w:val="center"/>
      </w:pPr>
      <w:r>
        <w:rPr>
          <w:b/>
          <w:bCs/>
          <w:sz w:val="44"/>
          <w:szCs w:val="44"/>
          <w:rFonts w:ascii="SimHei" w:cs="SimHei" w:eastAsia="SimHei" w:hAnsi="SimHei"/>
        </w:rPr>
        <w:t xml:space="preserve">机构管理批量导入详细设计文档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公司：恒生电子股份有限公司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产品：HUNDSUN 票据交易管理平台软件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版本：V5.0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文档类型：设计说明书</w:t>
      </w:r>
    </w:p>
    <w:p>
      <w:pPr>
        <w:spacing w:after="2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部门：票据业务事业部</w:t>
      </w:r>
    </w:p>
    <w:p>
      <w:pPr>
        <w:spacing w:after="1440"/>
        <w:jc w:val="center"/>
      </w:pPr>
      <w:r>
        <w:rPr>
          <w:sz w:val="24"/>
          <w:szCs w:val="24"/>
          <w:rFonts w:ascii="SimSun" w:cs="SimSun" w:eastAsia="SimSun" w:hAnsi="SimSun"/>
        </w:rPr>
        <w:t xml:space="preserve">日期：2026/4/14</w:t>
      </w:r>
    </w:p>
    <w:p>
      <w:r>
        <w:br w:type="page"/>
      </w:r>
    </w:p>
    <w:p>
      <w:pPr>
        <w:pStyle w:val="Heading2"/>
      </w:pPr>
      <w:r>
        <w:t xml:space="preserve">文档修改记录</w:t>
      </w:r>
    </w:p>
    <w:p>
      <w:pPr>
        <w:spacing w:after="2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修订说明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批准人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发布日期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初始版本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2026/4/14</w:t>
            </w:r>
          </w:p>
        </w:tc>
      </w:tr>
    </w:tbl>
    <w:p>
      <w:r>
        <w:br w:type="page"/>
      </w:r>
    </w:p>
    <w:p>
      <w:pPr>
        <w:spacing w:before="240" w:after="360"/>
        <w:jc w:val="center"/>
      </w:pPr>
      <w:r>
        <w:rPr>
          <w:b/>
          <w:bCs/>
          <w:sz w:val="32"/>
          <w:szCs w:val="32"/>
          <w:rFonts w:ascii="SimHei" w:cs="SimHei" w:eastAsia="SimHei" w:hAnsi="SimHei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第一章 系统概述</w:t>
      </w:r>
    </w:p>
    <w:p>
      <w:pPr>
        <w:pStyle w:val="Heading2"/>
      </w:pPr>
      <w:r>
        <w:t xml:space="preserve">1.1 业务背景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业务背景描述，从需求规格说明书中摘录</w:t>
      </w:r>
    </w:p>
    <w:p>
      <w:pPr>
        <w:pStyle w:val="Heading2"/>
      </w:pPr>
      <w:r>
        <w:t xml:space="preserve">1.2 设计目标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目标类型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目标描述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功能目标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实现核心业务功能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性能目标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保证系统响应速度</w:t>
            </w:r>
          </w:p>
        </w:tc>
      </w:tr>
    </w:tbl>
    <w:p>
      <w:pPr>
        <w:pStyle w:val="Heading2"/>
      </w:pPr>
      <w:r>
        <w:t xml:space="preserve">1.3 范围说明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范围类型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纳入范围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核心业务功能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排除范围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其他模块功能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第二章 功能模块划分</w:t>
      </w:r>
    </w:p>
    <w:p>
      <w:pPr>
        <w:pStyle w:val="Heading2"/>
      </w:pPr>
      <w:r>
        <w:t xml:space="preserve">2.1 模块划分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子模块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功能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模块A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功能1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功能描述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模块B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功能2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功能描述</w:t>
            </w:r>
          </w:p>
        </w:tc>
      </w:tr>
    </w:tbl>
    <w:p>
      <w:pPr>
        <w:pStyle w:val="Heading2"/>
      </w:pPr>
      <w:r>
        <w:t xml:space="preserve">2.2 模块职责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详细描述每个子模块的职责和模块间的调用关系</w:t>
      </w:r>
    </w:p>
    <w:p>
      <w:pPr>
        <w:pStyle w:val="Heading2"/>
      </w:pPr>
      <w:r>
        <w:t xml:space="preserve">2.3 接口边界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接口名称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接口类型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接口A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内部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模块间调用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接口B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外部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第三方接口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第三章 核心业务流程</w:t>
      </w:r>
    </w:p>
    <w:p>
      <w:pPr>
        <w:pStyle w:val="Heading2"/>
      </w:pPr>
      <w:r>
        <w:t xml:space="preserve">3.1 业务流程图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使用 ASCII 或 Mermaid 绘制流程图，关键节点要有标注</w:t>
      </w:r>
    </w:p>
    <w:p>
      <w:pPr>
        <w:pStyle w:val="Heading2"/>
      </w:pPr>
      <w:r>
        <w:t xml:space="preserve">3.2 时序图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绘制至少 2 张时序图，说明系统间的交互流程</w:t>
      </w:r>
    </w:p>
    <w:p>
      <w:pPr>
        <w:pStyle w:val="Heading2"/>
      </w:pPr>
      <w:r>
        <w:t xml:space="preserve">3.3 关键节点说明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节点编号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节点名称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N1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开始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流程开始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N2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处理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业务处理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N3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结束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流程结束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第四章 数据模型设计</w:t>
      </w:r>
    </w:p>
    <w:p>
      <w:pPr>
        <w:pStyle w:val="Heading2"/>
      </w:pPr>
      <w:r>
        <w:t xml:space="preserve">4.1 ER 图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绘制实体关系图，标识实体、属性和关系</w:t>
      </w:r>
    </w:p>
    <w:p>
      <w:pPr>
        <w:pStyle w:val="Heading2"/>
      </w:pPr>
      <w:r>
        <w:t xml:space="preserve">4.2 数据字典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字段代码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长度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32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主键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名称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100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名称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状态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CHAR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是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状态</w:t>
            </w:r>
          </w:p>
        </w:tc>
      </w:tr>
    </w:tbl>
    <w:p>
      <w:pPr>
        <w:pStyle w:val="Heading2"/>
      </w:pPr>
      <w:r>
        <w:t xml:space="preserve">4.3 存储策略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说明数据分区策略、索引策略、备份和恢复策略</w:t>
      </w:r>
    </w:p>
    <w:p>
      <w:r>
        <w:br w:type="page"/>
      </w:r>
    </w:p>
    <w:p>
      <w:pPr>
        <w:pStyle w:val="Heading1"/>
      </w:pPr>
      <w:r>
        <w:t xml:space="preserve">第五章 接口定义</w:t>
      </w:r>
    </w:p>
    <w:p>
      <w:pPr>
        <w:pStyle w:val="Heading2"/>
      </w:pPr>
      <w:r>
        <w:t xml:space="preserve">5.1 API 接口清单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接口名称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请求方式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接口路径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查询列表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POST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/api/list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分页查询列表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新增记录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POST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/api/add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新增记录</w:t>
            </w:r>
          </w:p>
        </w:tc>
      </w:tr>
    </w:tbl>
    <w:p>
      <w:pPr>
        <w:pStyle w:val="Heading2"/>
      </w:pPr>
      <w:r>
        <w:t xml:space="preserve">5.2 接口详情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对每个接口进行详细说明，包含请求参数、响应参数、调用示例</w:t>
      </w:r>
    </w:p>
    <w:p>
      <w:r>
        <w:br w:type="page"/>
      </w:r>
    </w:p>
    <w:p>
      <w:pPr>
        <w:pStyle w:val="Heading1"/>
      </w:pPr>
      <w:r>
        <w:t xml:space="preserve">第六章 异常处理机制</w:t>
      </w:r>
    </w:p>
    <w:p>
      <w:pPr>
        <w:pStyle w:val="Heading2"/>
      </w:pPr>
      <w:r>
        <w:t xml:space="preserve">6.1 错误码定义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错误码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错误信息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处理方式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E001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参数校验失败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返回错误提示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E002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数据不存在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返回空结果</w:t>
            </w:r>
          </w:p>
        </w:tc>
      </w:tr>
    </w:tbl>
    <w:p>
      <w:pPr>
        <w:pStyle w:val="Heading2"/>
      </w:pPr>
      <w:r>
        <w:t xml:space="preserve">6.2 处理流程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说明异常捕获和处理的流程，说明不同异常类型的处理策略</w:t>
      </w:r>
    </w:p>
    <w:p>
      <w:pPr>
        <w:pStyle w:val="Heading2"/>
      </w:pPr>
      <w:r>
        <w:t xml:space="preserve">6.3 恢复策略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说明失败后的恢复机制，说明数据一致性保证措施</w:t>
      </w:r>
    </w:p>
    <w:p>
      <w:r>
        <w:br w:type="page"/>
      </w:r>
    </w:p>
    <w:p>
      <w:pPr>
        <w:pStyle w:val="Heading1"/>
      </w:pPr>
      <w:r>
        <w:t xml:space="preserve">第七章 安全策略</w:t>
      </w:r>
    </w:p>
    <w:p>
      <w:pPr>
        <w:pStyle w:val="Heading2"/>
      </w:pPr>
      <w:r>
        <w:t xml:space="preserve">7.1 认证授权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说明身份认证机制和权限控制策略</w:t>
      </w:r>
    </w:p>
    <w:p>
      <w:pPr>
        <w:pStyle w:val="Heading2"/>
      </w:pPr>
      <w:r>
        <w:t xml:space="preserve">7.2 数据加密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说明传输加密方式和存储加密方式</w:t>
      </w:r>
    </w:p>
    <w:p>
      <w:pPr>
        <w:pStyle w:val="Heading2"/>
      </w:pPr>
      <w:r>
        <w:t xml:space="preserve">7.3 访问控制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说明操作限制和数据隔离策略</w:t>
      </w:r>
    </w:p>
    <w:p>
      <w:r>
        <w:br w:type="page"/>
      </w:r>
    </w:p>
    <w:p>
      <w:pPr>
        <w:pStyle w:val="Heading1"/>
      </w:pPr>
      <w:r>
        <w:t xml:space="preserve">第八章 技术实现细节</w:t>
      </w:r>
    </w:p>
    <w:p>
      <w:pPr>
        <w:pStyle w:val="Heading2"/>
      </w:pPr>
      <w:r>
        <w:t xml:space="preserve">8.1 核心算法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列出核心算法，提供伪代码或流程图</w:t>
      </w:r>
    </w:p>
    <w:p>
      <w:pPr>
        <w:pStyle w:val="Heading2"/>
      </w:pPr>
      <w:r>
        <w:t xml:space="preserve">8.2 代码示例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类名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方法名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  <w:rFonts w:ascii="SimHei" w:cs="SimHei" w:eastAsia="SimHei" w:hAnsi="SimHei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ServiceImpl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process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处理业务逻辑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Controller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handleRequest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1"/>
                <w:szCs w:val="21"/>
                <w:rFonts w:ascii="SimSun" w:cs="SimSun" w:eastAsia="SimSun" w:hAnsi="SimSun"/>
              </w:rPr>
              <w:t xml:space="preserve">处理HTTP请求</w:t>
            </w:r>
          </w:p>
        </w:tc>
      </w:tr>
    </w:tbl>
    <w:p>
      <w:pPr>
        <w:pStyle w:val="Heading2"/>
      </w:pPr>
      <w:r>
        <w:t xml:space="preserve">8.3 性能优化</w:t>
      </w:r>
    </w:p>
    <w:p>
      <w:pPr>
        <w:spacing w:before="0" w:after="120" w:line="360"/>
        <w:jc w:val="left"/>
      </w:pPr>
      <w:r>
        <w:rPr>
          <w:b w:val="false"/>
          <w:bCs w:val="false"/>
          <w:sz w:val="24"/>
          <w:szCs w:val="24"/>
          <w:rFonts w:ascii="SimSun" w:cs="SimSun" w:eastAsia="SimSun" w:hAnsi="SimSun"/>
        </w:rPr>
        <w:t xml:space="preserve">列出性能优化策略，说明优化效果</w:t>
      </w:r>
    </w:p>
    <w:sectPr>
      <w:headerReference w:type="default" r:id="rId6"/>
      <w:foot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  <w:rFonts w:ascii="SimSun" w:cs="SimSun" w:eastAsia="SimSun" w:hAnsi="SimSu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0"/>
        <w:szCs w:val="20"/>
        <w:rFonts w:ascii="SimSun" w:cs="SimSun" w:eastAsia="SimSun" w:hAnsi="SimSun"/>
      </w:rPr>
      <w:t xml:space="preserve">BEMP 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SimSun" w:cs="SimSun" w:eastAsia="SimSun" w:hAnsi="SimSu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b/>
      <w:bCs/>
      <w:sz w:val="32"/>
      <w:szCs w:val="32"/>
      <w:rFonts w:ascii="SimHei" w:cs="SimHei" w:eastAsia="SimHei" w:hAnsi="SimHei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b/>
      <w:bCs/>
      <w:sz w:val="28"/>
      <w:szCs w:val="28"/>
      <w:rFonts w:ascii="SimHei" w:cs="SimHei" w:eastAsia="SimHei" w:hAnsi="SimHei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b/>
      <w:bCs/>
      <w:sz w:val="24"/>
      <w:szCs w:val="24"/>
      <w:rFonts w:ascii="SimHei" w:cs="SimHei" w:eastAsia="SimHei" w:hAnsi="SimHe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2026-04-14T13:44:12.994Z</dcterms:created>
  <dcterms:modified xsi:type="dcterms:W3CDTF">2026-04-14T13:44:12.994Z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