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日常生活法律场景指引</w:t>
      </w:r>
    </w:p>
    <w:p>
      <w:r>
        <w:t>本指引面向日常高频法律场景，整理常用法律依据与实务要点，供合同与纠纷处理时参考。内容依据现行有效的《民法典》《劳动合同法》《消费者权益保护法》等法律法规整理，具体适用以现行有效文本及个案情况为准。</w:t>
      </w:r>
    </w:p>
    <w:p>
      <w:pPr>
        <w:pStyle w:val="Heading1"/>
      </w:pPr>
      <w:r>
        <w:t>一、通用法律基础</w:t>
      </w:r>
    </w:p>
    <w:p>
      <w:r>
        <w:t>本章梳理跨场景通用的法律规则，包括诉讼时效、合同效力、格式条款与违约金调整。这些规则适用于劳动合同、租赁合同、买卖合同等各类合同，是判断条款是否有效、权利能否获得支持的基础依据，遇到具体纠纷时应首先对照本章规则。</w:t>
      </w:r>
    </w:p>
    <w:p>
      <w:pPr>
        <w:pStyle w:val="Heading2"/>
      </w:pPr>
      <w:r>
        <w:t>1.1 诉讼时效</w:t>
      </w:r>
    </w:p>
    <w:p>
      <w:r>
        <w:t>法律依据：《民法典》第一百八十八条。</w:t>
      </w:r>
    </w:p>
    <w:p>
      <w:r>
        <w:t>普通诉讼时效期间为三年，自权利人知道或者应当知道权利受到损害以及义务人之日起计算。自权利受到损害之日起超过二十年的，人民法院不予保护；有特殊情况的，人民法院可以根据权利人的申请决定延长。</w:t>
      </w:r>
    </w:p>
    <w:p>
      <w:r>
        <w:t>实务提示：权利人向义务人提出履行请求、义务人同意履行义务、提起诉讼或者申请仲裁，都会导致诉讼时效中断，从中断事由终止时起重新计算三年。催收时务必保留书面或可追溯证据，如微信聊天记录、短信、电子邮件、律师函或 EMS 邮寄回执。</w:t>
      </w:r>
    </w:p>
    <w:p>
      <w:r>
        <w:t>常见风险：合同约定“长期有效”“随时主张”并不能排除诉讼时效的适用；超过诉讼时效起诉的，对方提出时效抗辩后权利将无法获得法院支持。</w:t>
      </w:r>
    </w:p>
    <w:p>
      <w:pPr>
        <w:pStyle w:val="Heading2"/>
      </w:pPr>
      <w:r>
        <w:t>1.2 合同无效与可撤销情形</w:t>
      </w:r>
    </w:p>
    <w:p>
      <w:r>
        <w:t>法律依据：《民法典》第一百四十四条、第一百四十六条、第一百五十三条、第一百五十四条。</w:t>
      </w:r>
    </w:p>
    <w:p>
      <w:r>
        <w:t>合同无效的典型情形包括：无民事行为能力人订立的合同；行为人与相对人以虚假的意思表示订立的合同；违反法律、行政法规的强制性规定的合同；违背公序良俗的合同；行为人与相对人恶意串通、损害他人合法权益的合同。</w:t>
      </w:r>
    </w:p>
    <w:p>
      <w:r>
        <w:t>可撤销情形包括：基于重大误解订立的合同、一方以欺诈手段使对方在违背真实意思的情况下订立的合同、第三人实施欺诈的合同、以胁迫手段订立的合同、显失公平的合同。撤销权应当在知道或者应当知道撤销事由之日起一年内行使。</w:t>
      </w:r>
    </w:p>
    <w:p>
      <w:r>
        <w:t>实务提示：合同部分无效不影响其他部分效力的，其他部分仍然有效。合同无效或者被撤销后，因该合同取得的财产应当予以返还；有过错的一方应当赔偿对方由此所受到的损失。</w:t>
      </w:r>
    </w:p>
    <w:p>
      <w:pPr>
        <w:pStyle w:val="Heading2"/>
      </w:pPr>
      <w:r>
        <w:t>1.3 格式条款的效力规则</w:t>
      </w:r>
    </w:p>
    <w:p>
      <w:r>
        <w:t>法律依据：《民法典》第四百九十六条、第四百九十七条、第四百九十八条。</w:t>
      </w:r>
    </w:p>
    <w:p>
      <w:r>
        <w:t>采用格式条款订立合同的，提供格式条款的一方应当遵循公平原则确定当事人之间的权利和义务，并采取合理的方式提示对方注意免除或者减轻其责任、排除或者限制对方权利等与对方有重大利害关系的条款，按照对方的要求对该条款予以说明。未履行提示或者说明义务，致使对方没有注意或者理解与其有重大利害关系的条款的，对方可以主张该条款不成为合同的内容。</w:t>
      </w:r>
    </w:p>
    <w:p>
      <w:r>
        <w:t>格式条款无效的情形：具有《民法典》第一编第六章第三节和本法第五百零六条规定的无效情形；提供格式条款一方不合理地免除或者减轻其责任、加重对方责任、限制对方主要权利；提供格式条款一方排除对方主要权利。</w:t>
      </w:r>
    </w:p>
    <w:p>
      <w:r>
        <w:t>实务提示：对格式条款有两种以上解释的，应当作出不利于提供格式条款一方的解释。格式条款和非格式条款不一致的，应当采用非格式条款。常见的“最终解释权归本公司所有”“一经售出概不退换”属于典型无效条款。</w:t>
      </w:r>
    </w:p>
    <w:p>
      <w:pPr>
        <w:pStyle w:val="Heading2"/>
      </w:pPr>
      <w:r>
        <w:t>1.4 违约金与定金规则</w:t>
      </w:r>
    </w:p>
    <w:p>
      <w:r>
        <w:t>法律依据：《民法典》第五百八十五条、第五百八十六条至第五百八十八条。</w:t>
      </w:r>
    </w:p>
    <w:p>
      <w:r>
        <w:t>当事人可以约定一方违约时应当根据违约情况向对方支付一定数额的违约金。约定的违约金低于造成的损失的，人民法院或者仲裁机构可以根据当事人的请求予以增加；约定的违约金过分高于造成的损失的，可以根据当事人的请求予以适当减少。司法实践通常以违约造成损失的百分之三十作为“过分高于”的参照标准。</w:t>
      </w:r>
    </w:p>
    <w:p>
      <w:r>
        <w:t>定金规则：定金的数额不得超过主合同标的额的百分之二十，超过部分不产生定金效力。给付定金的一方不履行债务的，无权请求返还定金；收受定金的一方不履行债务的，应当双倍返还定金。</w:t>
      </w:r>
    </w:p>
    <w:p>
      <w:r>
        <w:t>实务提示：合同中同时约定违约金和定金的，一方违约时，对方可以选择适用违约金或者定金条款，但不能同时主张。注意“订金”“押金”“保证金”与“定金”法律效果不同，不适用定金罚则。</w:t>
      </w:r>
    </w:p>
    <w:p>
      <w:pPr>
        <w:pStyle w:val="Heading1"/>
      </w:pPr>
      <w:r>
        <w:t>二、劳动用工</w:t>
      </w:r>
    </w:p>
    <w:p>
      <w:r>
        <w:t>本章覆盖劳动者与用人单位之间最常见的争议点，包括试用期、加班费、经济补偿、竞业限制与未签订书面劳动合同的后果。劳动法律对劳动者保护倾斜，用人单位在解除劳动合同、主张劳动者不符合录用条件等事项上承担举证责任。</w:t>
      </w:r>
    </w:p>
    <w:p>
      <w:pPr>
        <w:pStyle w:val="Heading2"/>
      </w:pPr>
      <w:r>
        <w:t>2.1 试用期期限与工资</w:t>
      </w:r>
    </w:p>
    <w:p>
      <w:r>
        <w:t>法律依据：《劳动合同法》第十九条、第二十条、第二十一条。</w:t>
      </w:r>
    </w:p>
    <w:p>
      <w:r>
        <w:t>试用期期限与劳动合同期限挂钩：劳动合同期限三个月以上不满一年的，试用期不得超过一个月；一年以上不满三年的，试用期不得超过二个月；三年以上固定期限和无固定期限的劳动合同，试用期不得超过六个月。同一用人单位与同一劳动者只能约定一次试用期。以完成一定工作任务为期限的劳动合同或者劳动合同期限不满三个月的，不得约定试用期。</w:t>
      </w:r>
    </w:p>
    <w:p>
      <w:r>
        <w:t>试用期工资：劳动者在试用期的工资不得低于本单位相同岗位最低档工资或者劳动合同约定工资的百分之八十，并不得低于用人单位所在地的最低工资标准。</w:t>
      </w:r>
    </w:p>
    <w:p>
      <w:r>
        <w:t>实务提示：试用期包含在劳动合同期限内。用人单位在试用期解除劳动合同的，应当向劳动者说明理由，并需举证证明劳动者不符合录用条件，不能仅以“试用期不合格”为由随意辞退。</w:t>
      </w:r>
    </w:p>
    <w:p>
      <w:pPr>
        <w:pStyle w:val="Heading2"/>
      </w:pPr>
      <w:r>
        <w:t>2.2 加班与加班费</w:t>
      </w:r>
    </w:p>
    <w:p>
      <w:r>
        <w:t>法律依据：《劳动法》第四十一条、第四十四条。</w:t>
      </w:r>
    </w:p>
    <w:p>
      <w:r>
        <w:t>用人单位由于生产经营需要，经与工会和劳动者协商后可以延长工作时间，一般每日不得超过一小时；因特殊原因需要延长工作时间的，在保障劳动者身体健康的条件下每日不得超过三小时，每月不得超过三十六小时。</w:t>
      </w:r>
    </w:p>
    <w:p>
      <w:r>
        <w:t>加班费计算标准：安排劳动者延长工作时间的，支付不低于工资的百分之一百五十的工资报酬；休息日安排工作又不能安排补休的，支付不低于工资的百分之二百的工资报酬；法定休假日安排工作的，支付不低于工资的百分之三百的工资报酬。</w:t>
      </w:r>
    </w:p>
    <w:p>
      <w:r>
        <w:t>实务提示：主张加班费需要证明加班事实存在，考勤记录、打卡截图、工作群消息、加班审批单均可作为证据。用人单位掌握考勤证据而不提供的，应当承担不利后果。</w:t>
      </w:r>
    </w:p>
    <w:p>
      <w:pPr>
        <w:pStyle w:val="Heading2"/>
      </w:pPr>
      <w:r>
        <w:t>2.3 经济补偿金与赔偿金</w:t>
      </w:r>
    </w:p>
    <w:p>
      <w:r>
        <w:t>法律依据：《劳动合同法》第四十六条、第四十七条、第八十七条。</w:t>
      </w:r>
    </w:p>
    <w:p>
      <w:r>
        <w:t>经济补偿按劳动者在本单位工作的年限，每满一年支付一个月工资的标准向劳动者支付。六个月以上不满一年的，按一年计算；不满六个月的，向劳动者支付半个月工资的经济补偿。劳动者月工资高于用人单位所在直辖市、设区的市级人民政府公布的本地区上年度职工月平均工资三倍的，按职工月平均工资三倍的数额支付，支付年限最高不超过十二年。</w:t>
      </w:r>
    </w:p>
    <w:p>
      <w:r>
        <w:t>用人单位违法解除或者终止劳动合同的，应当依照经济补偿标准的二倍向劳动者支付赔偿金。</w:t>
      </w:r>
    </w:p>
    <w:p>
      <w:r>
        <w:t>实务提示：月工资是指劳动者在劳动合同解除或者终止前十二个月的平均应得工资，包含奖金、津贴、补贴等。协商一致解除、劳动者被迫解除（如未足额支付工资、未依法缴纳社保）均可主张经济补偿。</w:t>
      </w:r>
    </w:p>
    <w:p>
      <w:pPr>
        <w:pStyle w:val="Heading2"/>
      </w:pPr>
      <w:r>
        <w:t>2.4 竞业限制</w:t>
      </w:r>
    </w:p>
    <w:p>
      <w:r>
        <w:t>法律依据：《劳动合同法》第二十三条、第二十四条。</w:t>
      </w:r>
    </w:p>
    <w:p>
      <w:r>
        <w:t>竞业限制的人员限于用人单位的高级管理人员、高级技术人员和其他负有保密义务的人员。竞业限制的范围、地域、期限由用人单位与劳动者约定，但约定的期限不得超过二年。</w:t>
      </w:r>
    </w:p>
    <w:p>
      <w:r>
        <w:t>用人单位应当在竞业限制期限内按月给予劳动者经济补偿。劳动者违反竞业限制约定的，应当按照约定向用人单位支付违约金。</w:t>
      </w:r>
    </w:p>
    <w:p>
      <w:r>
        <w:t>常见风险：只约定竞业限制义务而不约定经济补偿的条款对劳动者约束力存疑；三个月未支付经济补偿的，劳动者可以请求解除竞业限制约定。竞业限制期限超过二年的部分无效。</w:t>
      </w:r>
    </w:p>
    <w:p>
      <w:pPr>
        <w:pStyle w:val="Heading2"/>
      </w:pPr>
      <w:r>
        <w:t>2.5 未签订书面劳动合同的后果</w:t>
      </w:r>
    </w:p>
    <w:p>
      <w:r>
        <w:t>法律依据：《劳动合同法》第八十二条、《劳动合同法实施条例》第六条。</w:t>
      </w:r>
    </w:p>
    <w:p>
      <w:r>
        <w:t>用人单位自用工之日起超过一个月不满一年未与劳动者订立书面劳动合同的，应当向劳动者每月支付二倍的工资。</w:t>
      </w:r>
    </w:p>
    <w:p>
      <w:r>
        <w:t>用人单位自用工之日起满一年未与劳动者订立书面劳动合同的，自用工之日起满一个月的次日至满一年的前一日应当依照规定向劳动者每月支付二倍的工资，并视为自用工之日起满一年的当日已经与劳动者订立无固定期限劳动合同。</w:t>
      </w:r>
    </w:p>
    <w:p>
      <w:r>
        <w:t>实务提示：主张二倍工资差额受一年仲裁时效限制，通常自应当支付二倍工资之日起逐月计算，越早主张越有利。</w:t>
      </w:r>
    </w:p>
    <w:p>
      <w:pPr>
        <w:pStyle w:val="Heading1"/>
      </w:pPr>
      <w:r>
        <w:t>三、房屋租赁</w:t>
      </w:r>
    </w:p>
    <w:p>
      <w:r>
        <w:t>本章针对租房中的高频纠纷，包括押金返还、转租、提前退租、房屋维修与优先购买权。租赁关系的核心依据是《民法典》合同编第十四章，其中租赁期限上限、优先购买权等属于强制性规定，不能通过合同约定排除。</w:t>
      </w:r>
    </w:p>
    <w:p>
      <w:pPr>
        <w:pStyle w:val="Heading2"/>
      </w:pPr>
      <w:r>
        <w:t>3.1 租赁期限与合同形式</w:t>
      </w:r>
    </w:p>
    <w:p>
      <w:r>
        <w:t>法律依据：《民法典》第七百零三条、第七百零五条、第七百零七条。</w:t>
      </w:r>
    </w:p>
    <w:p>
      <w:r>
        <w:t>租赁期限不得超过二十年，超过二十年的，超过部分无效。租赁期限届满，当事人可以续订租赁合同，但约定的租赁期限自续订之日起不得超过二十年。</w:t>
      </w:r>
    </w:p>
    <w:p>
      <w:r>
        <w:t>租赁期限六个月以上的，应当采用书面形式。当事人未采用书面形式，无法确定租赁期限的，视为不定期租赁。</w:t>
      </w:r>
    </w:p>
    <w:p>
      <w:r>
        <w:t>实务提示：口头约定的租赁关系同样受法律保护，但举证困难。建议在合同中明确租赁期限、租金标准、支付周期、押金数额及退还条件、水电燃气费用承担方式。</w:t>
      </w:r>
    </w:p>
    <w:p>
      <w:pPr>
        <w:pStyle w:val="Heading2"/>
      </w:pPr>
      <w:r>
        <w:t>3.2 押金返还</w:t>
      </w:r>
    </w:p>
    <w:p>
      <w:r>
        <w:t>法律依据：《民法典》第七百三十三条，押金条款依合同约定。</w:t>
      </w:r>
    </w:p>
    <w:p>
      <w:r>
        <w:t>租赁期限届满，承租人应当返还租赁物。返还的租赁物应当符合按照约定或者根据租赁物的性质使用后的状态。押金并非法定担保方式，《民法典》未对押金作出专门规定，其性质、数额与退还条件由双方在合同中约定。</w:t>
      </w:r>
    </w:p>
    <w:p>
      <w:r>
        <w:t>实务提示：退租时应当办理房屋交接并留存书面交接记录或现场照片视频；如出租人以房屋损坏为由扣留押金，应当要求其出示维修费用凭证，否则可主张全额返还。定金与押金不同：定金适用定金罚则，押金仅为担保性质。</w:t>
      </w:r>
    </w:p>
    <w:p>
      <w:r>
        <w:t>常见风险：合同中约定“押金一律不予退还”属于排除承租人主要权利的条款，可主张该约定无效。</w:t>
      </w:r>
    </w:p>
    <w:p>
      <w:pPr>
        <w:pStyle w:val="Heading2"/>
      </w:pPr>
      <w:r>
        <w:t>3.3 转租与“二房东”</w:t>
      </w:r>
    </w:p>
    <w:p>
      <w:r>
        <w:t>法律依据：《民法典》第七百一十六条、第七百一十八条。</w:t>
      </w:r>
    </w:p>
    <w:p>
      <w:r>
        <w:t>承租人经出租人同意，可以将租赁物转租给第三人。承租人转租的，承租人与出租人之间的租赁合同继续有效；第三人造成租赁物损失的，承租人应当赔偿损失。承租人未经出租人同意转租的，出租人可以解除合同。</w:t>
      </w:r>
    </w:p>
    <w:p>
      <w:r>
        <w:t>出租人知道或者应当知道承租人转租，但在六个月内未提出异议的，视为出租人同意转租。</w:t>
      </w:r>
    </w:p>
    <w:p>
      <w:r>
        <w:t>实务提示：向“二房东”租房时，应当核验其与产权人的原始租赁合同，确认其中允许转租、且转租期限不超过其剩余租期；同时留存产权人同意转租的书面证据。否则原租赁合同被解除后，次承租人可能面临腾退风险。</w:t>
      </w:r>
    </w:p>
    <w:p>
      <w:pPr>
        <w:pStyle w:val="Heading2"/>
      </w:pPr>
      <w:r>
        <w:t>3.4 提前退租与合同解除</w:t>
      </w:r>
    </w:p>
    <w:p>
      <w:r>
        <w:t>法律依据：《民法典》第七百二十二条、第七百二十九条、第七百三十条。</w:t>
      </w:r>
    </w:p>
    <w:p>
      <w:r>
        <w:t>承租人无正当理由未支付或者迟延支付租金的，出租人可以请求承租人在合理期限内支付；承租人逾期不支付的，出租人可以解除合同。</w:t>
      </w:r>
    </w:p>
    <w:p>
      <w:r>
        <w:t>因不可归责于承租人的事由，致使租赁物部分或者全部毁损、灭失的，承租人可以请求减少租金或者不支付租金；因租赁物部分或者全部毁损、灭失，致使不能实现合同目的的，承租人可以解除合同。当事人对租赁期限没有约定或者约定不明确，视为不定期租赁，当事人可以随时解除合同，但是应当在合理期限之前通知对方。</w:t>
      </w:r>
    </w:p>
    <w:p>
      <w:r>
        <w:t>实务提示：提前退租属于违约，但出租人主张的违约金应以实际损失为基础，出租人负有减损义务并及时重新出租；约定违约金过分高于实际损失的，可以请求法院适当减少。</w:t>
      </w:r>
    </w:p>
    <w:p>
      <w:pPr>
        <w:pStyle w:val="Heading2"/>
      </w:pPr>
      <w:r>
        <w:t>3.5 买卖不破租赁与优先购买权</w:t>
      </w:r>
    </w:p>
    <w:p>
      <w:r>
        <w:t>法律依据：《民法典》第七百二十五条、第七百二十六条、第七百二十八条。</w:t>
      </w:r>
    </w:p>
    <w:p>
      <w:r>
        <w:t>租赁物在承租人按照租赁合同占有期限内发生所有权变动的，不影响租赁合同的效力，即房屋在租赁期间被出售的，新房主应当继续履行原租赁合同直至租期届满。</w:t>
      </w:r>
    </w:p>
    <w:p>
      <w:r>
        <w:t>出租人出卖租赁房屋的，应当在出卖之前的合理期限内通知承租人，承租人享有以同等条件优先购买的权利。出租人未通知承租人或者有其他妨害承租人行使优先购买权情形的，承租人可以请求出租人承担赔偿责任。承租人在接到出租人通知后十五日内未明确表示购买的，视为放弃优先购买权。</w:t>
      </w:r>
    </w:p>
    <w:p>
      <w:r>
        <w:t>例外：房屋按份共有人行使优先购买权，或者出租人将房屋出卖给近亲属的，承租人不再享有优先购买权。</w:t>
      </w:r>
    </w:p>
    <w:p>
      <w:pPr>
        <w:pStyle w:val="Heading2"/>
      </w:pPr>
      <w:r>
        <w:t>3.6 房屋维修义务</w:t>
      </w:r>
    </w:p>
    <w:p>
      <w:r>
        <w:t>法律依据：《民法典》第七百一十二条、第七百一十三条。</w:t>
      </w:r>
    </w:p>
    <w:p>
      <w:r>
        <w:t>出租人应当履行租赁物的维修义务，但是当事人另有约定的除外。承租人在租赁物需要维修时可以请求出租人在合理期限内维修。出租人未履行维修义务的，承租人可以自行维修，维修费用由出租人负担。</w:t>
      </w:r>
    </w:p>
    <w:p>
      <w:r>
        <w:t>因承租人的过错致使租赁物需要维修的，出租人不承担维修义务。</w:t>
      </w:r>
    </w:p>
    <w:p>
      <w:r>
        <w:t>实务提示：因维修租赁物影响承租人使用的，应当相应减少租金或者延长租期。承租人在维修前应书面告知出租人并保留通知证据，自行维修后凭票据主张费用。</w:t>
      </w:r>
    </w:p>
    <w:p>
      <w:pPr>
        <w:pStyle w:val="Heading1"/>
      </w:pPr>
      <w:r>
        <w:t>四、消费维权</w:t>
      </w:r>
    </w:p>
    <w:p>
      <w:r>
        <w:t>本章聚焦个人消费场景，包括网购七日无理由退货、三包责任、欺诈三倍赔偿与预付卡风险。消费者权益保护法对经营者设定了较多强制性义务，格式条款、通知、店堂告示不得排除或者限制消费者的主要权利。</w:t>
      </w:r>
    </w:p>
    <w:p>
      <w:pPr>
        <w:pStyle w:val="Heading2"/>
      </w:pPr>
      <w:r>
        <w:t>4.1 七日无理由退货</w:t>
      </w:r>
    </w:p>
    <w:p>
      <w:r>
        <w:t>法律依据：《消费者权益保护法》第二十五条。</w:t>
      </w:r>
    </w:p>
    <w:p>
      <w:r>
        <w:t>经营者采用网络、电视、电话、邮购等方式销售商品，消费者有权自收到商品之日起七日内退货，且无需说明理由。</w:t>
      </w:r>
    </w:p>
    <w:p>
      <w:r>
        <w:t>不适用七日无理由退货的商品：消费者定作的；鲜活易腐的；在线下载或者消费者拆封的音像制品、计算机软件等数字化商品；交付的报纸、期刊。除上述商品外，其他根据商品性质并经消费者在购买时确认不宜退货的商品，不适用无理由退货。</w:t>
      </w:r>
    </w:p>
    <w:p>
      <w:r>
        <w:t>实务提示：消费者退货的商品应当完好。经营者应当自收到退回商品之日起七日内返还消费者支付的价款，退回商品的运费由消费者承担，另有约定的从其约定。</w:t>
      </w:r>
    </w:p>
    <w:p>
      <w:pPr>
        <w:pStyle w:val="Heading2"/>
      </w:pPr>
      <w:r>
        <w:t>4.2 三包与欺诈赔偿</w:t>
      </w:r>
    </w:p>
    <w:p>
      <w:r>
        <w:t>法律依据：《消费者权益保护法》第二十四条、第五十五条。</w:t>
      </w:r>
    </w:p>
    <w:p>
      <w:r>
        <w:t>经营者提供的商品或者服务不符合质量要求的，消费者可以依照国家规定、当事人约定退货，或者要求经营者履行更换、修理等义务。没有国家规定和当事人约定的，消费者可以自收到商品之日起七日内退货；七日后符合法定解除合同条件的，消费者可以及时退货，不符合法定解除合同条件的，可以要求经营者履行更换、修理等义务。</w:t>
      </w:r>
    </w:p>
    <w:p>
      <w:r>
        <w:t>经营者提供商品或者服务有欺诈行为的，应当按照消费者的要求增加赔偿其受到的损失，增加赔偿的金额为消费者购买商品的价款或者接受服务的费用的三倍；增加赔偿的金额不足五百元的，为五百元。</w:t>
      </w:r>
    </w:p>
    <w:p>
      <w:r>
        <w:t>实务提示：常见欺诈情形包括虚假宣传、以次充好、伪造产地或冒用他人商标、隐瞒商品重大瑕疵。主张三倍赔偿需证明经营者存在故意告知虚假情况或故意隐瞒真实情况的行为。</w:t>
      </w:r>
    </w:p>
    <w:p>
      <w:pPr>
        <w:pStyle w:val="Heading2"/>
      </w:pPr>
      <w:r>
        <w:t>4.3 预付卡与预付式消费</w:t>
      </w:r>
    </w:p>
    <w:p>
      <w:r>
        <w:t>法律依据：《消费者权益保护法实施条例》及单用途商业预付卡管理规定。</w:t>
      </w:r>
    </w:p>
    <w:p>
      <w:r>
        <w:t>经营者以收取预付款方式提供商品或者服务的，应当与消费者订立书面合同，约定商品或者服务的具体内容、价款或者费用、预付款退还方式、违约责任等事项。经营者收取预付款后，应当按照约定提供商品或者服务，不得降低商品或者服务质量，不得任意加价。</w:t>
      </w:r>
    </w:p>
    <w:p>
      <w:r>
        <w:t>经营者未按照约定提供商品或者服务的，应当按照消费者的要求履行约定或者退还预付款；经营者出现停业、迁移服务场所等可能影响履约的情形，应当提前告知消费者。</w:t>
      </w:r>
    </w:p>
    <w:p>
      <w:r>
        <w:t>实务提示：办理预付卡应当签订书面合同并索要凭证，避免大额长期预付。经营者跑路的，可向市场监管部门投诉，涉嫌诈骗的可以向公安机关报案。</w:t>
      </w:r>
    </w:p>
    <w:p>
      <w:pPr>
        <w:pStyle w:val="Heading2"/>
      </w:pPr>
      <w:r>
        <w:t>4.4 霸王条款识别</w:t>
      </w:r>
    </w:p>
    <w:p>
      <w:r>
        <w:t>常见无效条款：经营者单方享有解释权或者最终解释权；一经售出概不退换；因不可抗力或者其他原因造成损失，经营者不承担任何责任；消费者对商品或者服务作出的评价，经营者有权任意删除；经营者有权随时变更或者终止服务而不通知消费者。</w:t>
      </w:r>
    </w:p>
    <w:p>
      <w:r>
        <w:t>法律依据：《消费者权益保护法》第二十六条：经营者在经营活动中使用格式条款的，应当以显著方式提请消费者注意商品或者服务的数量和质量、价款或者费用、履行期限和方式、安全注意事项和风险警示、售后服务、民事责任等与消费者有重大利害关系的内容，并按照消费者的要求予以说明。经营者不得以格式条款、通知、声明、店堂告示等方式，作出排除或者限制消费者权利、减轻或者免除经营者责任、加重消费者责任等对消费者不公平、不合理的规定。</w:t>
      </w:r>
    </w:p>
    <w:p>
      <w:r>
        <w:t>实务提示：格式条款、通知、声明、店堂告示等含有上述内容的，其内容无效。遇到霸王条款可以向市场监管部门投诉，或者通过诉讼主张该条款无效。</w:t>
      </w:r>
    </w:p>
    <w:p>
      <w:pPr>
        <w:pStyle w:val="Heading1"/>
      </w:pPr>
      <w:r>
        <w:t>五、民间借贷</w:t>
      </w:r>
    </w:p>
    <w:p>
      <w:r>
        <w:t>本章说明借条书写、利率上限、催收时效与担保问题。民间借贷的风险集中在三处：约定的利率超过司法保护上限、缺乏书面凭证导致举证困难、以及超过三年诉讼时效且无催收证据。</w:t>
      </w:r>
    </w:p>
    <w:p>
      <w:pPr>
        <w:pStyle w:val="Heading2"/>
      </w:pPr>
      <w:r>
        <w:t>5.1 借条必备要素</w:t>
      </w:r>
    </w:p>
    <w:p>
      <w:r>
        <w:t>法律依据：《民法典》第六百六十七条、第六百六十八条、第六百七十九条。</w:t>
      </w:r>
    </w:p>
    <w:p>
      <w:r>
        <w:t>借款合同应当采用书面形式，但是自然人之间借款另有约定的除外。借款合同的内容一般包括借款种类、币种、用途、数额、利率、期限和还款方式等条款。自然人之间的借款合同，自贷款人提供借款时成立。</w:t>
      </w:r>
    </w:p>
    <w:p>
      <w:r>
        <w:t>规范的借条应当写明：出借人与借款人的全名及身份证号、借款金额（同时用大写和小写，两者不一致时以大写为准）、借款日期与还款期限、利息计算标准与支付方式、还款方式、逾期违约责任、借款人签名并按手印、签署日期。</w:t>
      </w:r>
    </w:p>
    <w:p>
      <w:r>
        <w:t>实务提示：仅有转账记录而无借条时，主张借贷关系需证明双方存在借贷合意。建议通过银行转账而非现金交付，并在转账备注中注明“借款”。避免使用“今借”与“今借到”的歧义表述，明确写为“今借到”。</w:t>
      </w:r>
    </w:p>
    <w:p>
      <w:pPr>
        <w:pStyle w:val="Heading2"/>
      </w:pPr>
      <w:r>
        <w:t>5.2 利率上限</w:t>
      </w:r>
    </w:p>
    <w:p>
      <w:r>
        <w:t>法律依据：《民法典》第六百八十条，以及最高人民法院关于审理民间借贷案件适用法律若干问题的规定。</w:t>
      </w:r>
    </w:p>
    <w:p>
      <w:r>
        <w:t>《民法典》明确规定禁止高利放贷，借款的利率不得违反国家有关规定。借款合同对支付利息没有约定的，视为没有利息。借款合同对支付利息约定不明确，当事人不能达成补充协议的，按照当地或者当事人的交易方式、交易习惯、市场利率等因素确定利息；自然人之间借款的，视为没有利息。</w:t>
      </w:r>
    </w:p>
    <w:p>
      <w:r>
        <w:t>司法保护上限：出借人请求借款人按照合同约定利率支付利息的，人民法院应予支持，但是双方约定的利率超过合同成立时一年期贷款市场报价利率（LPR）四倍的除外。</w:t>
      </w:r>
    </w:p>
    <w:p>
      <w:r>
        <w:t>实务提示：利息不得预先在本金中扣除，预先扣除的，应当按照实际借款数额返还借款并计算利息。超出司法保护上限的部分，法院不予支持；已经支付的超额利息可以主张返还或冲抵本金。</w:t>
      </w:r>
    </w:p>
    <w:p>
      <w:pPr>
        <w:pStyle w:val="Heading2"/>
      </w:pPr>
      <w:r>
        <w:t>5.3 催收与诉讼时效</w:t>
      </w:r>
    </w:p>
    <w:p>
      <w:r>
        <w:t>法律依据：《民法典》第一百八十八条、第一百九十五条。</w:t>
      </w:r>
    </w:p>
    <w:p>
      <w:r>
        <w:t>民间借贷的诉讼时效为三年，自还款期限届满之日起计算；未约定还款期限的，自出借人主张权利之日起计算。</w:t>
      </w:r>
    </w:p>
    <w:p>
      <w:r>
        <w:t>实务提示：诉讼时效中断的方式包括向借款人提出履行请求、借款人同意履行、提起诉讼或者申请仲裁。通过微信、短信催收并得到对方回复，或者对方部分还款，都可以构成时效中断，但应当保存完整记录。</w:t>
      </w:r>
    </w:p>
    <w:p>
      <w:r>
        <w:t>常见风险：超过三年且无催收证据的借款，对方提出时效抗辩后将无法获得法院支持。定期催收并留存证据是保护债权的关键。</w:t>
      </w:r>
    </w:p>
    <w:p>
      <w:pPr>
        <w:pStyle w:val="Heading2"/>
      </w:pPr>
      <w:r>
        <w:t>5.4 担保与保证</w:t>
      </w:r>
    </w:p>
    <w:p>
      <w:r>
        <w:t>法律依据：《民法典》第六百八十六条、第六百八十七条、第六百九十二条、第六百九十三条。</w:t>
      </w:r>
    </w:p>
    <w:p>
      <w:r>
        <w:t>保证分为一般保证和连带责任保证。当事人在保证合同中对保证方式没有约定或者约定不明确的，按照一般保证承担保证责任。一般保证的保证人在主合同纠纷未经审判或者仲裁，并就债务人财产依法强制执行仍不能履行债务前，有权拒绝向债权人承担保证责任。</w:t>
      </w:r>
    </w:p>
    <w:p>
      <w:r>
        <w:t>保证期间：债权人与保证人可以约定保证期间，但是约定的保证期间早于主债务履行期限或者与主债务履行期限同时届满的，视为没有约定；没有约定或者约定不明确的，保证期间为主债务履行期限届满之日起六个月。</w:t>
      </w:r>
    </w:p>
    <w:p>
      <w:r>
        <w:t>实务提示：出借人若希望保证人承担连带责任，必须在合同中明确写明“承担连带责任保证”。保证期间内未向保证人主张权利的，保证人不再承担保证责任。</w:t>
      </w:r>
    </w:p>
    <w:p>
      <w:pPr>
        <w:pStyle w:val="Heading1"/>
      </w:pPr>
      <w:r>
        <w:t>六、买卖与网络购物</w:t>
      </w:r>
    </w:p>
    <w:p>
      <w:r>
        <w:t>本章覆盖买卖合同的核心规则，包括质量标准与检验期间、风险转移节点、分期付款违约后果。买卖合同审查的重点在于交付方式、验收标准、付款条件与风险分担四个环节的约定是否明确，约定不明时适用法律规定的补充规则。</w:t>
      </w:r>
    </w:p>
    <w:p>
      <w:pPr>
        <w:pStyle w:val="Heading2"/>
      </w:pPr>
      <w:r>
        <w:t>6.1 质量标准与检验</w:t>
      </w:r>
    </w:p>
    <w:p>
      <w:r>
        <w:t>法律依据：《民法典》第六百一十五条、第六百二十条、第六百二十一条、第六百二十二条。</w:t>
      </w:r>
    </w:p>
    <w:p>
      <w:r>
        <w:t>出卖人应当按照约定的质量要求交付标的物。出卖人提供有关标的物质量说明的，交付的标的物应当符合该说明的质量要求。</w:t>
      </w:r>
    </w:p>
    <w:p>
      <w:r>
        <w:t>买受人收到标的物时应当在约定的检验期限内检验。没有约定检验期限的，应当及时检验。当事人约定检验期限的，买受人应当在检验期限内将标的物的数量或者质量不符合约定的情形通知出卖人。买受人怠于通知的，视为标的物的数量或者质量符合约定。</w:t>
      </w:r>
    </w:p>
    <w:p>
      <w:r>
        <w:t>实务提示：验收条款应当明确检验期限、验收标准、异议提出方式和不合格的处理办法（修理、更换、退货、减价）。建议在合同中约定“隐蔽瑕疵不受检验期限限制”，以保护买方对交付时无法发现的质量问题的追责权。</w:t>
      </w:r>
    </w:p>
    <w:p>
      <w:pPr>
        <w:pStyle w:val="Heading2"/>
      </w:pPr>
      <w:r>
        <w:t>6.2 风险转移</w:t>
      </w:r>
    </w:p>
    <w:p>
      <w:r>
        <w:t>法律依据：《民法典》第六百零四条、第六百零五条、第六百零七条。</w:t>
      </w:r>
    </w:p>
    <w:p>
      <w:r>
        <w:t>标的物毁损、灭失的风险，在标的物交付之前由出卖人承担，交付之后由买受人承担，但是法律另有规定或者当事人另有约定的除外。</w:t>
      </w:r>
    </w:p>
    <w:p>
      <w:r>
        <w:t>出卖人按照约定将标的物运送至买受人指定地点并交付给承运人后，标的物的毁损、灭失风险由买受人承担。当事人没有约定交付地点或者约定不明确，标的物需要运输的，出卖人将标的物交付给第一承运人后，风险由买受人承担。</w:t>
      </w:r>
    </w:p>
    <w:p>
      <w:r>
        <w:t>实务提示：买卖合同应当明确交付方式与风险转移节点。买方为降低风险，可约定“风险自验收合格之日起转移”，或要求卖方投保运输险。</w:t>
      </w:r>
    </w:p>
    <w:p>
      <w:pPr>
        <w:pStyle w:val="Heading2"/>
      </w:pPr>
      <w:r>
        <w:t>6.3 分期付款与解除</w:t>
      </w:r>
    </w:p>
    <w:p>
      <w:r>
        <w:t>法律依据：《民法典》第六百三十四条。</w:t>
      </w:r>
    </w:p>
    <w:p>
      <w:r>
        <w:t>分期付款的买受人未支付到期价款的数额达到全部价款的五分之一，经催告后在合理期限内仍未支付到期价款的，出卖人可以请求买受人支付全部价款或者解除合同。</w:t>
      </w:r>
    </w:p>
    <w:p>
      <w:r>
        <w:t>出卖人解除合同的，可以向买受人请求支付该标的物的使用费。</w:t>
      </w:r>
    </w:p>
    <w:p>
      <w:r>
        <w:t>实务提示：分期付款买卖中，卖方应当保留书面催告证据；买方则应注意逾期比例，避免触发加速到期或合同解除条款。</w:t>
      </w:r>
    </w:p>
    <w:p>
      <w:pPr>
        <w:pStyle w:val="Heading1"/>
      </w:pPr>
      <w:r>
        <w:t>七、物业服务与相邻关系</w:t>
      </w:r>
    </w:p>
    <w:p>
      <w:r>
        <w:t>本章说明业主与物业服务人之间的权利义务，以及高空抛物的责任划分。物业费缴纳义务与物业服务质量相互对应，业主不能以房屋空置、未实际居住为由拒绝支付物业费，但可以就服务瑕疵主张减少费用。</w:t>
      </w:r>
    </w:p>
    <w:p>
      <w:pPr>
        <w:pStyle w:val="Heading2"/>
      </w:pPr>
      <w:r>
        <w:t>7.1 物业费与催缴</w:t>
      </w:r>
    </w:p>
    <w:p>
      <w:r>
        <w:t>法律依据：《民法典》第九百四十四条。</w:t>
      </w:r>
    </w:p>
    <w:p>
      <w:r>
        <w:t>业主应当按照约定向物业服务人支付物业费。物业服务人已经按照约定和有关规定提供服务的，业主不得以未接受或者无需接受相关物业服务为由拒绝支付物业费。</w:t>
      </w:r>
    </w:p>
    <w:p>
      <w:r>
        <w:t>业主违反约定逾期不支付物业费的，物业服务人可以催告其在合理期限内支付；合理期限届满仍不支付的，物业服务人可以提起诉讼或者申请仲裁。物业服务人不得采取停止供电、供水、供热、供燃气等方式催交物业费。</w:t>
      </w:r>
    </w:p>
    <w:p>
      <w:r>
        <w:t>实务提示：房屋空置不能作为拒缴物业费的理由。若物业服务未达到合同约定标准，业主可以主张减少物业费或要求承担违约责任，但需举证证明服务存在瑕疵。</w:t>
      </w:r>
    </w:p>
    <w:p>
      <w:pPr>
        <w:pStyle w:val="Heading2"/>
      </w:pPr>
      <w:r>
        <w:t>7.2 高空抛物</w:t>
      </w:r>
    </w:p>
    <w:p>
      <w:r>
        <w:t>法律依据：《民法典》第一千二百五十四条。</w:t>
      </w:r>
    </w:p>
    <w:p>
      <w:r>
        <w:t>禁止从建筑物中抛掷物品。从建筑物中抛掷物品或者从建筑物上坠落的物品造成他人损害的，由侵权人依法承担侵权责任；经调查难以确定具体侵权人的，除能够证明自己不是侵权人的外，由可能加害的建筑物使用人给予补偿。可能加害的建筑物使用人补偿后，有权向侵权人追偿。</w:t>
      </w:r>
    </w:p>
    <w:p>
      <w:r>
        <w:t>物业服务企业等建筑物管理人应当采取必要的安全保障措施防止高空抛物、坠物情形的发生；未采取必要的安全保障措施的，应当依法承担未履行安全保障义务的侵权责任。</w:t>
      </w:r>
    </w:p>
    <w:p>
      <w:r>
        <w:t>实务提示：发生高空抛物致害的，公安等机关应当及时调查，查清责任人。建筑物使用人可通过安装监控、证明事发时无人在家等方式免除补偿责任。</w:t>
      </w:r>
    </w:p>
    <w:p>
      <w:pPr>
        <w:pStyle w:val="Heading1"/>
      </w:pPr>
      <w:r>
        <w:t>八、交通事故</w:t>
      </w:r>
    </w:p>
    <w:p>
      <w:r>
        <w:t>本章梳理交通事故的责任认定、赔偿顺序与赔偿项目。事故处理的关键是及时报警并取得道路交通事故认定书，同时完整保留医疗费票据、误工证明等损失凭证，赔偿主张的诉讼时效为三年。</w:t>
      </w:r>
    </w:p>
    <w:p>
      <w:pPr>
        <w:pStyle w:val="Heading2"/>
      </w:pPr>
      <w:r>
        <w:t>8.1 责任认定与赔偿顺序</w:t>
      </w:r>
    </w:p>
    <w:p>
      <w:r>
        <w:t>法律依据：《民法典》第一千二百零八条、《道路交通安全法》第七十六条。</w:t>
      </w:r>
    </w:p>
    <w:p>
      <w:r>
        <w:t>机动车发生交通事故造成人身伤亡、财产损失的，由保险公司在机动车第三者责任强制保险责任限额范围内予以赔偿；不足的部分，按照下列规定承担赔偿责任：机动车之间发生交通事故的，由有过错的一方承担赔偿责任；双方都有过错的，按照各自过错的比例分担责任。机动车与非机动车驾驶人、行人之间发生交通事故，非机动车驾驶人、行人没有过错的，由机动车一方承担赔偿责任；有证据证明非机动车驾驶人、行人有过错的，根据过错程度适当减轻机动车一方的赔偿责任；机动车一方没有过错的，承担不超过百分之十的赔偿责任。</w:t>
      </w:r>
    </w:p>
    <w:p>
      <w:r>
        <w:t>实务提示：事故发生后应当立即报警并保护现场，由交警出具道路交通事故认定书。对认定书有异议的，可以在收到之日起三日内向上一级公安机关交通管理部门提出书面复核申请。</w:t>
      </w:r>
    </w:p>
    <w:p>
      <w:pPr>
        <w:pStyle w:val="Heading2"/>
      </w:pPr>
      <w:r>
        <w:t>8.2 赔偿项目</w:t>
      </w:r>
    </w:p>
    <w:p>
      <w:r>
        <w:t>人身损害赔偿项目通常包括：医疗费、护理费、交通费、营养费、住院伙食补助费、误工费，以及残疾赔偿金、残疾辅助器具费、被扶养人生活费；造成死亡的，还包括丧葬费和死亡赔偿金。</w:t>
      </w:r>
    </w:p>
    <w:p>
      <w:r>
        <w:t>财产损失赔偿包括车辆维修费、车辆所载物品损失、车辆施救费用；车辆灭失或者无法修复的，为购买交通事故发生时与被损坏车辆价值相当的车辆重置费用。</w:t>
      </w:r>
    </w:p>
    <w:p>
      <w:r>
        <w:t>实务提示：主张赔偿应当保留完整票据与证明，包括医疗费发票、病历、误工证明与工资流水、护理证明、交通票据。协商不成的，可以向人民法院提起诉讼，注意诉讼时效为三年。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