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服务类合同审查指引</w:t>
      </w:r>
    </w:p>
    <w:p>
      <w:r>
        <w:t>审查指引：服务类合同风险要点</w:t>
      </w:r>
    </w:p>
    <w:p>
      <w:r>
        <w:t>第一条 服务范围</w:t>
      </w:r>
    </w:p>
    <w:p>
      <w:r>
        <w:t>服务类合同必须明确服务内容、交付标准与验收方式。仅约定"提供相关服务"而无数量化标准的，属于范围条款缺陷，应提示补充服务水平协议（SLA）。</w:t>
      </w:r>
    </w:p>
    <w:p>
      <w:r>
        <w:t>第二条 服务费用</w:t>
      </w:r>
    </w:p>
    <w:p>
      <w:r>
        <w:t>服务费建议采用"基础费用+绩效挂钩"结构。一次性预付全年的条款对采购方不利，建议按季度或半年度分期支付。</w:t>
      </w:r>
    </w:p>
    <w:p>
      <w:r>
        <w:t>第三条 人员管理</w:t>
      </w:r>
    </w:p>
    <w:p>
      <w:r>
        <w:t>应约定服务人员名单及关键岗位人员更换须经采购方书面同意，防止服务质量波动。人员社保与劳动关系责任应由服务方承担。</w:t>
      </w:r>
    </w:p>
    <w:p>
      <w:r>
        <w:t>第四条 数据安全</w:t>
      </w:r>
    </w:p>
    <w:p>
      <w:r>
        <w:t>涉及数据处理的服务合同应约定数据归属、保密义务、泄露责任及合同终止后的数据返还与销毁义务。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