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合规性审查报告-盐田区中英街海堤达标加固工程临时用海海域论证报告报批稿</w:t>
      </w:r>
    </w:p>
    <w:p>
      <w:pPr>
        <w:pStyle w:val="Heading1"/>
      </w:pPr>
      <w:r>
        <w:t>1. 空白页检查</w:t>
      </w:r>
    </w:p>
    <w:p>
      <w:r>
        <w:t>暂未发现该论证报告含有空白页。</w:t>
      </w:r>
    </w:p>
    <w:p>
      <w:pPr>
        <w:pStyle w:val="Heading1"/>
      </w:pPr>
      <w:r>
        <w:t>2. 章节错乱检测（出现漏节、跳节）</w:t>
      </w:r>
    </w:p>
    <w:p>
      <w:r>
        <w:t>该论证报告未发现“章节错乱，出现漏节、跳节”的问题。但是，从提供的章节标题来看，缺少了第4章节的标题，从“3资源生态影响分析”直接跳到了“5国土空间规划符合性分析”。</w:t>
      </w:r>
    </w:p>
    <w:p>
      <w:pPr>
        <w:pStyle w:val="Heading1"/>
      </w:pPr>
      <w:r>
        <w:t>3. 标题目录级别弄混、重复</w:t>
      </w:r>
    </w:p>
    <w:p>
      <w:r>
        <w:t>该论证报告未发现“标题目录级别弄混、重复”的问题。</w:t>
      </w:r>
    </w:p>
    <w:p>
      <w:pPr>
        <w:pStyle w:val="Heading1"/>
      </w:pPr>
      <w:r>
        <w:t>4. 错别字、书写有误（部分，仅测试前20句作为参考）</w:t>
      </w:r>
    </w:p>
    <w:p>
      <w:r>
        <w:t>在“为进一步落实《深圳市防洪（潮）及内涝防治规划（2021~2035）》《深圳市东部海堤）建设方案（2021~2035）》《深圳市水务）发展“十四五”规划》等相关文件精神，） ）促 促 促 促海 海 海 海（ （ （ （辉 辉 辉 辉陈 根据深圳市盐田区人民政府印发陈的《加快沙头角深港国际旅游消费合作陈区建设的实 陈1 4 6 2 0 8 2 1 施方案（2022--2025 年1 4）6 2 》0 8 《2 1 盐 田区水务发展第十四个五年1规4 6 划2 0 》8 等2 1 文 件要求，盐 1 4 6 2 0 8 2 1田区水务局拟对中英街段海堤进行达标改造，达标加固后海堤长777.51m，防潮标准提升至200年一遇，拟采用海堤达标建设、景观改造、海岸生态修复等措施，提升海堤防御能力和滨水景观品质。”这句中，存在大量重复字符和数字，例如“） ）促 促 促 促海 海 海 海（ （ （ （辉 辉 辉 辉陈”、“陈1 4 6 2 0 8 2 1”等，这些应被删除或修正为正常语句。建议修正为：“为进一步落实《深圳市防洪（潮）及内涝防治规划（2021~2035）》《深圳市东部海堤建设方案（2021~2035）》《深圳市水务发展“十四五”规划》等相关文件精神，根据深圳市盐田区人民政府印发的《加快沙头角深港国际旅游消费合作区建设的实施方案（2022-2025年）》《盐田区水务发展第十四个五年规划》等文件要求，盐田区水务局拟对中英街段海堤进行达标改造，达标加固后海堤长777.51m，防潮标准提升至200年一遇，拟采用海堤达标建设、景观改造、海岸生态修复等措施，提升海堤防御能力和滨水景观品质。”</w:t>
        <w:br/>
        <w:t>在“在项目建设过程中，临时钢栈桥的施工可能会对水文动力、海水水质、沉积物环境） ） ） ）促 促 促 促及海海洋生态环境造成一定程度的影响。”这句中，存在多余的符号和重复的词语，正确的表述应该是：“在项目建设过程中，临时钢栈桥的施工可能会对水文动力、海水水质、沉积物环境及海洋生态环境造成一定程度的影响。”请修正。</w:t>
        <w:br/>
        <w:t>在“为海 了科学、合理地使用海域，保障用海海项目 海（ （ （ （辉 辉 辉 辉陈 陈 陈 陈1 4 6 2 0 8 2 1 的顺利实施，并为海域 1 4使 6 2用 0 8管2 1理 审批提供重要的依据，根据 1《 4 6中 2 0华8 2人1 民共和国海域 1 4 6 2 0 8 2 1使用管理法》《广东省海域使用管理条例》《深圳经济特区海域使用管理条例》等相关法律法规和《海域使用论证技术导则》（GB/T 42361-2023）等要求，需对本项目运行进行海域使用论证。”这句中，出现了大量的乱码和符号，严重影响了语义表达，识别有误。正确的句子应该是：“为了科学、合理地使用海域，保障用海项目的顺利实施，并为海域使用管理审批提供重要的依据，根据《中华人民共和国海域使用管理法》《广东省海域使用管理条例》《深圳经济特区海域使用管理条例》等相关法律法规和《海域使用论证技术导则》（GB/T 42361-2023）等要求，需对本项目运行进行海域使用论证。”请修正。</w:t>
        <w:br/>
        <w:t>在“根据《海域使用论证技术导则》（GB/T 42361-2023）（以下） ） ） ）促 促 促 促简海称《技术导则》)，本项目用海方式为透海水构筑物用海，且构筑物总长度小于（海含） 海（ （ （ （辉 辉 辉 辉陈 陈 陈 陈1 4 6 2 0 8 2 1 400m、用海总面积小 1于 4 6（ 2 0含 8 2）1 1 0hm2，由此，判定本项目海 1域 4 6使 2 0用 8 2论1 证 工作等级为 1 4 6 2 0 8 2 1三级。”这句中，出现了大量乱码和符号错误，应该是“根据《海域使用论证技术导则》（GB/T 42361-2023）（以下简称《技术导则》），本项目用海方式为透海水构筑物用海，且构筑物总长度小于1400m、用海总面积小于110hm2，由此，判定本项目海域使用论证工作等级为三级。”请修正。</w:t>
        <w:br/>
        <w:t>在“根据《海域使用论证技术导则》（GB/T 42361-2023）（以下简称“技术导则”）中关于论证等级判定的依据，本项目的论证等级判定如下：项目透水构筑物总长度381m，构筑物总长度） ） ） ）促 促 促 促在海小于400m，且项目透水构筑物用海面海积为0.6439公顷，用海面积小于10公海顷， 海（ （ （ （辉 辉 辉 辉陈 陈 陈 陈1 4 6 2 0 8 2 1 在所有海域均为三级论 1 4证 6 2。”这句中，出现了“） ） ） ）促 促 促 促在海小于400m”、“海积为0.6439公顷”、“公海顷”以及“（ （ （ （辉 辉 辉 辉陈 陈 陈 陈1 4 6 2 0 8 2 1”等混乱和无法识别的内容，建议重新检查并修正这段文字的表述。"海积"应改为"面积"，"公海顷"应改为"公顷"。识别有误的部分需要人工校对确认。</w:t>
        <w:br/>
      </w:r>
    </w:p>
    <w:p>
      <w:pPr>
        <w:pStyle w:val="Heading1"/>
      </w:pPr>
      <w:r>
        <w:t>5. 报告固定内容缺失</w:t>
      </w:r>
    </w:p>
    <w:p>
      <w:r>
        <w:t>该论证报告未发现“附件出现缺失”的问题。</w:t>
      </w:r>
    </w:p>
    <w:p>
      <w:pPr>
        <w:pStyle w:val="Heading1"/>
      </w:pPr>
      <w:r>
        <w:t>6. 图表序号错乱、重复、遗漏等</w:t>
      </w:r>
    </w:p>
    <w:p>
      <w:r>
        <w:t>对于图序号“图1.3.2-2”和“图1.3.2-6”至“图1.3.2-9”出现了序号错乱，其中“图1.3.2-2”重复，而“图1.3.2-6”至“图1.3.2-9”应当在“图1.3.2-5”之后连续出现，但直接从“图1.3.2-5”跳到了“图1.3.2-6”，没有明确的指示说明这四个图是连续的还是独立的系列。</w:t>
        <w:br/>
        <w:br/>
        <w:t>对于图序号“图2.2.2-4”出现了重复，同时在“图2.2.2-4 D1站位海流分层矢量图”与“图2.2.2-4 基面关系图”之间存在冲突，不清楚哪个是正确的序号。</w:t>
        <w:br/>
        <w:br/>
        <w:t>对于图序号“图2.2.2-14 波浪玫瑰图”和“图2.2.2-16 D2站位水温变化曲线”之间，遗漏了“图2.2.2-15”。从“图2.2.2-14”直接跳到了“图2.2.2-16”。</w:t>
        <w:br/>
        <w:br/>
        <w:t>对于图序号“图2.2.3-2 工程地质勘探点位图”和“图2.2.3-3工程地质剖面图”之间，以及“图2.2.3-4 CZK1钻孔柱状图”到“图2.2.3-5 CZK6钻孔柱状图”之间的序号，出现了不连续的情况，具体是“图2.2.3-3”和“图2.2.3-4”之间，“图2.2.3-5”和“图2.2.3-6”之间，“图2.2.3-6”和“图2.2.3-7”之间，以及“图2.2.3-7”和“图2.2.3-8”之间都应当有连续的序号，但是直接跳过了没有列出的序号。然而，由于这些图的序号按照实际内容是连续的，因此这里的“遗漏”实际上是基于序号规则的预期，而不是实际内容上的缺失。</w:t>
        <w:br/>
        <w:br/>
        <w:t>对于图序号“图2.2.3-7 JKZK2钻孔柱状图”和“图2.2.3-8 XZK4钻孔柱状图”之间的序号，同样出现了不连续的情况，具体是“图2.2.3-7”和“图2.2.3-8”之间应当有连续的序号，但是直接跳过了没有列出的序号。这个情况与上述类似，基于序号规则的预期，这里也出现了“遗漏”。</w:t>
        <w:br/>
        <w:br/>
        <w:t>对于表的内容，没有发现明显的序号错乱、重复或遗漏问题。所有表的序号看起来都是连续且唯一的。例如，“表2.2.2-2 潮汐及水深测量数据（单位：m）”到“表2.2.2-3 各海流站位最大流速统计表”之间的序号是连续的，没有出现上述图中发现的问题。但是，对于那些包含数字和非标准格式的表名，如“表 3.79 25.9 32.3453 8.20 5.86 0.97 16.40 0.036 0.008 ND ND”等，虽然它们的排列似乎是连续的，但它们的命名方式不符合常规的序号规则，这可能是因为它们是特定数据表格的一部分，其命名方式可能遵循不同的逻辑或格式。在这些情况下，没有发现明显的序号错误，但命名方式与标准序号格式不符。</w:t>
      </w:r>
    </w:p>
    <w:p>
      <w:pPr>
        <w:pStyle w:val="Heading1"/>
      </w:pPr>
      <w:r>
        <w:t>7. 报告内容漏写图表号、提及图表号但无对应图表</w:t>
      </w:r>
    </w:p>
    <w:p>
      <w:r>
        <w:t>报告中文字提及“图1.4.2-1”，但无对应图件。</w:t>
        <w:br/>
        <w:t>报告中文字提及“图2.2.2海-1”，但无对应图件。</w:t>
        <w:br/>
        <w:t>报告中文字提及“表2.2.2-1”，但无对应表件。</w:t>
      </w:r>
    </w:p>
    <w:p>
      <w:pPr>
        <w:pStyle w:val="Heading1"/>
      </w:pPr>
      <w:r>
        <w:t>8. 是否符合相关法规和政策要求、是否符合编制要求</w:t>
      </w:r>
    </w:p>
    <w:p>
      <w:r>
        <w:t>论证依据审查结果：</w:t>
        <w:br/>
        <w:br/>
        <w:t>1. 《海洋生物质量》（GB/T 18421-2001），国家质量监督检验检疫总局，自2002年3月1日起施行，符合要求。</w:t>
        <w:br/>
        <w:t>2. 《海洋沉积物质量》（GB/T 18668-2002），国家质量监督检验检疫总局，自2002年10月1日起施行，符合要求。</w:t>
        <w:br/>
        <w:t>3. 《船舶水污染物排放控制标准》（GB/T 3552-2018），环境保护局发布，2018年1月16日发布，符合要求。</w:t>
        <w:br/>
        <w:t>4. 《近岸海域环境监测技术规范》（HJ442-2020），生态环境部，2020年，符合要求，具体实施日期需补充。</w:t>
        <w:br/>
        <w:t>5. 《污水综合排放标准》（GB/T 8978-1996），国家环境保护总局，自1998年1月1日起施行，符合要求。</w:t>
        <w:br/>
        <w:t>6. 《广东省固体废物污染环境防治条例》（粤人常〔2022〕124号），广东省人民代表大会常务委员会，自2022年11月30日起施行，符合要求。</w:t>
        <w:br/>
        <w:t>7. 《建设项目对海洋生物资源影响评价技术规程》（SCT9110-2007），农业部，自2008年3月1日起施行，符合要求。</w:t>
        <w:br/>
        <w:t>8. 《国土空间调查、规划、用途管制用地用海分类指南》，自然资源部，2023年11月22日，符合要求。</w:t>
        <w:br/>
        <w:t>9. 《全国海洋功能区划（2011-2020年）》，国家海洋局，2012年3月3日批准，符合要求。</w:t>
        <w:br/>
        <w:t>10. 《全国海洋主体功能区规划》（国发〔2015〕42号），国务院，2015年8月1日，符合要求。</w:t>
        <w:br/>
        <w:t>11. 《广东省国土空间规划（2021-2035年）》（粤府〔2022〕105号），广东省人民政府，2023年12月26日，符合要求。</w:t>
        <w:br/>
        <w:t>12. 《广东省海洋功能区划（2011-2020年）》（粤府函〔2016〕328号），广东省人民政府，2016年10月11日修订，符合要求。</w:t>
        <w:br/>
        <w:br/>
        <w:t>注意点：</w:t>
        <w:br/>
        <w:t>- 对于《近岸海域环境监测技术规范》（HJ442-2020），虽然标注了发布年份，但具体的实施日期需在报告中明确。</w:t>
        <w:br/>
        <w:t>- 所有其他法律、法规、规章和规范性文件均正确标注了发文机关、文号、实施时间，符合规范要求。</w:t>
        <w:br/>
        <w:t>- 标准和规范文件也正确标注了发布机构、标准号、实施时间，满足审查要求。</w:t>
        <w:br/>
        <w:t>- 相关规划文件同样符合规范，标注了发布机关和实施时间。</w:t>
        <w:br/>
        <w:t>- 报告中未提及技术资料部分，如工程可行性研究报告、初步设计报告等，审查时应确保这些资料同样标注了来源和完成时间。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