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eastAsia="Noto Serif CJK SC"/>
          <w:b/>
          <w:i w:val="0"/>
          <w:color w:val="000000"/>
          <w:sz w:val="48"/>
        </w:rPr>
        <w:t>择时六面图</w:t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Noto Serif CJK SC"/>
          <w:b/>
          <w:i w:val="0"/>
          <w:color w:val="000000"/>
          <w:sz w:val="36"/>
        </w:rPr>
        <w:t>数据清洗、指标计算与复刻边界说明</w:t>
      </w:r>
    </w:p>
    <w:p>
      <w:pPr>
        <w:spacing w:before="800" w:after="80" w:line="300" w:lineRule="auto"/>
        <w:jc w:val="center"/>
      </w:pPr>
      <w:r>
        <w:rPr>
          <w:rFonts w:ascii="Times New Roman" w:hAnsi="Times New Roman" w:eastAsia="Noto Serif CJK SC"/>
          <w:b w:val="0"/>
          <w:i w:val="0"/>
          <w:color w:val="000000"/>
          <w:sz w:val="22"/>
        </w:rPr>
        <w:t>对应研报：国盛证券《择时六面图：流动性上行、景气度下行》</w:t>
      </w:r>
    </w:p>
    <w:p>
      <w:pPr>
        <w:jc w:val="center"/>
      </w:pPr>
      <w:r>
        <w:rPr>
          <w:rFonts w:ascii="Times New Roman" w:hAnsi="Times New Roman" w:eastAsia="Noto Serif CJK SC"/>
          <w:b w:val="0"/>
          <w:i w:val="0"/>
          <w:color w:val="000000"/>
          <w:sz w:val="22"/>
        </w:rPr>
        <w:t>实现目录：择时六面图_严谨实现</w:t>
      </w:r>
    </w:p>
    <w:p>
      <w:pPr>
        <w:jc w:val="center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生成日期：2026年7月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20"/>
              </w:rPr>
              <w:t>交付原则：</w:t>
            </w: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20"/>
              </w:rPr>
              <w:t>数据清洗与指标计算分别放在两个代码文件中；计算代码按指标顺序平铺。无法验证的代理指标单独输出，未披露模型不强行复刻，不计算未经披露的六维综合总分。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 w:line="264" w:lineRule="auto"/>
      </w:pPr>
    </w:p>
    <w:p>
      <w:pPr>
        <w:spacing w:before="0" w:after="100" w:line="307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本次实现以压缩包中的原始数据和数据说明为基础，逐项对照研报公开定义。研报共覆盖流动性、经济面、估值面、资金面、技术面和情绪面六类指标；原文对部分公式和阈值有明确披露，但对部分模型、数据口径、平滑参数及综合权重未完整披露。程序因此将结果分为“可按公开规则复现”“透明代理或参数假设”“不能严谨复现”三类。</w:t>
      </w:r>
    </w:p>
    <w:p>
      <w:pPr>
        <w:pStyle w:val="Heading2"/>
        <w:keepNext/>
        <w:spacing w:before="160" w:after="100" w:line="26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948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8"/>
              </w:rPr>
              <w:t>文件/目录</w:t>
            </w:r>
          </w:p>
        </w:tc>
        <w:tc>
          <w:tcPr>
            <w:tcW w:type="dxa" w:w="6633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01_数据清洗.py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只读取 source_data，统一日期、列名、数值、去重和排序；输出 cleaned_data。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02_指标计算.py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只读取 cleaned_data，按指标顺序计算；严格输出与代理输出分目录保存。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source_data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从原压缩包中筛选出的本次实际使用的原始数据。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cleaned_data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标准化后的数据；全部CSV使用UTF-8-SIG，Excel可直接打开。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results/indicator_outputs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按研报公开规则可以复现或近似复现的指标结果。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results/proxy_outputs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数据口径不一致、季调方法未披露或需要参数假设的代理结果。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results/最新信号汇总.csv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每个指标最新日期、数值、信号、复刻等级与边界说明。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results/研报2022时点复核.csv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按研报日当时可用统计期进行方向复核，不提前使用后来公布的数据。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 w:line="264" w:lineRule="auto"/>
      </w:pP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862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6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40" w:line="288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进入“择时六面图_严谨实现”目录。</w:t>
      </w:r>
    </w:p>
    <w:p>
      <w:pPr>
        <w:pStyle w:val="ListBullet"/>
        <w:spacing w:before="0" w:after="40" w:line="288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运行：python 01_数据清洗.py</w:t>
      </w:r>
    </w:p>
    <w:p>
      <w:pPr>
        <w:pStyle w:val="ListBullet"/>
        <w:spacing w:before="0" w:after="40" w:line="288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确认清洗审计表无重复日期和异常空值后，运行：python 02_指标计算.py</w:t>
      </w:r>
    </w:p>
    <w:p>
      <w:pPr>
        <w:pStyle w:val="ListBullet"/>
        <w:spacing w:before="0" w:after="40" w:line="288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计算脚本不会回读原始数据，也不会在计算阶段改列名或补做清洗。</w:t>
      </w:r>
    </w:p>
    <w:p>
      <w:r>
        <w:br w:type="page"/>
      </w:r>
    </w:p>
    <w:p>
      <w:pPr>
        <w:pStyle w:val="Heading2"/>
        <w:keepNext/>
        <w:spacing w:before="160" w:after="100" w:line="26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9"/>
              </w:rPr>
              <w:t>编码</w:t>
            </w:r>
          </w:p>
        </w:tc>
        <w:tc>
          <w:tcPr>
            <w:tcW w:type="dxa" w:w="7880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9"/>
              </w:rPr>
              <w:t>+1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9"/>
              </w:rPr>
              <w:t>看多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9"/>
              </w:rPr>
              <w:t>中性或未触发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9"/>
              </w:rPr>
              <w:t>-1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9"/>
              </w:rPr>
              <w:t>看空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9"/>
              </w:rPr>
              <w:t>空值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9"/>
              </w:rPr>
              <w:t>报告未披露方向、数据不足或不可计算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20"/>
              </w:rPr>
              <w:t>时间口径：</w:t>
            </w: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20"/>
              </w:rPr>
              <w:t>月度CSV中的 date 是统计期末，并不自动等于市场当时可获得该数据的发布日期。除名义GDP采用保守可用日期映射外，其他月度指标在用于严格回测前仍须补充实际发布日期。日度指标若用于交易，也应在下一交易日执行，不能用当日收盘后形成的信号按当日收盘成交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4" w:lineRule="auto"/>
      </w:pPr>
    </w:p>
    <w:p>
      <w:pPr>
        <w:spacing w:before="0" w:after="100" w:line="307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以下修正直接决定能否称为“复刻”。程序没有沿用压缩包说明中与研报不一致的口径，而是优先按照研报原文和图例处理；无法补齐的数据明确降级为代理或不可计算。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6"/>
              </w:rPr>
              <w:t>指标</w:t>
            </w:r>
          </w:p>
        </w:tc>
        <w:tc>
          <w:tcPr>
            <w:tcW w:type="dxa" w:w="3685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6"/>
              </w:rPr>
              <w:t>发现的问题</w:t>
            </w:r>
          </w:p>
        </w:tc>
        <w:tc>
          <w:tcPr>
            <w:tcW w:type="dxa" w:w="4082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6"/>
              </w:rPr>
              <w:t>本次处理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DR007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压缩包为合成水平序列，缺7天逆回购政策利率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只输出DR007水平代理；不冒充DR007/政策利率-1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SHIBOR 1W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说明曾建议以DR007替代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保留SHIBOR独立指标，因为研报同时使用两者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M2-GDP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说明使用实际GDP同比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改为现价累计GDP自行计算名义同比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信贷脉冲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说明使用滚动同比或12月变化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改为社融增量季调后环比；STL仅作为透明代理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发电量同比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实际文件是全社会用电量同比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单独标注用电量代理，不称为发电量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A股景气度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用PMI与PPI标准化替代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不接受该替代；原指标是利润Nowcasting模型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PE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旧处理曾选指数整体PE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按研报使用成分股PE_TTM中位数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股权风险溢价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旧说明使用1/PE减国债收益率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按研报使用(1/PE)/10年国债收益率，再做5年Z-score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AIAE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压缩包为总市值/GDP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判定为巴菲特指标，不能替代AIAE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北向资金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说明使用均值±2倍标准差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按研报改为前120日均值±1倍标准差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均线排列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存在多组均线或不一致参数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按图例使用10日、30日、60日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RSI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普通单线RSI或默认14日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按研报采用RSI6快线、RSI24慢线及20/80状态机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新高新低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文件只有15个行业指数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作为行业广度代理，不能代表全市场股票占比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行业分歧度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底层不是PCA第一主成分解释比例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仅按自身历史标准化输出代理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基金仓位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全市场基金季度配置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不能等同于主动权益基金带约束回归高频仓位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SKEW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文件为QVIX收益率滚动偏度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判定口径错误，不计算期权隐含SKEW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 w:line="26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494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7"/>
              </w:rPr>
              <w:t>分类</w:t>
            </w:r>
          </w:p>
        </w:tc>
        <w:tc>
          <w:tcPr>
            <w:tcW w:type="dxa" w:w="7087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7"/>
              </w:rPr>
              <w:t>指标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7"/>
              </w:rPr>
              <w:t>可按公开规则复现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7"/>
              </w:rPr>
              <w:t>SHIBOR 1W、M1、M1-PPI、M2-名义GDP、PMI、CPI、PPI、PE中位数、PB、ERP、北向资金、均线排列、布林带、RSI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7"/>
              </w:rPr>
              <w:t>事件可复现但方向未披露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7"/>
              </w:rPr>
              <w:t>新增开户数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7"/>
              </w:rPr>
              <w:t>透明代理/参数假设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7"/>
              </w:rPr>
              <w:t>DR007水平、信贷脉冲、发电量、两融趋势、均线距离、量价时钟、成交热度、行业分歧度、基金仓位、QVIX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7"/>
              </w:rPr>
              <w:t>不能严谨复现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7"/>
              </w:rPr>
              <w:t>库存周期、A股景气度、DCF、AIAE、NLP、CPR、期权SKEW；股息率仅有最近20日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 w:line="264" w:lineRule="auto"/>
      </w:pPr>
    </w:p>
    <w:p>
      <w:pPr>
        <w:spacing w:before="0" w:after="100" w:line="307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清洗脚本只做数据层处理，不产生择时信号。所有输入文件均被复制到独立 source_data，避免依赖原压缩包的深层目录和中文乱码文件名。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880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日期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统一转为 pandas 日期；月度数据统一落在统计月末，季度数据落在季度末。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数值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无法转换的文本设为缺失；价格与指数收盘价要求大于0。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重复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同一日期保留最后一条，随后按日期升序排列。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连接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CPI与PPI按月份外连接；PE与PB按交易日外连接；沪深两市两融按日期合并。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GDP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使用现价累计绝对值，按同季度上年值计算名义累计同比；同时生成保守可用日期。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审计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输出行数、起止日期、重复日期数和总缺失单元格数。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编码</w:t>
            </w:r>
          </w:p>
        </w:tc>
        <w:tc>
          <w:tcPr>
            <w:tcW w:type="dxa" w:w="7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全部CSV输出为UTF-8-SIG，避免Windows Excel中文乱码。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4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20"/>
              </w:rPr>
              <w:t>分位数与标准化的统一处理：</w:t>
            </w: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20"/>
              </w:rPr>
              <w:t>历史分位数均只使用前一期及更早数据，避免当前值进入当前阈值。5年日度标准化采用约1250个交易日；样本不足时不输出信号。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 w:line="264" w:lineRule="auto"/>
      </w:pP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原研报：Wind；本实现：SHIBOR_1W完整序列.csv。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8983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b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9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先计算1周SHIBOR的60日均线，再以截至前一日的历史10%分位数作为动态阈值。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MA60低于历史10%分位数时记+1，否则记0。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仅能输出代理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原研报：Wind；本实现缺7天逆回购利率，仅有DR007合成水平序列。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78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0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第一行是研报所需精确公式；第二行是本次实际可计算的水平代理。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代理MA60低于其历史10%分位数时记+1。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必须补齐央行7天逆回购操作利率历史后，才能替换代理并严格复刻。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原研报：Wind；底层通常来自中国人民银行；本实现：货币供应量.csv。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004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使用官方M1同比序列；6个月均线代表短趋势，12个月均线代表长趋势。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MA6&gt;MA12记+1；MA6&lt;MA12记-1。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中国人民银行M1与国家统计局PPI；本实现对应两个清洗文件。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781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p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1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差值单位为百分点，再对差值计算6个月和12个月均线。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MA6高于MA12看多，低于MA12看空。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可复现；发布日期采用保守近似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M2来自货币供应量；GDP使用国家统计局现价累计值。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835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gd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3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名义GDP不是新闻中常见的实际GDP增速；季度值按可用日向后匹配到月度M2。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E&gt;0记+1，E&lt;0记-1。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透明代理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社融增量来自中国人民银行；研报Wind季调算法未披露。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797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7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将月度社融增量补齐为连续月度序列，用STL(period=12, robust=True)剔除季节项；只有相邻季调值均为正时计算环比。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Pulse&gt;5%记一次看多事件，否则不触发。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2022年研报时点，STL代理与研报信号不一致，说明季调方法是关键敏感项。</w:t>
      </w:r>
    </w:p>
    <w:p>
      <w:pPr>
        <w:pStyle w:val="Heading2"/>
        <w:keepNext/>
        <w:spacing w:before="160" w:after="100" w:line="264" w:lineRule="auto"/>
      </w:pP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国家统计局制造业PMI；本实现：制造业PMI.csv。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0042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不使用50点作为唯一择时阈值，而是比较中短期趋势。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MA6&gt;MA12记+1，MA6&lt;MA12记-1。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只能使用用电量代理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研报使用发电量同比；压缩包实际文件为全社会用电量同比，底层通常来自国家能源局。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对全社会用电量同比计算MA6与MA12。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MA6&gt;MA12代理看多，MA6&lt;MA12代理看空。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发电量与用电量不是同一序列，代理输出单独存放。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不能严谨复现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原报告只说明“经济景气指数+库存景气指数”，未给底层序列和趋势算法。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4330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可明确四阶段逻辑，但不能生成国盛原始阶段序列。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被动去库和主动补库看多；被动补库看空；主动去库中性。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程序不使用营收与产成品库存等替代变量冒充原模型。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不能严谨复现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原报告：Wind数据和国盛内部Nowcasting模型。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per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目标为上证指数归母净利润同比；解释变量、训练窗口、模型形式和实时缺失处理均未披露。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景气上行看多，景气下行看空。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压缩包中的PMI+PPI标准化组合不能替代该盈利Nowcasting模型。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国家统计局；本实现：CPI.csv和PPI.csv。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4330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分别对CPI同比和PPI同比计算扩展历史10%与90%分位数；至少36个月历史样本。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低位看多，高位看空，中间中性。</w:t>
      </w:r>
    </w:p>
    <w:p>
      <w:pPr>
        <w:pStyle w:val="Heading2"/>
        <w:keepNext/>
        <w:spacing w:before="160" w:after="100" w:line="264" w:lineRule="auto"/>
      </w:pP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原研报：Wind；本实现：中证800PE.csv中的“滚动市盈率中位数”。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直接使用压缩包已经构造好的历史中位数序列。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PE中位数不高于20倍记+1，否则记0。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2022-07-29压缩包值为22.12倍，而研报Wind值为20.43倍，存在数据源口径差异。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数据不足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压缩包只有2026年最近20个交易日，且股息率1/2字段定义未说明。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den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保留并清洗原始20日数据，不生成历史信号。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研报规则：高于2.5%看多，低于1.5%看空。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需要完整历史指数股息率及字段定义。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原研报：Wind；本实现：中证800PB.csv中的指数市净率。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7735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直接使用压缩包指数PB序列。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PB不高于1.4倍记+1，否则记0。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研报会对“接近1.4”作主观偏多；机械代码不擅自增加缓冲区。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中证800整体PE_TTM与中国10年期国债收益率。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8061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6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国债收益率先由百分数转为小数；5年窗口约1250个交易日，至少1000日后输出Z值。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Z&gt;1.5记+1；Z&lt;-1.5记-1；其余记0。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严格使用比值法，不使用1/PE减国债收益率。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不能严谨复现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研报基于中证800 ROE、分红率和内部二阶段模型。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8576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5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研报只披露n2取25年，未披露贴现率、ROE衰减、分红率路径、终值和估值带。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市场PE明显低于合理PE看多，明显高于合理PE看空。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不能严谨复现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研报公式需要股票市值、债券市值和现金；压缩包仅有总市值/GDP。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a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总市值/GDP是巴菲特指标，分母完全不同。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AIAE低于15%为底部看多。</w:t>
      </w:r>
    </w:p>
    <w:p>
      <w:pPr>
        <w:pStyle w:val="Heading2"/>
        <w:keepNext/>
        <w:spacing w:before="160" w:after="100" w:line="264" w:lineRule="auto"/>
      </w:pP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事件可复现，方向未披露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中国结算口径的月度新增投资者数据；本实现：新增投资者.csv。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当前月与此前6个月最大值比较，当前月不进入阈值。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达到新高时输出“反转预警”；未触发时为中性。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研报没有披露反转方向的机械判断，因此不强行给+1或-1。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沪深港通日度净买入数据；本实现：北向资金.csv。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4330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t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均值和标准差只使用此前120个交易日，避免当天值影响当天阈值。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突破上限切换看多；跌破下限切换看空；区间内维持上次状态。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压缩包净买入序列止于2024-08-16。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透明代理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沪深交易所两融数据合并；研报未披露趋势识别参数。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78168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1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B为沪深两市融资融券余额合计。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MA60高于MA120代理看多，反之代理看空。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2022研报时点与原报告方向不同，说明该参数不能视为原模型。</w:t>
      </w:r>
    </w:p>
    <w:p>
      <w:pPr>
        <w:pStyle w:val="Heading2"/>
        <w:keepNext/>
        <w:spacing w:before="160" w:after="100" w:line="264" w:lineRule="auto"/>
      </w:pP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可按图例公开参数复现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中证800日收盘价。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计算10、30、60日简单移动平均。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形成多头排列记+1，否则不触发。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参数假设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研报公开±3%阈值，但未写明长短均线长度。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d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采用压缩包现有的MA10/MA60设定。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D&gt;3%看多，D&lt;-3%看空，其余震荡。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按公开触发逻辑；标准参数假设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中证800日收盘价。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lling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标准差采用总体标准差(ddof=0)。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前一日高于上轨、当日回到上轨内：做空触发；前一日低于下轨、当日回到下轨上方：做多触发。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研报未披露布林窗口和倍数，采用市场标准20日±2σ。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可按公开规则复现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中证800日收盘价。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i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用Wilder方法分别计算RSI6快线与RSI24慢线。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快线下穿20后进入等待；随后上穿慢线切换看多。快线上穿80后进入等待；随后下穿慢线切换看空。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行业指数代理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研报需要全市场股票；压缩包只有15个行业指数。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在15个行业指数上计算占比。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新高占比达到10%代理看空；新低占比达到10%代理看多。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不能把15个行业指数的占比解释为全市场股票广度。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透明代理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中证800日收盘价与成交额。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1073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分别判断成交额和20日年化波动率的20/60日趋势。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仅“波动上+成交下”记-1；其他三个象限记+1。</w:t>
      </w:r>
    </w:p>
    <w:p>
      <w:pPr>
        <w:spacing w:before="0" w:after="10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边界说明：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研报未披露趋势滤波参数，本实现只提供透明可解释版本。</w:t>
      </w:r>
    </w:p>
    <w:p>
      <w:pPr>
        <w:pStyle w:val="Heading2"/>
        <w:keepNext/>
        <w:spacing w:before="160" w:after="100" w:line="264" w:lineRule="auto"/>
      </w:pP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代理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研报使用沪深300过去三个月成交金额；压缩包缺该成交金额，改用中证800成交额。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7816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1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以5年滚动均值和标准差判断极端情绪。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Z&lt;-1代理看多；Z&gt;1代理看空；其余中性。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代理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研报定义为100%-过去10日行业收益率第一主成分解释比例；压缩包底层不是该公式。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65411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ergenc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本次不重构原PCA指标，仅对压缩包代理序列做MA20与5年Z-score。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代理Z&lt;-1看多，Z&gt;1看空。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代理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压缩包是全市场基金季度资产配置，不是主动权益基金带约束回归仓位。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季度配置向后匹配到交易日，再做5日平滑与5年标准化。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Z&lt;-1代理看多，Z&gt;1代理看空。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不能严谨复现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压缩包对应文件为空占位；没有论坛原文、词典、模型或历史打分。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无法计算。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研报规则为低于-1倍标准差看多，高于+1倍标准差看空。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不能严谨复现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压缩包没有完整认购与认沽成交金额历史。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无法构造MA20和历史标准差阈值。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低位反向看多，高位反向看空。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数据可用但窗口假设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压缩包50ETF_QVIX.csv。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x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研报未披露±1σ的滚动窗口，本实现采用5年。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Z&gt;1代表恐慌高位，反向记+1；其余中性。</w:t>
      </w:r>
    </w:p>
    <w:p>
      <w:pPr>
        <w:pStyle w:val="Heading3"/>
        <w:keepNext/>
        <w:spacing w:before="160" w:after="100" w:line="264" w:lineRule="auto"/>
      </w:pP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复刻等级：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不能严谨复现</w:t>
      </w:r>
    </w:p>
    <w:p>
      <w:pPr>
        <w:spacing w:before="0" w:after="60" w:line="276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数据来源：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压缩包所谓SKEW是QVIX收益率滚动偏度，不是期权隐含分布SKEW。</w:t>
      </w:r>
    </w:p>
    <w:p>
      <w:pPr>
        <w:spacing w:before="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3740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w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计算：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不输出错误口径结果。</w:t>
      </w:r>
    </w:p>
    <w:p>
      <w:pPr>
        <w:spacing w:before="0" w:after="60" w:line="293" w:lineRule="auto"/>
      </w:pPr>
      <w:r>
        <w:rPr>
          <w:rFonts w:ascii="Times New Roman" w:hAnsi="Times New Roman" w:eastAsia="Noto Serif CJK SC"/>
          <w:b/>
          <w:i w:val="0"/>
          <w:color w:val="000000"/>
          <w:sz w:val="20"/>
        </w:rPr>
        <w:t>信号：</w:t>
      </w:r>
      <w:r>
        <w:rPr>
          <w:rFonts w:ascii="Times New Roman" w:hAnsi="Times New Roman" w:eastAsia="Noto Serif CJK SC"/>
          <w:b w:val="0"/>
          <w:i w:val="0"/>
          <w:color w:val="000000"/>
          <w:sz w:val="20"/>
        </w:rPr>
        <w:t>研报中SKEW低位看多，高位看空。</w:t>
      </w:r>
    </w:p>
    <w:p>
      <w:pPr>
        <w:pStyle w:val="Heading1"/>
        <w:keepNext/>
        <w:spacing w:before="200" w:after="100" w:line="26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984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597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历史分位数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使用 expanding().quantile(q).shift(1)，即当前阈值只由以前数据决定。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日度5年窗口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按1250个交易日近似；ERP至少1000日，部分代理至少750日后计算。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标准差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滚动Z-score采用样本标准差ddof=1；布林带采用总体标准差ddof=0。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RSI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采用Wilder指数平滑，而不是简单移动平均版本。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北向资金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120日均值和标准差整体shift(1)，避免当天流量影响当天上下限。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社融季调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STL只是一种可审计代理；负的季调社融水平不参与比例环比。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名义GDP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由现价累计绝对值自行计算，不使用官方实际GDP同比。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综合分数</w:t>
            </w:r>
          </w:p>
        </w:tc>
        <w:tc>
          <w:tcPr>
            <w:tcW w:type="dxa" w:w="75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8"/>
              </w:rPr>
              <w:t>未计算六维[-5,5]总分，因为指标权重、接近阈值的半分规则和维度聚合方法未披露。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 w:line="264" w:lineRule="auto"/>
      </w:pPr>
    </w:p>
    <w:p>
      <w:pPr>
        <w:pStyle w:val="ListBullet"/>
        <w:spacing w:before="0" w:after="40" w:line="288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M1、M2、社融、CPI、PPI、用电量、基金配置和新增投资者的实际发布日期。</w:t>
      </w:r>
    </w:p>
    <w:p>
      <w:pPr>
        <w:pStyle w:val="ListBullet"/>
        <w:spacing w:before="0" w:after="40" w:line="288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财务和估值指标若自行由个股数据计算，需要历史成分股和财报公告日期。</w:t>
      </w:r>
    </w:p>
    <w:p>
      <w:pPr>
        <w:pStyle w:val="ListBullet"/>
        <w:spacing w:before="0" w:after="40" w:line="288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日度收盘数据形成的信号，应在下一交易日执行。</w:t>
      </w:r>
    </w:p>
    <w:p>
      <w:pPr>
        <w:pStyle w:val="ListBullet"/>
        <w:spacing w:before="0" w:after="40" w:line="288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北向资金字段在2024年8月后停止，不能把空值当作零流入。</w:t>
      </w:r>
    </w:p>
    <w:p>
      <w:pPr>
        <w:pStyle w:val="Heading1"/>
        <w:keepNext/>
        <w:spacing w:before="200" w:after="100" w:line="264" w:lineRule="auto"/>
      </w:pPr>
    </w:p>
    <w:p>
      <w:pPr>
        <w:spacing w:before="0" w:after="100" w:line="307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该复核按照研报日前通常已公布的统计期取值：M1、M2、CPI、PPI、社融和用电量使用2022年6月；PMI使用2022年7月；日度市场数据使用2022年7月29日。它仍不是带完整官方发布日期日历的严格回测，但避免了最明显的“使用尚未公布7月宏观数据”问题。</w:t>
      </w:r>
    </w:p>
    <w:p>
      <w:pPr>
        <w:pStyle w:val="Heading2"/>
        <w:keepNext/>
        <w:spacing w:before="160" w:after="100" w:line="26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871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6"/>
              </w:rPr>
              <w:t>指标</w:t>
            </w:r>
          </w:p>
        </w:tc>
        <w:tc>
          <w:tcPr>
            <w:tcW w:type="dxa" w:w="1134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6"/>
              </w:rPr>
              <w:t>研报</w:t>
            </w:r>
          </w:p>
        </w:tc>
        <w:tc>
          <w:tcPr>
            <w:tcW w:type="dxa" w:w="2608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6"/>
              </w:rPr>
              <w:t>本实现</w:t>
            </w:r>
          </w:p>
        </w:tc>
        <w:tc>
          <w:tcPr>
            <w:tcW w:type="dxa" w:w="3969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信贷脉冲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中性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看多事件：季调社融环比超过5%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STL代理在该时点触发看多，表明季调方法对结果非常敏感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PE_TTM中位数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看多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中性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压缩包序列为22.12倍，与研报Wind口径存在差异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中证800股息率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看多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不可计算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压缩包只有2026年最近20个交易日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中证800 PB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看多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中性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机械规则仅在PB不高于1.4时看多；研报对接近底部作主观偏多判断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DCF估值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中性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不可计算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模型参数未披露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AIAE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看多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不可计算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压缩包只有总市值/GDP，不是AIAE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融资融券余额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看多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代理看空：两融余额下行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研报未披露趋势算法；MA60/MA120透明代理在该时点方向不同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行业分歧度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中性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代理中性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底层不是研报PCA公式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东方财富NLP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看多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不可计算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缺数据和文本模型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期权CPR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看多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不可计算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缺认购/认沽成交金额历史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50ETF期权SKEW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看多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不可计算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6"/>
              </w:rPr>
              <w:t>压缩包SKEW口径错误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 w:line="26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1814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1474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数据期</w:t>
            </w:r>
          </w:p>
        </w:tc>
        <w:tc>
          <w:tcPr>
            <w:tcW w:type="dxa" w:w="1474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本实现值</w:t>
            </w:r>
          </w:p>
        </w:tc>
        <w:tc>
          <w:tcPr>
            <w:tcW w:type="dxa" w:w="1020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研报</w:t>
            </w:r>
          </w:p>
        </w:tc>
        <w:tc>
          <w:tcPr>
            <w:tcW w:type="dxa" w:w="2891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本实现</w:t>
            </w:r>
          </w:p>
        </w:tc>
        <w:tc>
          <w:tcPr>
            <w:tcW w:type="dxa" w:w="680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一致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DR007偏离度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1.8631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代理看多：DR007水平处于历史低位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SHIBOR 1W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1.7153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看多：短端资金处于历史低位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M1同比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2022-06-30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5.8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看多：M1同比上行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M1同比-PPI同比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2022-06-30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-0.3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看多：剪刀差上行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M2同比-名义GDP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2022-07-31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5.2765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看多：M2增速高于名义GDP增速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信贷脉冲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2022-06-30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12.4331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看多事件：季调社融环比超过5%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制造业PMI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2022-07-31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49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看空：PMI趋势下行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发电量同比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2022-06-30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2.9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代理看空：用电量趋势下行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CPI同比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2022-06-30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2.5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PPI同比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2022-06-30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6.1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PE_TTM中位数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22.12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中证800股息率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中证800 PB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1.49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股权风险溢价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1.565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看多：股权风险溢价高于1.5个标准差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DCF估值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AIAE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新增开户数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2022-06-30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133.03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未触发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北向资金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-17.1896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看多状态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融资融券余额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1.627万亿元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代理看空：两融余额下行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均线排列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4,523.31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未触发多头排列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均线距离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1.238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震荡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布林带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4,523.31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中性：当前未触发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RSI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28.8532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看空状态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新高新低占比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代理中性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成交额+波动率时钟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0.1363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看多/低风险象限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成交热度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0.7543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行业分歧度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代理中性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偏股基金仓位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1.0741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代理看空：基金股票仓位偏高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东方财富NLP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期权CPR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50ETF期权VIX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2022-07-29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0.0796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50ETF期权SKEW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4" w:lineRule="auto"/>
      </w:pPr>
    </w:p>
    <w:p>
      <w:pPr>
        <w:spacing w:before="0" w:after="100" w:line="307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下表仅汇总各指标最新可用记录。由于不同文件的结束日期不同，不能把同一行表格误解为同一个实时截面；特别是北向资金止于2024年8月、新增投资者止于2023年8月，股息率只有2026年最近20个交易日。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020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维度</w:t>
            </w:r>
          </w:p>
        </w:tc>
        <w:tc>
          <w:tcPr>
            <w:tcW w:type="dxa" w:w="2381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1417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最新日期</w:t>
            </w:r>
          </w:p>
        </w:tc>
        <w:tc>
          <w:tcPr>
            <w:tcW w:type="dxa" w:w="3005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信号</w:t>
            </w:r>
          </w:p>
        </w:tc>
        <w:tc>
          <w:tcPr>
            <w:tcW w:type="dxa" w:w="1757"/>
            <w:shd w:fill="D9E1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15"/>
              </w:rPr>
              <w:t>复刻等级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流动性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SHIBOR 1W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2026-07-23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看多：短端资金处于历史低位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流动性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DR007偏离度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2026-07-24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代理看多：DR007水平处于历史低位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流动性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M1同比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2026-06-30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看空：M1同比下行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流动性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M1同比-PPI同比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2026-06-30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看空：剪刀差下行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流动性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M2同比-名义GDP增速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2026-06-30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看多：M2增速高于名义GDP增速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可复现；GDP发布日期采用保守近似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流动性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信贷脉冲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2026-06-30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未触发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经济面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制造业PMI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2026-06-30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看多：PMI趋势上行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经济面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发电量同比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2026-06-30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代理看多：用电量趋势上行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经济面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CPI同比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2026-06-30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经济面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PPI同比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2026-06-30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经济面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库存周期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缺数据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经济面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A股景气度指数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模型未披露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估值面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中证800成分股PE_TTM中位数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2026-07-23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估值面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中证800股息率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2026-07-23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不评分：历史长度及字段定义不足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数据不足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估值面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中证800 PB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2026-07-23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估值面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中证800股权风险溢价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2026-07-23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估值面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中证800 DCF估值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模型未披露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估值面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AIAE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口径不符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资金面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A股账户新增开户数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2023-08-31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未触发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事件可复现；方向未披露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资金面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北向资金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2024-08-16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看空状态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资金面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融资融券余额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2026-07-23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代理看多：两融余额上行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透明代理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技术面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均线排列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2026-07-24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未触发多头排列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可按图表公开参数复现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技术面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均线距离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2026-07-24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看空：短均线低于长均线3%以上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参数假设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技术面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布林带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2026-07-24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中性：当前未触发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可按公开规则复现；标准参数MA20±2σ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技术面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RSI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2026-07-24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看空状态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可按公开规则复现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技术面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250日新高/新低占比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2026-07-23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代理中性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技术面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成交额+波动率时钟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2026-07-24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看多/低风险象限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透明代理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情绪面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成交热度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2026-07-24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代理看空：成交情绪过热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情绪面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行业分歧度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2026-07-23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代理看空：行业分歧较高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情绪面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偏股基金仓位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2026-07-24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代理中性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代理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情绪面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东方财富NLP情绪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缺数据/模型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情绪面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50ETF期权VIX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2026-07-23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中性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窗口假设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情绪面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期权认购认沽成交比率CPR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缺数据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情绪面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50ETF期权SKEW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不可计算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15"/>
              </w:rPr>
              <w:t>口径错误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4" w:lineRule="auto"/>
      </w:pPr>
    </w:p>
    <w:p>
      <w:pPr>
        <w:spacing w:before="0" w:after="100" w:line="307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本次工作完成了可审计的数据清洗层、逐项平铺的计算层、严格结果与代理结果分流、2022研报时点方向复核，以及最新信号和复刻边界汇总。计算脚本没有采用类、配置文件、流水线框架或插件式设计，核心公式均可在对应指标小节直接找到。</w:t>
      </w:r>
    </w:p>
    <w:p>
      <w:pPr>
        <w:spacing w:before="0" w:after="100" w:line="307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要进一步接近国盛原始六面图，优先级最高的数据是：央行7天逆回购利率历史、规模以上工业发电量同比、完整中证800历史股息率、全市场个股250日新高新低、行业日收益矩阵、主动权益基金高频净值及基准暴露、50ETF期权全合约成交金额与隐含波动率曲面。即使补齐这些数据，库存周期、A股景气度Nowcasting、DCF、AIAE和最终六维综合权重仍需要原作者更完整的方法说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 w:eastAsia="Noto Serif CJK SC"/>
                <w:b/>
                <w:i w:val="0"/>
                <w:color w:val="000000"/>
                <w:sz w:val="20"/>
              </w:rPr>
              <w:t>最终判断：</w:t>
            </w:r>
            <w:r>
              <w:rPr>
                <w:rFonts w:ascii="Times New Roman" w:hAnsi="Times New Roman" w:eastAsia="Noto Serif CJK SC"/>
                <w:b w:val="0"/>
                <w:i w:val="0"/>
                <w:color w:val="000000"/>
                <w:sz w:val="20"/>
              </w:rPr>
              <w:t>当前结果可以作为“研报公开规则的透明复建版本”，不能声称是国盛内部模型的逐点完全复制。所有代理、窗口假设和不可计算项均已在文件名、汇总表和本文中明确标识。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4" w:lineRule="auto"/>
      </w:pPr>
    </w:p>
    <w:p>
      <w:pPr>
        <w:spacing w:before="0" w:after="100" w:line="307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国盛证券研究所，2022年7月31日，《量化分析报告：择时六面图——流动性上行、景气度下行》。</w:t>
      </w:r>
    </w:p>
    <w:p>
      <w:pPr>
        <w:spacing w:before="0" w:after="100" w:line="307" w:lineRule="auto"/>
      </w:pPr>
      <w:r>
        <w:rPr>
          <w:rFonts w:ascii="Times New Roman" w:hAnsi="Times New Roman" w:eastAsia="Noto Serif CJK SC"/>
          <w:b w:val="0"/>
          <w:i w:val="0"/>
          <w:color w:val="000000"/>
          <w:sz w:val="21"/>
        </w:rPr>
        <w:t>原始数据与数据说明：用户上传的“研报数据爬取.zip”及其中最新工作手册。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erif CJK SC"/>
        <w:b w:val="0"/>
        <w:i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center"/>
    </w:pPr>
    <w:r>
      <w:rPr>
        <w:rFonts w:ascii="Times New Roman" w:hAnsi="Times New Roman" w:eastAsia="Noto Serif CJK SC"/>
        <w:b w:val="0"/>
        <w:i w:val="0"/>
        <w:color w:val="000000"/>
        <w:sz w:val="18"/>
      </w:rPr>
      <w:t>国盛证券“择时六面图”数据清洗与指标计算说明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erif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择时六面图：数据清洗与指标计算说明</dc:title>
  <dc:subject>国盛证券择时六面图公开规则复建</dc:subject>
  <dc:creator>OpenAI</dc:creator>
  <cp:keywords>择时六面图, 数据清洗, 指标计算, 量化研究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