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AA3202"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对100hz信号响应两设备一致，自研设备为全部点位显示，而光谷互联为抽样显示。</w:t>
      </w:r>
    </w:p>
    <w:p w14:paraId="719C4DDD"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光谷互联设备对低频信号进行滤波处理，是为了滤除激光器相位噪声das设备的一种常规做法，</w:t>
      </w:r>
    </w:p>
    <w:p w14:paraId="0DB05C6D"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光谷互联设备没有高频特征噪声</w:t>
      </w:r>
    </w:p>
    <w:p w14:paraId="20302558">
      <w:pPr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4.自研设备脉宽设备为100ns，标距为10m，光谷互联设备设置的10ns脉宽，标距0.5m</w:t>
      </w:r>
    </w:p>
    <w:p w14:paraId="0B1AF04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的高频信噪比（100hz以上）优于光谷互联设备，是因为该设置为增加空间分辨率，而降低了信噪比。</w:t>
      </w:r>
    </w:p>
    <w:p w14:paraId="67A319C2">
      <w:pPr>
        <w:jc w:val="both"/>
        <w:rPr>
          <w:rFonts w:hint="eastAsia"/>
          <w:lang w:val="en-US" w:eastAsia="zh-CN"/>
        </w:rPr>
      </w:pPr>
    </w:p>
    <w:p w14:paraId="38672145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5.光谷互联设备，标距，脉宽和点位间隔，是解绑的三个参数，使得工程上可调节其适应性更强，而自研设备三个参数自动为一个值需要改进</w:t>
      </w:r>
    </w:p>
    <w:p w14:paraId="5D108493">
      <w:pPr>
        <w:jc w:val="both"/>
        <w:rPr>
          <w:rFonts w:hint="default" w:eastAsiaTheme="minorEastAsia"/>
          <w:lang w:val="en-US" w:eastAsia="zh-CN"/>
        </w:rPr>
      </w:pPr>
    </w:p>
    <w:p w14:paraId="5B076D26">
      <w:pPr>
        <w:jc w:val="both"/>
        <w:rPr>
          <w:rFonts w:hint="default" w:eastAsiaTheme="minorEastAsia"/>
          <w:lang w:val="en-US" w:eastAsia="zh-CN"/>
        </w:rPr>
      </w:pPr>
      <w:bookmarkStart w:id="0" w:name="_GoBack"/>
      <w:bookmarkEnd w:id="0"/>
    </w:p>
    <w:p w14:paraId="1ABC0159">
      <w:pPr>
        <w:jc w:val="center"/>
        <w:rPr>
          <w:rFonts w:hint="eastAsia" w:eastAsiaTheme="minorEastAsia"/>
          <w:lang w:eastAsia="zh-CN"/>
        </w:rPr>
      </w:pPr>
    </w:p>
    <w:p w14:paraId="60640E18">
      <w:pPr>
        <w:jc w:val="center"/>
        <w:rPr>
          <w:rFonts w:hint="eastAsia" w:eastAsiaTheme="minorEastAsia"/>
          <w:lang w:eastAsia="zh-CN"/>
        </w:rPr>
      </w:pPr>
    </w:p>
    <w:p w14:paraId="0931C3E9">
      <w:pPr>
        <w:jc w:val="center"/>
        <w:rPr>
          <w:rFonts w:hint="eastAsia" w:eastAsiaTheme="minorEastAsia"/>
          <w:lang w:eastAsia="zh-CN"/>
        </w:rPr>
      </w:pPr>
    </w:p>
    <w:p w14:paraId="6E93BBE2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153285" cy="2872740"/>
            <wp:effectExtent l="0" t="0" r="18415" b="3810"/>
            <wp:docPr id="1" name="图片 1" descr="470d5c283576c7b9a0972c9b11bc3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70d5c283576c7b9a0972c9b11bc34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3285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317625" cy="2867660"/>
            <wp:effectExtent l="0" t="0" r="15875" b="8890"/>
            <wp:docPr id="2" name="图片 2" descr="75795daf33ef4dcd580f0c57be3c7d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5795daf33ef4dcd580f0c57be3c7d8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17625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4B3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将音响置于光纤之上，播放100hz，低音量音乐分析响应</w:t>
      </w:r>
    </w:p>
    <w:p w14:paraId="5FA433A9">
      <w:pPr>
        <w:jc w:val="both"/>
        <w:rPr>
          <w:rFonts w:hint="eastAsia"/>
          <w:lang w:val="en-US" w:eastAsia="zh-CN"/>
        </w:rPr>
      </w:pPr>
    </w:p>
    <w:p w14:paraId="7ADBEDB9">
      <w:pPr>
        <w:jc w:val="both"/>
        <w:rPr>
          <w:rFonts w:hint="eastAsia"/>
          <w:lang w:val="en-US" w:eastAsia="zh-CN"/>
        </w:rPr>
      </w:pPr>
    </w:p>
    <w:p w14:paraId="61355882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自研设备</w:t>
      </w:r>
    </w:p>
    <w:p w14:paraId="2BC334AB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相位谱热力图（10s）</w:t>
      </w:r>
    </w:p>
    <w:p w14:paraId="08BF930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785" cy="2478405"/>
            <wp:effectExtent l="0" t="0" r="12065" b="17145"/>
            <wp:docPr id="3" name="图片 3" descr="68100783-f554-45ee-9f39-0eebee7e6f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8100783-f554-45ee-9f39-0eebee7e6f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1F5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3954145"/>
            <wp:effectExtent l="0" t="0" r="8255" b="8255"/>
            <wp:docPr id="16" name="图片 16" descr="bf89d35a4ee5245a9023597a3026e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bf89d35a4ee5245a9023597a3026e69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2F7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3145790"/>
            <wp:effectExtent l="0" t="0" r="8255" b="16510"/>
            <wp:docPr id="5" name="图片 5" descr="b1221c9f-98b2-4d21-8311-ca1b467dfb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1221c9f-98b2-4d21-8311-ca1b467dfbf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E15B">
      <w:pPr>
        <w:jc w:val="both"/>
        <w:rPr>
          <w:rFonts w:hint="default"/>
          <w:lang w:val="en-US" w:eastAsia="zh-CN"/>
        </w:rPr>
      </w:pPr>
    </w:p>
    <w:p w14:paraId="71474247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将抬高能量显示阈值</w:t>
      </w:r>
    </w:p>
    <w:p w14:paraId="5A6BB989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0500" cy="3237865"/>
            <wp:effectExtent l="0" t="0" r="6350" b="635"/>
            <wp:docPr id="6" name="图片 6" descr="a13a0b5f-2e4c-4b81-8d0e-e7e8661b15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13a0b5f-2e4c-4b81-8d0e-e7e8661b15f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71F0">
      <w:pPr>
        <w:jc w:val="both"/>
        <w:rPr>
          <w:rFonts w:hint="default"/>
          <w:lang w:val="en-US" w:eastAsia="zh-CN"/>
        </w:rPr>
      </w:pPr>
    </w:p>
    <w:p w14:paraId="5F465E60">
      <w:pPr>
        <w:jc w:val="both"/>
        <w:rPr>
          <w:rFonts w:hint="default"/>
          <w:lang w:val="en-US" w:eastAsia="zh-CN"/>
        </w:rPr>
      </w:pPr>
    </w:p>
    <w:p w14:paraId="0EB865F6">
      <w:pPr>
        <w:jc w:val="both"/>
        <w:rPr>
          <w:rFonts w:hint="default"/>
          <w:lang w:val="en-US" w:eastAsia="zh-CN"/>
        </w:rPr>
      </w:pPr>
    </w:p>
    <w:p w14:paraId="7EFAB4F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光谷互联设备</w:t>
      </w:r>
    </w:p>
    <w:p w14:paraId="08986DD2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2425700"/>
            <wp:effectExtent l="0" t="0" r="5080" b="12700"/>
            <wp:docPr id="11" name="图片 11" descr="80738d3b-148b-4406-a4d1-68be690ec7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80738d3b-148b-4406-a4d1-68be690ec78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152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3954145"/>
            <wp:effectExtent l="0" t="0" r="8255" b="8255"/>
            <wp:docPr id="9" name="图片 9" descr="6bc6bb53-310b-4ebf-9d36-70029d5ea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bc6bb53-310b-4ebf-9d36-70029d5ea45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FAAF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3155315"/>
            <wp:effectExtent l="0" t="0" r="8255" b="6985"/>
            <wp:docPr id="12" name="图片 12" descr="20e80ff6-91ea-47ca-919d-2bc34ab7d4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0e80ff6-91ea-47ca-919d-2bc34ab7d49a"/>
                    <pic:cNvPicPr>
                      <a:picLocks noChangeAspect="1"/>
                    </pic:cNvPicPr>
                  </pic:nvPicPr>
                  <pic:blipFill>
                    <a:blip r:embed="rId12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E826">
      <w:pPr>
        <w:jc w:val="both"/>
        <w:rPr>
          <w:rFonts w:hint="default"/>
          <w:lang w:val="en-US" w:eastAsia="zh-CN"/>
        </w:rPr>
      </w:pPr>
    </w:p>
    <w:p w14:paraId="2DE444CA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将抬高能量显示阈值</w:t>
      </w:r>
    </w:p>
    <w:p w14:paraId="7D69A1C3">
      <w:pPr>
        <w:jc w:val="both"/>
        <w:rPr>
          <w:rFonts w:hint="default"/>
          <w:lang w:val="en-US" w:eastAsia="zh-CN"/>
        </w:rPr>
      </w:pPr>
    </w:p>
    <w:p w14:paraId="1FF9EBB6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3249930"/>
            <wp:effectExtent l="0" t="0" r="11430" b="7620"/>
            <wp:docPr id="14" name="图片 14" descr="fccfb8d0-d116-4246-8d06-9d5898c575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fccfb8d0-d116-4246-8d06-9d5898c575d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92D8BC"/>
    <w:multiLevelType w:val="singleLevel"/>
    <w:tmpl w:val="6092D8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7B080C"/>
    <w:rsid w:val="7DA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60</Words>
  <Characters>66</Characters>
  <Lines>0</Lines>
  <Paragraphs>0</Paragraphs>
  <TotalTime>12</TotalTime>
  <ScaleCrop>false</ScaleCrop>
  <LinksUpToDate>false</LinksUpToDate>
  <CharactersWithSpaces>66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2026-06-18T06:30:00Z</dcterms:created>
  <dc:creator>YOSC</dc:creator>
  <cp:lastModifiedBy>R</cp:lastModifiedBy>
  <dcterms:modified xsi:type="dcterms:W3CDTF">2026-06-18T07:54:27Z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eyJoZGlkIjoiYTExNTljNmNiY2MzOTIxNDA4ZTJjYjk1MmQ2M2EwMWIiLCJ1c2VySWQiOiIyNTI1NTI0OTUifQ==</vt:lpwstr>
  </property>
  <property fmtid="{D5CDD505-2E9C-101B-9397-08002B2CF9AE}" pid="4" name="ICV">
    <vt:lpwstr>9064CA4CE3CB44A39CDF5A8D4085C2C1_12</vt:lpwstr>
  </property>
</Properties>
</file>