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《妙法蓮華經》學術研究報告</w:t>
      </w:r>
    </w:p>
    <w:p>
      <w:pPr>
        <w:ind w:left="720"/>
      </w:pPr>
      <w:r>
        <w:rPr>
          <w:b/>
        </w:rPr>
        <w:t>檔案位置</w:t>
      </w:r>
      <w:r>
        <w:t>：</w:t>
      </w:r>
      <w:r>
        <w:rPr>
          <w:rFonts w:ascii="Consolas" w:hAnsi="Consolas"/>
          <w:color w:val="800080"/>
          <w:sz w:val="20"/>
        </w:rPr>
        <w:t>data/LotusSutra_Research_Collection/LotusSutra_Research_Report_Draft.md</w:t>
      </w:r>
    </w:p>
    <w:p>
      <w:pPr>
        <w:ind w:left="720"/>
      </w:pPr>
      <w:r>
        <w:rPr>
          <w:b/>
        </w:rPr>
        <w:t>編纂日期</w:t>
      </w:r>
      <w:r>
        <w:t>：2026-03-07</w:t>
      </w:r>
    </w:p>
    <w:p>
      <w:pPr>
        <w:ind w:left="720"/>
      </w:pPr>
      <w:r>
        <w:rPr>
          <w:b/>
        </w:rPr>
        <w:t>文獻基礎</w:t>
      </w:r>
      <w:r>
        <w:t>：162 筆跨語言學術文獻（學術 72 + 注釋 45 + 歷史背景 45）</w:t>
      </w:r>
    </w:p>
    <w:p>
      <w:pPr>
        <w:ind w:left="720"/>
      </w:pPr>
      <w:r>
        <w:rPr>
          <w:b/>
        </w:rPr>
        <w:t>語言涵蓋</w:t>
      </w:r>
      <w:r>
        <w:t>：中文、英文、日文、韓文、法文、德文、梵文（7 種）</w:t>
      </w:r>
    </w:p>
    <w:p>
      <w:pPr>
        <w:ind w:left="720"/>
      </w:pPr>
      <w:r>
        <w:rPr>
          <w:b/>
        </w:rPr>
        <w:t>時間跨度</w:t>
      </w:r>
      <w:r>
        <w:t>：1844 年（Burnouf）至 2024 年（Teiser &amp; Stone）</w:t>
      </w:r>
    </w:p>
    <w:p>
      <w:pPr>
        <w:ind w:left="720"/>
      </w:pPr>
      <w:r>
        <w:rPr>
          <w:b/>
        </w:rPr>
        <w:t>引用系統</w:t>
      </w:r>
      <w:r>
        <w:t>：</w:t>
      </w:r>
      <w:r>
        <w:rPr>
          <w:rFonts w:ascii="Consolas" w:hAnsi="Consolas"/>
          <w:color w:val="800080"/>
          <w:sz w:val="20"/>
        </w:rPr>
        <w:t>[CSV #N]</w:t>
      </w:r>
      <w:r>
        <w:t xml:space="preserve"> 對應 </w:t>
      </w:r>
      <w:r>
        <w:rPr>
          <w:rFonts w:ascii="Consolas" w:hAnsi="Consolas"/>
          <w:color w:val="800080"/>
          <w:sz w:val="20"/>
        </w:rPr>
        <w:t>lotus-sutra-bibliography.csv</w:t>
      </w:r>
      <w:r>
        <w:t xml:space="preserve"> 行號</w:t>
      </w:r>
    </w:p>
    <w:p>
      <w:pPr>
        <w:ind w:left="720"/>
      </w:pPr>
      <w:r>
        <w:rPr>
          <w:b/>
        </w:rPr>
        <w:t>KB 狀態</w:t>
      </w:r>
      <w:r>
        <w:t>：本稿為結構規劃與內容草稿，尚未匯入知識庫</w:t>
      </w:r>
    </w:p>
    <w:p>
      <w:pPr>
        <w:ind w:left="720"/>
      </w:pPr>
      <w:r>
        <w:rPr>
          <w:b/>
        </w:rPr>
        <w:t>CSV 檔案</w:t>
      </w:r>
      <w:r>
        <w:t>：</w:t>
      </w:r>
      <w:r>
        <w:rPr>
          <w:rFonts w:ascii="Consolas" w:hAnsi="Consolas"/>
          <w:color w:val="800080"/>
          <w:sz w:val="20"/>
        </w:rPr>
        <w:t>lotus-sutra-bibliography.csv</w:t>
      </w:r>
      <w:r>
        <w:t>（完整 162 筆元資料）</w:t>
      </w:r>
    </w:p>
    <w:p>
      <w:pPr>
        <w:spacing w:before="240" w:after="240"/>
      </w:pPr>
      <w:r>
        <w:rPr>
          <w:color w:val="CCCCCC"/>
          <w:sz w:val="16"/>
        </w:rPr>
        <w:t>────────────────────────────────────────────────────────────</w:t>
      </w:r>
    </w:p>
    <w:p>
      <w:pPr>
        <w:pStyle w:val="Heading2"/>
      </w:pPr>
      <w:r>
        <w:t>目次</w:t>
      </w:r>
    </w:p>
    <w:p>
      <w:pPr>
        <w:pStyle w:val="ListBullet"/>
      </w:pPr>
      <w:r>
        <w:rPr>
          <w:b/>
        </w:rPr>
        <w:t>第一章</w:t>
      </w:r>
      <w:r>
        <w:t xml:space="preserve">　導論（研究緣起、範圍、方法、文獻分布、知識庫現況）</w:t>
      </w:r>
    </w:p>
    <w:p>
      <w:pPr>
        <w:pStyle w:val="ListBullet"/>
      </w:pPr>
      <w:r>
        <w:rPr>
          <w:b/>
        </w:rPr>
        <w:t>第二章</w:t>
      </w:r>
      <w:r>
        <w:t xml:space="preserve">　文獻回顧（西方、東亞、當代趨勢）</w:t>
      </w:r>
    </w:p>
    <w:p>
      <w:pPr>
        <w:pStyle w:val="ListBullet"/>
      </w:pPr>
      <w:r>
        <w:rPr>
          <w:b/>
        </w:rPr>
        <w:t>第三章</w:t>
      </w:r>
      <w:r>
        <w:t xml:space="preserve">　研究方法論（文獻計量、比較文獻學、義理提取、資料一致性）</w:t>
      </w:r>
    </w:p>
    <w:p>
      <w:pPr>
        <w:pStyle w:val="ListBullet"/>
      </w:pPr>
      <w:r>
        <w:rPr>
          <w:b/>
        </w:rPr>
        <w:t>第四章</w:t>
      </w:r>
      <w:r>
        <w:t xml:space="preserve">　法華經成書史與文本層次（四層結構、寫本證據、梵語化、數位校勘）</w:t>
      </w:r>
    </w:p>
    <w:p>
      <w:pPr>
        <w:pStyle w:val="ListBullet"/>
      </w:pPr>
      <w:r>
        <w:rPr>
          <w:b/>
        </w:rPr>
        <w:t>第五章</w:t>
      </w:r>
      <w:r>
        <w:t xml:space="preserve">　注釋傳統的四宗分歧（天台、法相、三論、日蓮 + 現代注釋）</w:t>
      </w:r>
    </w:p>
    <w:p>
      <w:pPr>
        <w:pStyle w:val="ListBullet"/>
      </w:pPr>
      <w:r>
        <w:rPr>
          <w:b/>
        </w:rPr>
        <w:t>第六章</w:t>
      </w:r>
      <w:r>
        <w:t xml:space="preserve">　鳩摩羅什的譯經策略（生平、術語創造、三譯比較、文化影響）</w:t>
      </w:r>
    </w:p>
    <w:p>
      <w:pPr>
        <w:pStyle w:val="ListBullet"/>
      </w:pPr>
      <w:r>
        <w:rPr>
          <w:b/>
        </w:rPr>
        <w:t>第七章</w:t>
      </w:r>
      <w:r>
        <w:t xml:space="preserve">　文獻學新進展（辛嶋靜志貢獻、吉爾吉特寫本、數位人文）</w:t>
      </w:r>
    </w:p>
    <w:p>
      <w:pPr>
        <w:pStyle w:val="ListBullet"/>
      </w:pPr>
      <w:r>
        <w:rPr>
          <w:b/>
        </w:rPr>
        <w:t>第八章</w:t>
      </w:r>
      <w:r>
        <w:t xml:space="preserve">　跨文化傳播鏈（印度→中亞→中國→日本→韓國→越南→東南亞）</w:t>
      </w:r>
    </w:p>
    <w:p>
      <w:pPr>
        <w:pStyle w:val="ListBullet"/>
      </w:pPr>
      <w:r>
        <w:rPr>
          <w:b/>
        </w:rPr>
        <w:t>第九章</w:t>
      </w:r>
      <w:r>
        <w:t xml:space="preserve">　延伸研究專題（7 品補完、窺基/吉藏、三語比較、譯經比較、跨系列整合）</w:t>
      </w:r>
    </w:p>
    <w:p>
      <w:pPr>
        <w:pStyle w:val="ListBullet"/>
      </w:pPr>
      <w:r>
        <w:rPr>
          <w:b/>
        </w:rPr>
        <w:t>第十章</w:t>
      </w:r>
      <w:r>
        <w:t xml:space="preserve">　結論與展望（總結、局限、反思、未來方向）</w:t>
      </w:r>
    </w:p>
    <w:p>
      <w:pPr>
        <w:pStyle w:val="ListBullet"/>
      </w:pPr>
      <w:r>
        <w:rPr>
          <w:b/>
        </w:rPr>
        <w:t>附錄 A</w:t>
      </w:r>
      <w:r>
        <w:t xml:space="preserve">　完整參考文獻（162 筆 APA 格式）</w:t>
      </w:r>
    </w:p>
    <w:p>
      <w:pPr>
        <w:pStyle w:val="ListBullet"/>
      </w:pPr>
      <w:r>
        <w:rPr>
          <w:b/>
        </w:rPr>
        <w:t>附錄 B</w:t>
      </w:r>
      <w:r>
        <w:t xml:space="preserve">　CSV 資料欄位說明</w:t>
      </w:r>
    </w:p>
    <w:p>
      <w:pPr>
        <w:pStyle w:val="ListBullet"/>
      </w:pPr>
      <w:r>
        <w:rPr>
          <w:b/>
        </w:rPr>
        <w:t>附錄 C</w:t>
      </w:r>
      <w:r>
        <w:t xml:space="preserve">　二十八品覆蓋狀態表</w:t>
      </w:r>
    </w:p>
    <w:p>
      <w:pPr>
        <w:pStyle w:val="ListBullet"/>
      </w:pPr>
      <w:r>
        <w:rPr>
          <w:b/>
        </w:rPr>
        <w:t>附錄 D</w:t>
      </w:r>
      <w:r>
        <w:t xml:space="preserve">　梵中英術語對照表</w:t>
      </w:r>
    </w:p>
    <w:p>
      <w:pPr>
        <w:pStyle w:val="ListBullet"/>
      </w:pPr>
      <w:r>
        <w:rPr>
          <w:b/>
        </w:rPr>
        <w:t>附錄 E</w:t>
      </w:r>
      <w:r>
        <w:t xml:space="preserve">　開放存取資源索引</w:t>
      </w:r>
    </w:p>
    <w:p>
      <w:pPr>
        <w:spacing w:before="240" w:after="240"/>
      </w:pPr>
      <w:r>
        <w:rPr>
          <w:color w:val="CCCCCC"/>
          <w:sz w:val="16"/>
        </w:rPr>
        <w:t>────────────────────────────────────────────────────────────</w:t>
      </w:r>
    </w:p>
    <w:p>
      <w:pPr>
        <w:pStyle w:val="Heading2"/>
      </w:pPr>
      <w:r>
        <w:t>第一章　緒論</w:t>
      </w:r>
    </w:p>
    <w:p>
      <w:pPr>
        <w:pStyle w:val="Heading3"/>
      </w:pPr>
      <w:r>
        <w:t>1.1 研究緣起與定位</w:t>
      </w:r>
    </w:p>
    <w:p>
      <w:r>
        <w:t xml:space="preserve">《妙法蓮華經》（梵文 Saddharmapuṇḍarīka-sūtra），素有「經中之王」之稱，自西元前一世紀成書以來，歷經兩千餘年的傳抄、翻譯、注疏與實踐，已成為大乘佛教最具影響力的經典之一。在印度，它與《般若經》、《華嚴經》並列為初期大乘經典的三大支柱；在東亞，它更直接催生了天台宗、日蓮宗等重要宗派，深刻形塑了中國、日本、韓國乃至越南的宗教文化面貌。自十九世紀歐洲東方學興起以來，法華經的學術研究從梵文文獻學出發，逐步擴展至比較宗教學、翻譯研究、藝術史、社會史等多元領域，形成一個橫跨七種語言、涵蓋數百位學者的龐大知識體系 </w:t>
      </w:r>
      <w:r>
        <w:t>CSV #1-3]（Burnouf, 1844; Kern, 1884）。</w:t>
      </w:r>
    </w:p>
    <w:p>
      <w:r>
        <w:t xml:space="preserve">本報告的定位是：基於 162 筆系統性文獻收集的綜合研究報告，旨在整合學術文獻（72 筆）、注釋資料（45 筆）與歷史背景資料（45 筆）三大類別的研究成果，呈現法華經研究的全景式學術地圖。這 162 筆文獻涵蓋中文約 60 筆、英文約 55 筆、日文約 20 筆、韓文約 10 筆、法文約 5 筆、德文約 2 筆、梵文（含雙語）約 10 筆，時間跨度從 1844 年 Eugène Burnouf 的奠基之作 </w:t>
      </w:r>
      <w:r>
        <w:t xml:space="preserve">CSV #1] 延伸至 2024 年 Teiser &amp; Stone 的最新論文集 </w:t>
      </w:r>
      <w:r>
        <w:t>CSV #17]，構成了目前最為完整的法華經跨語言學術文獻索引之一。</w:t>
      </w:r>
    </w:p>
    <w:p>
      <w:r>
        <w:t>本研究與知識庫（KB）既有的 22/28 品深度義理研究形成互補關係。義理研究深入個別經品的微觀詮釋——從方便品的「開權顯實」到壽量品的「久遠實成」，逐品提取核心命題、關鍵概念與修行指引；而本報告則從宏觀學術史的視角，梳理法華經研究的五大關鍵脈絡：成書階段劃分、四宗注釋分歧、譯經策略影響、文獻學新進展、以及跨文化傳播鏈。二者結合，方能構成完整的法華經知識體系。</w:t>
      </w:r>
    </w:p>
    <w:p>
      <w:pPr>
        <w:pStyle w:val="Heading3"/>
      </w:pPr>
      <w:r>
        <w:t>1.2 研究問題</w:t>
      </w:r>
    </w:p>
    <w:p>
      <w:r>
        <w:t>本報告圍繞一個核心問題展開：</w:t>
      </w:r>
      <w:r>
        <w:rPr>
          <w:b/>
        </w:rPr>
        <w:t>法華經兩千年的學術研究與詮釋傳統呈現了哪些關鍵脈絡，這些脈絡之間又存在怎樣的內在聯繫？</w:t>
      </w:r>
    </w:p>
    <w:p>
      <w:r>
        <w:t>此核心問題進一步分解為四個子問題：</w:t>
      </w:r>
    </w:p>
    <w:p>
      <w:r>
        <w:rPr>
          <w:b/>
        </w:rPr>
        <w:t>子問題一：宗派詮釋的分歧邏輯</w:t>
      </w:r>
      <w:r>
        <w:t>。不同宗派如何各取所需地詮釋法華經的「一佛乘」（ekayāna）思想？天台宗的「開權顯實」、法相宗的「五性各別」、三論宗的「攝末歸本」、日蓮宗的「本門至上」——這四種截然不同的詮釋進路，其哲學基礎、方法論前提與歷史語境各為何？為何同一部經典能夠支撐如此多元甚至對立的教義體系？</w:t>
      </w:r>
      <w:r>
        <w:t>CSV #73-78]（智顗、窺基、吉藏）</w:t>
      </w:r>
    </w:p>
    <w:p>
      <w:r>
        <w:rPr>
          <w:b/>
        </w:rPr>
        <w:t>子問題二：譯經策略的文化塑造力</w:t>
      </w:r>
      <w:r>
        <w:t>。鳩摩羅什的意譯策略如何塑造了東亞佛教的法華理解？與竺法護的直譯風格相比，「諸法實相」vs「本末空」、「妙法蓮華」vs「正法華」這些術語選擇如何決定了後世宗派的發展路徑？</w:t>
      </w:r>
      <w:r>
        <w:t>CSV #21, 37, 111, 121]（Nattier, 2008; 釋果暉, 2008; Boucher, 2008）</w:t>
      </w:r>
    </w:p>
    <w:p>
      <w:r>
        <w:rPr>
          <w:b/>
        </w:rPr>
        <w:t>子問題三：文獻學的革命性發現</w:t>
      </w:r>
      <w:r>
        <w:t xml:space="preserve">。當代文獻學研究如何重塑對法華經原始面貌的認知？辛嶋靜志（Karashima Seishi）的語言學分析 </w:t>
      </w:r>
      <w:r>
        <w:t>CSV #11-13] 證實法華經原始語言為中期印度語（Prakrit）而非古典梵語，這一發現對成書年代、文本層次與翻譯研究帶來了怎樣的連鎖衝擊？吉爾吉特寫本（5-6 世紀）</w:t>
      </w:r>
      <w:r>
        <w:t>CSV #124-125] 的重新校訂又如何修正了一個世紀以來以尼泊爾傳本為基礎的文本理解？</w:t>
      </w:r>
    </w:p>
    <w:p>
      <w:r>
        <w:rPr>
          <w:b/>
        </w:rPr>
        <w:t>子問題四：跨文化傳播的本土化規律</w:t>
      </w:r>
      <w:r>
        <w:t>。法華經從印度經中亞傳入中國，再由中國傳播至韓國、日本、越南乃至東南亞，這條跨文化傳播鏈如何展現佛教本土化的普遍規律？在每一個接受地帶，法華經的核心教義（一佛乘、方便、授記）經歷了怎樣的選擇性接受與創造性轉化？</w:t>
      </w:r>
      <w:r>
        <w:t>CSV #143-146, 150-153]（Williams, 2009; Park, 2012; 榮新江, 2013）</w:t>
      </w:r>
    </w:p>
    <w:p>
      <w:pPr>
        <w:pStyle w:val="Heading3"/>
      </w:pPr>
      <w:r>
        <w:t>1.3 研究方法論</w:t>
      </w:r>
    </w:p>
    <w:p>
      <w:r>
        <w:t>本報告採用四種互補的研究方法：</w:t>
      </w:r>
    </w:p>
    <w:p>
      <w:r>
        <w:rPr>
          <w:b/>
        </w:rPr>
        <w:t>文獻計量分析</w:t>
      </w:r>
      <w:r>
        <w:t>：基於 162 筆 CSV 元資料的量化分析，包括語言分布統計（中文約 37%、英文約 34%、日文約 12%、韓文約 6%、法文約 3%、德文約 1%、梵文含雙語約 6%）、出版年代分布曲線（1844-2024）、學者合作網絡圖譜、研究熱點變遷追蹤（文獻學→教義研究→跨文化傳播→數位人文）。此方法論借鑑當代書目計量學（bibliometrics）的框架，將法華經研究視為一個知識生產的動態系統來觀察。</w:t>
      </w:r>
    </w:p>
    <w:p>
      <w:r>
        <w:rPr>
          <w:b/>
        </w:rPr>
        <w:t>歷史比較法</w:t>
      </w:r>
      <w:r>
        <w:t>：以鳩摩羅什《妙法蓮華經》（406）為主軸，平行對照竺法護《正法華經》（286）</w:t>
      </w:r>
      <w:r>
        <w:t>CSV #111] 與闍那崛多《添品妙法蓮華經》（601）</w:t>
      </w:r>
      <w:r>
        <w:t>CSV #112]，並參照 Kern-Nanjio 梵文校訂本（1908-12）、荻原雲來/土田勝彌修訂本（1934-35）</w:t>
      </w:r>
      <w:r>
        <w:t>CSV #14]、以及辛嶋靜志基於吉爾吉特寫本的新校訂（2018-）</w:t>
      </w:r>
      <w:r>
        <w:t>CSV #13]。在術語層面，建立梵漢對照表（參見附錄 D），追蹤關鍵概念從梵文到漢文的語義遷移。</w:t>
      </w:r>
    </w:p>
    <w:p>
      <w:r>
        <w:rPr>
          <w:b/>
        </w:rPr>
        <w:t>跨宗派詮釋學</w:t>
      </w:r>
      <w:r>
        <w:t>：採取「多元視角並陳」（perspectival juxtaposition）的方法論立場，同時呈現天台、法相、三論、日蓮四宗的詮釋框架，不預設任何宗派立場為「正統」。在每一個教義爭點（如「一乘/三乘」、「佛性有無」、「本門/跡門」），均並列各宗論證，分析其哲學前提與推理邏輯，使讀者能自行判斷各家得失。此方法論受到 Teiser &amp; Stone（2009）</w:t>
      </w:r>
      <w:r>
        <w:t>CSV #8] 多元閱讀策略的啟發。</w:t>
      </w:r>
    </w:p>
    <w:p>
      <w:r>
        <w:rPr>
          <w:b/>
        </w:rPr>
        <w:t>知識庫累積法</w:t>
      </w:r>
      <w:r>
        <w:t>：本報告遵循 KB 五階段模型——基礎（foundation）→機制（mechanism）→應用（application）→優化（optimization）→綜合（synthesis）——的研究進路。法華經系列目前處於 synthesis 階段，已累積 20+ 篇深度筆記，涵蓋注釋傳統、學術研究方法論、梵漢術語對照等主題。本報告作為 synthesis 階段的總結性產出，整合此前各階段的研究成果，並為後續的品級專題研究（第 9.1 節）和跨系列整合（第 9.3-9.4 節）奠定基礎。</w:t>
      </w:r>
    </w:p>
    <w:p>
      <w:r>
        <w:t>值得特別指出的是，日本學者在法華經文獻學研究中佔有核心地位。從望月信亨（1922）</w:t>
      </w:r>
      <w:r>
        <w:t>CSV #57] 的奠基之作，到田村芳朗（1969, 1975）</w:t>
      </w:r>
      <w:r>
        <w:t>CSV #59-60] 的思想史研究，再到辛嶋靜志（2001-2018）</w:t>
      </w:r>
      <w:r>
        <w:t>CSV #11-13] 的寫本校訂，日本學術傳統構成了法華經文獻學研究的主幹。此現象與日本天台宗、日蓮宗的深厚信仰傳統密切相關，使日本成為法華經研究的全球重鎮。在 162 筆文獻中，直接以日文撰寫者約 20 筆，而由日本學者以英文發表者另有 10 餘筆，合計佔總量近 20%。</w:t>
      </w:r>
    </w:p>
    <w:p>
      <w:pPr>
        <w:pStyle w:val="Heading3"/>
      </w:pPr>
      <w:r>
        <w:t>1.4 資料來源與開放取得說明</w:t>
      </w:r>
    </w:p>
    <w:p>
      <w:r>
        <w:t>162 筆文獻的取得管道分布如下：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取得方式</w:t>
            </w:r>
          </w:p>
        </w:tc>
        <w:tc>
          <w:tcPr>
            <w:tcW w:type="dxa" w:w="2160"/>
          </w:tcPr>
          <w:p>
            <w:r>
              <w:rPr>
                <w:b/>
              </w:rPr>
              <w:t>估計筆數</w:t>
            </w:r>
          </w:p>
        </w:tc>
        <w:tc>
          <w:tcPr>
            <w:tcW w:type="dxa" w:w="2160"/>
          </w:tcPr>
          <w:p>
            <w:r>
              <w:rPr>
                <w:b/>
              </w:rPr>
              <w:t>主要來源</w:t>
            </w:r>
          </w:p>
        </w:tc>
        <w:tc>
          <w:tcPr>
            <w:tcW w:type="dxa" w:w="2160"/>
          </w:tcPr>
          <w:p>
            <w:r>
              <w:rPr>
                <w:b/>
              </w:rPr>
              <w:t>備註</w:t>
            </w:r>
          </w:p>
        </w:tc>
      </w:tr>
      <w:tr>
        <w:tc>
          <w:tcPr>
            <w:tcW w:type="dxa" w:w="2160"/>
          </w:tcPr>
          <w:p>
            <w:r>
              <w:t>開放存取</w:t>
            </w:r>
          </w:p>
        </w:tc>
        <w:tc>
          <w:tcPr>
            <w:tcW w:type="dxa" w:w="2160"/>
          </w:tcPr>
          <w:p>
            <w:r>
              <w:t>~45</w:t>
            </w:r>
          </w:p>
        </w:tc>
        <w:tc>
          <w:tcPr>
            <w:tcW w:type="dxa" w:w="2160"/>
          </w:tcPr>
          <w:p>
            <w:r>
              <w:t>CBETA、BDK、ARIRIAB、Internet Archive、J-STAGE</w:t>
            </w:r>
          </w:p>
        </w:tc>
        <w:tc>
          <w:tcPr>
            <w:tcW w:type="dxa" w:w="2160"/>
          </w:tcPr>
          <w:p>
            <w:r>
              <w:t>覆蓋約 28%</w:t>
            </w:r>
          </w:p>
        </w:tc>
      </w:tr>
      <w:tr>
        <w:tc>
          <w:tcPr>
            <w:tcW w:type="dxa" w:w="2160"/>
          </w:tcPr>
          <w:p>
            <w:r>
              <w:t>付費出版</w:t>
            </w:r>
          </w:p>
        </w:tc>
        <w:tc>
          <w:tcPr>
            <w:tcW w:type="dxa" w:w="2160"/>
          </w:tcPr>
          <w:p>
            <w:r>
              <w:t>~85</w:t>
            </w:r>
          </w:p>
        </w:tc>
        <w:tc>
          <w:tcPr>
            <w:tcW w:type="dxa" w:w="2160"/>
          </w:tcPr>
          <w:p>
            <w:r>
              <w:t>Columbia UP、Princeton UP、Routledge、Brill、法鼓文化、春秋社</w:t>
            </w:r>
          </w:p>
        </w:tc>
        <w:tc>
          <w:tcPr>
            <w:tcW w:type="dxa" w:w="2160"/>
          </w:tcPr>
          <w:p>
            <w:r>
              <w:t>覆蓋約 52%</w:t>
            </w:r>
          </w:p>
        </w:tc>
      </w:tr>
      <w:tr>
        <w:tc>
          <w:tcPr>
            <w:tcW w:type="dxa" w:w="2160"/>
          </w:tcPr>
          <w:p>
            <w:r>
              <w:t>博碩士論文</w:t>
            </w:r>
          </w:p>
        </w:tc>
        <w:tc>
          <w:tcPr>
            <w:tcW w:type="dxa" w:w="2160"/>
          </w:tcPr>
          <w:p>
            <w:r>
              <w:t>~5</w:t>
            </w:r>
          </w:p>
        </w:tc>
        <w:tc>
          <w:tcPr>
            <w:tcW w:type="dxa" w:w="2160"/>
          </w:tcPr>
          <w:p>
            <w:r>
              <w:t>ProQuest、台灣博碩士論文系統</w:t>
            </w:r>
          </w:p>
        </w:tc>
        <w:tc>
          <w:tcPr>
            <w:tcW w:type="dxa" w:w="2160"/>
          </w:tcPr>
          <w:p>
            <w:r>
              <w:t>覆蓋約 3%</w:t>
            </w:r>
          </w:p>
        </w:tc>
      </w:tr>
      <w:tr>
        <w:tc>
          <w:tcPr>
            <w:tcW w:type="dxa" w:w="2160"/>
          </w:tcPr>
          <w:p>
            <w:r>
              <w:t>期刊（需訂閱）</w:t>
            </w:r>
          </w:p>
        </w:tc>
        <w:tc>
          <w:tcPr>
            <w:tcW w:type="dxa" w:w="2160"/>
          </w:tcPr>
          <w:p>
            <w:r>
              <w:t>~20</w:t>
            </w:r>
          </w:p>
        </w:tc>
        <w:tc>
          <w:tcPr>
            <w:tcW w:type="dxa" w:w="2160"/>
          </w:tcPr>
          <w:p>
            <w:r>
              <w:t>JSTOR、SpringerLink、KCI</w:t>
            </w:r>
          </w:p>
        </w:tc>
        <w:tc>
          <w:tcPr>
            <w:tcW w:type="dxa" w:w="2160"/>
          </w:tcPr>
          <w:p>
            <w:r>
              <w:t>覆蓋約 12%</w:t>
            </w:r>
          </w:p>
        </w:tc>
      </w:tr>
      <w:tr>
        <w:tc>
          <w:tcPr>
            <w:tcW w:type="dxa" w:w="2160"/>
          </w:tcPr>
          <w:p>
            <w:r>
              <w:t>公共領域</w:t>
            </w:r>
          </w:p>
        </w:tc>
        <w:tc>
          <w:tcPr>
            <w:tcW w:type="dxa" w:w="2160"/>
          </w:tcPr>
          <w:p>
            <w:r>
              <w:t>~7</w:t>
            </w:r>
          </w:p>
        </w:tc>
        <w:tc>
          <w:tcPr>
            <w:tcW w:type="dxa" w:w="2160"/>
          </w:tcPr>
          <w:p>
            <w:r>
              <w:t>1920 年前出版</w:t>
            </w:r>
          </w:p>
        </w:tc>
        <w:tc>
          <w:tcPr>
            <w:tcW w:type="dxa" w:w="2160"/>
          </w:tcPr>
          <w:p>
            <w:r>
              <w:t>覆蓋約 4%</w:t>
            </w:r>
          </w:p>
        </w:tc>
      </w:tr>
    </w:tbl>
    <w:p/>
    <w:p>
      <w:r>
        <w:t>開放存取資源構成了法華經研究的「開放三角」：CBETA 提供完整漢文大藏經（含所有古典注疏，</w:t>
      </w:r>
      <w:r>
        <w:t xml:space="preserve">CSV #73-84, 106-117]），ARIRIAB 提供辛嶋靜志等學者的最新論文 </w:t>
      </w:r>
      <w:r>
        <w:t xml:space="preserve">CSV #11, 16, 21]，BDK 提供英譯佛典 </w:t>
      </w:r>
      <w:r>
        <w:t>CSV #24, 30]。研究者無需機構訂閱即可取得相當比例的核心一手資料，這在佛教研究領域是相對獨特的優勢——相較之下，許多人文學科的核心文獻仍高度依賴付費資料庫。</w:t>
      </w:r>
    </w:p>
    <w:p>
      <w:pPr>
        <w:pStyle w:val="Heading3"/>
      </w:pPr>
      <w:r>
        <w:t>1.5 已完成工作盤點</w:t>
      </w:r>
    </w:p>
    <w:p>
      <w:r>
        <w:t>知識庫目前已完成 22/28 品的深度義理研究，覆蓋迹門（前 14 品）與本門（後 14 品）的主要經品。尚待研究的 7 品為：序品（第一）、授學無學人記品（第九）、隨喜功德品（第十八）、法師功德品（第十九）、囑累品（第二十二）、陀羅尼品（第二十六）、妙莊嚴王本事品（第二十七）。這 7 品的專題研究計畫詳見第 9.1 節，其中序品、隨喜功德品、法師功德品列為最高優先（P0），規劃於短期內完成。</w:t>
      </w:r>
    </w:p>
    <w:p>
      <w:r>
        <w:t>已完成的 22 品研究涵蓋了法華經最核心的教義章節：方便品的「諸法實相」與「開權顯實」、譬喻品的「三車火宅」與「會三歸一」、藥草喻品的佛性平等觀、化城喻品的「二乘涅槃為化城」、壽量品的「久遠實成」與如來常住、觀世音菩薩普門品的慈悲救度體系、普賢菩薩勸發品的實踐總結等。每品研究均提取「核心命題→關鍵概念→修行指引」三層結構，並與其他大乘經典（特別是楞嚴經的如來藏思想）建立跨系列連結。</w:t>
      </w:r>
    </w:p>
    <w:p>
      <w:pPr>
        <w:spacing w:before="240" w:after="240"/>
      </w:pPr>
      <w:r>
        <w:rPr>
          <w:color w:val="CCCCCC"/>
          <w:sz w:val="16"/>
        </w:rPr>
        <w:t>────────────────────────────────────────────────────────────</w:t>
      </w:r>
    </w:p>
    <w:p>
      <w:pPr>
        <w:pStyle w:val="Heading2"/>
      </w:pPr>
      <w:r>
        <w:t>第二章　文獻回顧：法華經研究的學術史</w:t>
      </w:r>
    </w:p>
    <w:p>
      <w:pPr>
        <w:pStyle w:val="Heading3"/>
      </w:pPr>
      <w:r>
        <w:t>2.1 歐洲東方學的先驅（1844-1920）</w:t>
      </w:r>
    </w:p>
    <w:p>
      <w:r>
        <w:t xml:space="preserve">法華經的現代學術研究始於十九世紀歐洲東方學的興起。1844 年，法國學者 Eugène Burnouf 出版了 </w:t>
      </w:r>
      <w:r>
        <w:rPr>
          <w:i/>
        </w:rPr>
        <w:t>Introduction à l'histoire du Buddhisme indien</w:t>
      </w:r>
      <w:r>
        <w:t xml:space="preserve"> </w:t>
      </w:r>
      <w:r>
        <w:t xml:space="preserve">CSV #1]，這部奠基之作首次從梵文文獻學的角度系統分析了法華經的文本結構與思想內容。Burnouf 利用霍奇森（Brian Houghton Hodgson）從尼泊爾帶回的梵文寫本 </w:t>
      </w:r>
      <w:r>
        <w:t xml:space="preserve">CSV #128]（Yuyama, 1972），開啟了歐洲學界對大乘佛教文獻的科學研究。八年後的 1852 年，Burnouf 完成了首部從梵文翻譯的法華經歐洲語言全譯本 </w:t>
      </w:r>
      <w:r>
        <w:rPr>
          <w:i/>
        </w:rPr>
        <w:t>Le Lotus de la Bonne Loi</w:t>
      </w:r>
      <w:r>
        <w:t xml:space="preserve"> </w:t>
      </w:r>
      <w:r>
        <w:t>CSV #2]，使這部東方經典首次以西方學術語言呈現在歐洲知識界面前。</w:t>
      </w:r>
    </w:p>
    <w:p>
      <w:r>
        <w:t>Burnouf 的開創性工作為後續研究奠定了兩個重要基礎：其一，確立了以梵文文獻學為核心的研究範式（philological paradigm），強調文本校勘、語言分析與歷史考證；其二，將法華經置於印度佛教思想史的宏觀脈絡中理解，而非僅作為宗教信仰的對象。這兩個取向深刻影響了此後一個半世紀的法華經研究走向。</w:t>
      </w:r>
    </w:p>
    <w:p>
      <w:r>
        <w:t xml:space="preserve">1884 年，荷蘭學者 Hendrik Kern 完成了首部梵英翻譯 </w:t>
      </w:r>
      <w:r>
        <w:rPr>
          <w:i/>
        </w:rPr>
        <w:t>Saddharma-Puṇḍarīka, or the Lotus of the True Law</w:t>
      </w:r>
      <w:r>
        <w:t xml:space="preserve"> </w:t>
      </w:r>
      <w:r>
        <w:t>CSV #3]，收入 Max Müller 主編的 Sacred Books of the East 系列（第 21 卷）。Kern 的翻譯雖然在學術精確性上受到後世批評——特別是他對某些術語的詮釋過於受到當時盛行的自然神話學派（solar mythology school）的影響——但其歷史意義不可磨滅：它使英語世界的讀者首次能夠直接閱讀法華經全文，為後續的教義研究與比較宗教學分析提供了文本基礎。</w:t>
      </w:r>
    </w:p>
    <w:p>
      <w:r>
        <w:t xml:space="preserve">這一時期的另一里程碑是 Kern 與南條文雄（Nanjio Bunyiu）合作校訂的梵文本（1908-1912），以尼泊爾傳本為底本，參照多種抄本，建立了此後近一個世紀法華經梵文研究的標準文本。儘管這一校本後來被吉爾吉特寫本的發現所補充和修正 </w:t>
      </w:r>
      <w:r>
        <w:t>CSV #124-125]，但 Kern-Nanjio 校本在方法論上確立了法華經梵文校勘的學術標準。</w:t>
      </w:r>
    </w:p>
    <w:p>
      <w:r>
        <w:t>此時期的研究特色可概括為：以梵文文獻學為主導方法，受殖民時期東方學框架（Orientalism）的影響，將法華經視為「東方文明」的代表性文本來研究。這種視角既帶來了嚴謹的文本分析傳統，也不可避免地攜帶著文化預設與權力不對等的問題——Edward Said 所批評的「東方主義」在佛教研究領域同樣留下了痕跡。</w:t>
      </w:r>
    </w:p>
    <w:p>
      <w:pPr>
        <w:pStyle w:val="Heading3"/>
      </w:pPr>
      <w:r>
        <w:t>2.2 日本學術傳統的確立（1920-1970）</w:t>
      </w:r>
    </w:p>
    <w:p>
      <w:r>
        <w:t>二十世紀初，法華經研究的重心從歐洲轉向日本。這一轉移有深刻的文化根源：天台宗與日蓮宗在日本擁有超過千年的信仰傳統，法華經不僅是學術研究的對象，更是活生生的宗教實踐的核心經典。日本學者因此兼具信仰者與研究者的雙重身份，這種獨特的認識論立場使他們的研究既深入文本細節，又關注思想的宗教意義。</w:t>
      </w:r>
    </w:p>
    <w:p>
      <w:r>
        <w:t>1922 年，望月信亨出版了《法華經の成立と展開》</w:t>
      </w:r>
      <w:r>
        <w:t>CSV #57]，標誌著日本法華經學術研究的正式確立。望月信亨以嚴謹的歷史文獻學方法，系統考證了法華經二十八品的成立年代，提出了「分期成書」的重要假說：法華經並非一時一地之作，而是經歷了相當長的編纂過程。這一假說後來被布施浩岳（1934）</w:t>
      </w:r>
      <w:r>
        <w:t xml:space="preserve">CSV #63] 進一步深化，並在半個多世紀後被辛嶋靜志的語言學分析 </w:t>
      </w:r>
      <w:r>
        <w:t>CSV #11] 所證實和精確化。望月信亨的中文譯本由釋印海翻譯出版（1987）</w:t>
      </w:r>
      <w:r>
        <w:t>CSV #42]，使漢語學界也能直接接觸這部日本佛學的經典之作。</w:t>
      </w:r>
    </w:p>
    <w:p>
      <w:r>
        <w:t>1934 年，布施浩岳發表了〈法華經の成立年代に関する一考察〉</w:t>
      </w:r>
      <w:r>
        <w:t>CSV #63]，從文獻學角度進一步分析法華經各品的成立年代。布施的研究特別關注偈頌（gāthā）與散文（gadya）之間的文體差異，指出偈頌部分通常早於散文部分，這一觀察與口傳文學的一般規律一致——早期佛教經典以韻文形式口耳相傳，後來才被散文化並加入敘事框架。</w:t>
      </w:r>
    </w:p>
    <w:p>
      <w:r>
        <w:t xml:space="preserve">同年（1934-35），荻原雲來與土田勝彌完成了法華經梵文修訂校本 </w:t>
      </w:r>
      <w:r>
        <w:t>CSV #14]，在 Kern-Nanjio 校本的基礎上進行了重要修訂。這部校本至今仍是法華經梵文研究的重要參考，特別是在辛嶋靜志的新校訂完成之前。</w:t>
      </w:r>
    </w:p>
    <w:p>
      <w:r>
        <w:t>1965 年，坂本幸男主編的《法華經の文化と基盤》</w:t>
      </w:r>
      <w:r>
        <w:t>CSV #58] 彙集了多位日本學者的研究成果，標誌著法華經研究從單一的文獻學取向擴展到文化研究。此書探討了法華經在東亞文化中的深層影響，包括文學、藝術、政治、社會等多個面向，為後來跨學科研究的蓬勃發展奠定了基礎。</w:t>
      </w:r>
    </w:p>
    <w:p>
      <w:r>
        <w:t>田村芳朗是這一時期最重要的法華思想史研究者。他的兩部代表作——《法華經の中國的展開》（1969）</w:t>
      </w:r>
      <w:r>
        <w:t>CSV #59] 與《法華經一仏乗の思想》（1975）</w:t>
      </w:r>
      <w:r>
        <w:t xml:space="preserve">CSV #60]——前者追溯法華經從印度傳入中國後的思想轉化過程，後者從教義學角度系統分析法華經「一佛乘」思想的哲學內涵。田村芳朗的研究方法兼具歷史的縱深與哲學的精確，對後世日本及國際學界的法華經研究產生了深遠影響。他與 Katō、Miyasaka 合作翻譯的英文合本 </w:t>
      </w:r>
      <w:r>
        <w:rPr>
          <w:i/>
        </w:rPr>
        <w:t>The Threefold Lotus Sutra</w:t>
      </w:r>
      <w:r>
        <w:t>（1975）</w:t>
      </w:r>
      <w:r>
        <w:t>CSV #7]，至今仍是重要的英譯參考。</w:t>
      </w:r>
    </w:p>
    <w:p>
      <w:pPr>
        <w:pStyle w:val="Heading3"/>
      </w:pPr>
      <w:r>
        <w:t>2.3 中文學術圈的發展（1960-2010）</w:t>
      </w:r>
    </w:p>
    <w:p>
      <w:r>
        <w:t>中文學術圈的法華經研究以台灣佛學界為主力，自 1960 年代起逐漸形成獨特的學術傳統。</w:t>
      </w:r>
    </w:p>
    <w:p>
      <w:r>
        <w:rPr>
          <w:b/>
        </w:rPr>
        <w:t>印順法師的歷史考證取向</w:t>
      </w:r>
      <w:r>
        <w:t>是這一傳統的起點。印順法師的《印度大乘佛教思想史》（1968）</w:t>
      </w:r>
      <w:r>
        <w:t>CSV #145] 與《初期大乘佛教之起源與開展》（1981）</w:t>
      </w:r>
      <w:r>
        <w:t>CSV #146] 將法華經置於大乘佛教史的宏觀脈絡中考察，以嚴謹的歷史方法論追溯大乘經典的成立年代與思想淵源。印順法師的研究立場獨特：他既是出家僧侶，也是受過嚴格歷史學訓練的學者；他既尊重傳統信仰，也不迴避歷史批評方法可能帶來的「去神聖化」挑戰。這種「信仰內的批評」（faith-based criticism）立場，深刻影響了台灣佛學研究的學術氣質。</w:t>
      </w:r>
    </w:p>
    <w:p>
      <w:r>
        <w:rPr>
          <w:b/>
        </w:rPr>
        <w:t>台灣佛學研究的多元發展</w:t>
      </w:r>
      <w:r>
        <w:t>體現在三個主要學術平台：</w:t>
      </w:r>
    </w:p>
    <w:p>
      <w:r>
        <w:t>法鼓佛學學報系統：釋果暉（2008）</w:t>
      </w:r>
      <w:r>
        <w:t>CSV #37] 以嚴格的文獻學方法比較竺法護《正法華經》與鳩摩羅什《妙法蓮華經》的翻譯策略差異，是中文學界在翻譯研究領域的代表作。陳英善（2001）</w:t>
      </w:r>
      <w:r>
        <w:t>CSV #34] 深入分析法華經方便品「開權顯實」思想，將天台教義的哲學前提進行了精密的概念分析。釋恒清（2002）</w:t>
      </w:r>
      <w:r>
        <w:t>CSV #33] 從哲學角度系統分析法華經「一佛乘」思想，其著作《法華經的哲學與實踐》是中文學界少見的同時兼顧哲學深度與實踐關懷的法華經研究。</w:t>
      </w:r>
    </w:p>
    <w:p>
      <w:r>
        <w:t>台大佛學研究系統：黃國清是台灣法華經研究最多產的學者之一，其研究涵蓋天台智顗的「十如是」詮釋（2005）</w:t>
      </w:r>
      <w:r>
        <w:t>CSV #36]、常不輕菩薩品的宗教實踐意涵（2010）</w:t>
      </w:r>
      <w:r>
        <w:t>CSV #38]、以及法華經與華嚴經之「一乘」思想比較（2012）</w:t>
      </w:r>
      <w:r>
        <w:t>CSV #52]。林鎮國（2007）</w:t>
      </w:r>
      <w:r>
        <w:t>CSV #49] 對見寶塔品的空間象徵與儀式意涵的分析，展現了從宗教現象學角度研究法華經的可能性。</w:t>
      </w:r>
    </w:p>
    <w:p>
      <w:r>
        <w:t>中華佛學學報/中華佛學研究系統：釋慧嶽（1999）</w:t>
      </w:r>
      <w:r>
        <w:t>CSV #35] 探討法華經「一佛乘」思想與天台教判的關係，釋大睿（2003）</w:t>
      </w:r>
      <w:r>
        <w:t>CSV #48] 研究普門品在東亞的信仰實踐，二者均代表了台灣佛學研究在教義分析與信仰實踐研究兩個面向的成熟。</w:t>
      </w:r>
    </w:p>
    <w:p>
      <w:r>
        <w:rPr>
          <w:b/>
        </w:rPr>
        <w:t>大陸學者的貢獻</w:t>
      </w:r>
      <w:r>
        <w:t>則側重於歷史考察與敦煌研究。方廣錩（2005, 2011）</w:t>
      </w:r>
      <w:r>
        <w:t>CSV #45, 126] 系統整理敦煌出土法華經寫本，為文獻學研究提供了珍貴的實物資料。龔雋（2018）</w:t>
      </w:r>
      <w:r>
        <w:t>CSV #134] 追溯法華經從南北朝至隋唐的歷史發展，填補了中國佛教史研究中法華經專題的空白。吳言生（2009）</w:t>
      </w:r>
      <w:r>
        <w:t>CSV #53] 則從跨領域的文化研究角度探討法華經對中國文化的全面影響。</w:t>
      </w:r>
    </w:p>
    <w:p>
      <w:r>
        <w:rPr>
          <w:b/>
        </w:rPr>
        <w:t>文學研究取向</w:t>
      </w:r>
      <w:r>
        <w:t>以蕭麗華為代表。她的《法華經之文學性研究》（2006）</w:t>
      </w:r>
      <w:r>
        <w:t>CSV #40] 與〈法華經「七喻」的文學分析〉（2004）</w:t>
      </w:r>
      <w:r>
        <w:t>CSV #41] 從文學理論角度分析法華經的敘事技巧與譬喻修辭，為法華經研究開闢了人文學科的新面向。法華經的七大譬喻——三車火宅、窮子、藥草、化城、衣珠、髻珠、醫子——不僅是佛教教義的載體，也是印度敘事文學的傑作，蕭麗華的分析揭示了這些譬喻的文學機制如何增強教義的說服力與感染力。</w:t>
      </w:r>
    </w:p>
    <w:p>
      <w:pPr>
        <w:pStyle w:val="Heading3"/>
      </w:pPr>
      <w:r>
        <w:t>2.4 當代國際學術前沿（1990-2024）</w:t>
      </w:r>
    </w:p>
    <w:p>
      <w:r>
        <w:t>1990 年代以降，法華經研究進入了國際化與跨學科整合的新階段。</w:t>
      </w:r>
    </w:p>
    <w:p>
      <w:r>
        <w:rPr>
          <w:b/>
        </w:rPr>
        <w:t>文本批評新進路</w:t>
      </w:r>
      <w:r>
        <w:t xml:space="preserve">：Teiser &amp; Stone 主編的兩部論文集 </w:t>
      </w:r>
      <w:r>
        <w:rPr>
          <w:i/>
        </w:rPr>
        <w:t>Readings of the Lotus Sutra</w:t>
      </w:r>
      <w:r>
        <w:t>（2009）</w:t>
      </w:r>
      <w:r>
        <w:t xml:space="preserve">CSV #8] 與 </w:t>
      </w:r>
      <w:r>
        <w:rPr>
          <w:i/>
        </w:rPr>
        <w:t>Rethinking the Lotus Sutra</w:t>
      </w:r>
      <w:r>
        <w:t>（2024）</w:t>
      </w:r>
      <w:r>
        <w:t xml:space="preserve">CSV #17] 代表了當代西方法華經研究的最高水準。前者匯集了當代學者對法華經各品的跨學科詮釋，涵蓋文獻學、哲學、藝術史、社會史等多元視角；後者在十五年後回顧並更新了前作的研究成果，納入了數位人文等新興方法論。辛嶋靜志（Karashima Seishi）的系列突破性研究 </w:t>
      </w:r>
      <w:r>
        <w:t>CSV #11-13, 66] 是這一時期最重要的學術貢獻：他的鳩摩羅什法華經語詞考證（2001）</w:t>
      </w:r>
      <w:r>
        <w:t>CSV #12] 是法華經文獻學的里程碑，通過語言學分析提出法華經至少經歷三個編纂階段（2015）</w:t>
      </w:r>
      <w:r>
        <w:t>CSV #11]，並啟動了基於吉爾吉特寫本的新校訂計畫（2018-）</w:t>
      </w:r>
      <w:r>
        <w:t>CSV #13]。Glass（2007）</w:t>
      </w:r>
      <w:r>
        <w:t>CSV #15] 的犍陀羅語版本分析與 von Hinüber（2014）</w:t>
      </w:r>
      <w:r>
        <w:t>CSV #16] 的古文書學研究，從不同角度豐富了法華經的文本批評研究。</w:t>
      </w:r>
    </w:p>
    <w:p>
      <w:r>
        <w:rPr>
          <w:b/>
        </w:rPr>
        <w:t>翻譯與接受史研究</w:t>
      </w:r>
      <w:r>
        <w:t xml:space="preserve">：Jan Nattier 的系列研究 </w:t>
      </w:r>
      <w:r>
        <w:t>CSV #21-23] 重新審視了法華經漢譯本的翻譯策略，特別是 2008 年發表的〈The Early Chinese Translations〉</w:t>
      </w:r>
      <w:r>
        <w:t xml:space="preserve">CSV #21]，以嚴格的文獻學方法比較竺法護與鳩摩羅什的翻譯差異。Tsui Yat-ming（崔雅明）的 </w:t>
      </w:r>
      <w:r>
        <w:rPr>
          <w:i/>
        </w:rPr>
        <w:t>Rewriting Early Chinese Buddhism</w:t>
      </w:r>
      <w:r>
        <w:t>（2023）</w:t>
      </w:r>
      <w:r>
        <w:t>CSV #10] 重新檢視法華經在中國早期的翻譯與接受史，挑戰了此前學界的若干預設。Daniel Boucher（2008）</w:t>
      </w:r>
      <w:r>
        <w:t>CSV #121] 則從文獻學角度分析鳩摩羅什法華經翻譯的特點，揭示了翻譯過程中的策略性選擇如何影響了東亞佛教的義理發展。</w:t>
      </w:r>
    </w:p>
    <w:p>
      <w:r>
        <w:rPr>
          <w:b/>
        </w:rPr>
        <w:t>宗派與社會研究</w:t>
      </w:r>
      <w:r>
        <w:t xml:space="preserve">：Jacqueline Stone 的研究 </w:t>
      </w:r>
      <w:r>
        <w:t xml:space="preserve">CSV #27-28, 133] 是這一領域的標杆。她的 </w:t>
      </w:r>
      <w:r>
        <w:rPr>
          <w:i/>
        </w:rPr>
        <w:t>Original Enlightenment and Medieval Japanese Buddhism</w:t>
      </w:r>
      <w:r>
        <w:t>（1999）</w:t>
      </w:r>
      <w:r>
        <w:t>CSV #28] 探討日本中世「本覺思想」與法華經的關係，〈The Lotus Sutra and the Rhetoric of Legitimation〉（1998）</w:t>
      </w:r>
      <w:r>
        <w:t xml:space="preserve">CSV #27] 分析法華經在日本中世如何被用作政治正當性論述。Gene Reeves 的研究 </w:t>
      </w:r>
      <w:r>
        <w:t xml:space="preserve">CSV #6, 29] 則辨析法華經「一乘」思想的兩種詮釋進路——包容性（inclusive）與排他性（exclusive），為宗派間的教義對話提供了哲學框架。Donald Lopez 的 </w:t>
      </w:r>
      <w:r>
        <w:rPr>
          <w:i/>
        </w:rPr>
        <w:t>The Lotus Sutra: A Biography</w:t>
      </w:r>
      <w:r>
        <w:t>（2016）</w:t>
      </w:r>
      <w:r>
        <w:t>CSV #99] 以「傳記」形式敘述法華經兩千年的「生命歷程」，是面向一般學術讀者的優秀入門著作。</w:t>
      </w:r>
    </w:p>
    <w:p>
      <w:r>
        <w:rPr>
          <w:b/>
        </w:rPr>
        <w:t>現代英譯本的譜系</w:t>
      </w:r>
      <w:r>
        <w:t>：法華經的英譯歷史本身就是一部跨文化翻譯的縮影。Kern（1884）</w:t>
      </w:r>
      <w:r>
        <w:t>CSV #3] 從梵文翻譯，代表歐洲東方學傳統；Hurvitz（1976）</w:t>
      </w:r>
      <w:r>
        <w:t>CSV #4] 首次從鳩摩羅什漢譯本翻譯為英文，開創了「漢→英」的翻譯路徑；Watson（1993）</w:t>
      </w:r>
      <w:r>
        <w:t>CSV #5] 以流暢的現代英語重譯，成為最廣泛流通的版本；Reeves（2008）</w:t>
      </w:r>
      <w:r>
        <w:t>CSV #6] 結合梵文與漢文本的比較研究成果，代表當代翻譯學的最新方法。Kubo &amp; Yuyama（2007）</w:t>
      </w:r>
      <w:r>
        <w:t>CSV #30] 的 BDK 譯本含開經與結經，提供了最完整的文本語境。每一部翻譯都反映了特定時代的學術關切與翻譯理念，共同構成了英語世界理解法華經的多重通道。</w:t>
      </w:r>
    </w:p>
    <w:p>
      <w:pPr>
        <w:pStyle w:val="Heading3"/>
      </w:pPr>
      <w:r>
        <w:t>2.5 韓文學術研究（2000-2020）</w:t>
      </w:r>
    </w:p>
    <w:p>
      <w:r>
        <w:t>韓文學術圈的法華經研究雖然在國際能見度上不如日文與英文著作，但在東亞法華信仰史的研究中佔有不可替代的地位。韓國佛教自新羅時期即深受法華經影響，高麗時期的天台復興運動更使法華信仰成為韓國佛教的重要傳統之一。</w:t>
      </w:r>
    </w:p>
    <w:p>
      <w:r>
        <w:t>김영일（2005）</w:t>
      </w:r>
      <w:r>
        <w:t>CSV #67] 的《법화경의 사상과 문화》從韓國佛教學的角度系統研究法華經的思想與文化意涵。박용진（2012）</w:t>
      </w:r>
      <w:r>
        <w:t>CSV #68] 探討韓國天台宗的法華經信仰實踐，揭示了中國天台宗在韓半島的本土化過程。이승혜（2015）</w:t>
      </w:r>
      <w:r>
        <w:t>CSV #69] 研究高麗時期精美的法華經手抄本藝術，展現了法華信仰在物質文化層面的豐富表現。最윤정（2018）</w:t>
      </w:r>
      <w:r>
        <w:t>CSV #70] 從教育學角度分析法華經譬喻品，정수영（2020）</w:t>
      </w:r>
      <w:r>
        <w:t>CSV #71] 分析龍女成佛故事的性別意涵，反映了韓國學界將現代社會科學方法應用於佛經研究的新趨勢。김상현（2008）</w:t>
      </w:r>
      <w:r>
        <w:t>CSV #72] 考察法華經信仰在新羅的傳播過程，是新羅佛教史研究的重要成果。</w:t>
      </w:r>
    </w:p>
    <w:p>
      <w:pPr>
        <w:pStyle w:val="Heading3"/>
      </w:pPr>
      <w:r>
        <w:t>2.6 語言分布與研究趨勢分析</w:t>
      </w:r>
    </w:p>
    <w:p>
      <w:r>
        <w:t>基於 162 筆文獻的量化分析，可以歸納出法華經研究的若干結構性特徵：</w:t>
      </w:r>
    </w:p>
    <w:p>
      <w:r>
        <w:rPr>
          <w:b/>
        </w:rPr>
        <w:t>語言分布</w:t>
      </w:r>
      <w:r>
        <w:t>：中文文獻約 60 筆（37%），在數量上居首，反映了法華經作為漢傳佛教核心經典的地位；英文文獻約 55 筆（34%），顯示了國際學界對法華經的持續關注；日文文獻約 20 筆（12%），雖然數量不及中英文，但在文獻學與思想史領域的學術品質極高；韓文文獻約 10 筆（6%），集中於信仰史與藝術史領域；法文約 5 筆（3%），主要為 Burnouf 的開創性著作及 Robert（1997）</w:t>
      </w:r>
      <w:r>
        <w:t>CSV #32] 的當代法譯本；德文約 2 筆（1%），以 Deeg（2010）</w:t>
      </w:r>
      <w:r>
        <w:t>CSV #31] 為代表；梵文（含雙語）約 10 筆（6%），涵蓋校訂本、寫本研究與對照本。</w:t>
      </w:r>
    </w:p>
    <w:p>
      <w:r>
        <w:rPr>
          <w:b/>
        </w:rPr>
        <w:t>時間分布</w:t>
      </w:r>
      <w:r>
        <w:t>：1844-1920 年為「奠基期」（約 5 筆），以歐洲東方學者的梵文文獻學研究為主；1920-1970 年為「日本主導期」（約 20 筆），日本學者建立了法華經研究的現代學術框架；1970-2000 年為「多元發展期」（約 45 筆），中文學術圈與英語學界同時發力；2000-2024 年為「國際整合期」（約 90 筆），跨學科、跨文化的研究成為主流，數位人文方法開始介入。</w:t>
      </w:r>
    </w:p>
    <w:p>
      <w:r>
        <w:rPr>
          <w:b/>
        </w:rPr>
        <w:t>研究熱點變遷</w:t>
      </w:r>
      <w:r>
        <w:t>：從純文獻學（1844-1920）→ 教義與思想史（1920-1970）→ 翻譯研究與宗派比較（1970-2000）→ 跨文化傳播、社會史、藝術史、數位人文（2000-2024），法華經研究的方法論光譜不斷擴展，反映了人文學科整體的跨學科轉向。</w:t>
      </w:r>
    </w:p>
    <w:p>
      <w:pPr>
        <w:spacing w:before="240" w:after="240"/>
      </w:pPr>
      <w:r>
        <w:rPr>
          <w:color w:val="CCCCCC"/>
          <w:sz w:val="16"/>
        </w:rPr>
        <w:t>────────────────────────────────────────────────────────────</w:t>
      </w:r>
    </w:p>
    <w:p>
      <w:pPr>
        <w:pStyle w:val="Heading2"/>
      </w:pPr>
      <w:r>
        <w:t>第三章　研究方法與資料處理</w:t>
      </w:r>
    </w:p>
    <w:p>
      <w:pPr>
        <w:pStyle w:val="Heading3"/>
      </w:pPr>
      <w:r>
        <w:t>3.1 文獻收集方法論</w:t>
      </w:r>
    </w:p>
    <w:p>
      <w:r>
        <w:t>本報告的文獻收集採用系統性搜尋策略（systematic search strategy），確保跨語言、跨領域的全面覆蓋。</w:t>
      </w:r>
    </w:p>
    <w:p>
      <w:r>
        <w:rPr>
          <w:b/>
        </w:rPr>
        <w:t>核心資料庫</w:t>
      </w:r>
      <w:r>
        <w:t>：CBETA 電子佛典集成（漢文大藏經全文檢索）、JSTOR（英文學術期刊）、J-STAGE（日文開放期刊）、KCI（韓國學術引用索引）、Project MUSE（人文社科電子書與期刊）、WorldCat（全球圖書館聯合目錄）、CiNii（日本學術論文數據庫）。</w:t>
      </w:r>
    </w:p>
    <w:p>
      <w:r>
        <w:rPr>
          <w:b/>
        </w:rPr>
        <w:t>搜尋關鍵詞</w:t>
      </w:r>
      <w:r>
        <w:t>（多語言檢索詞表）：中文——法華經、妙法蓮華經、正法華經、一佛乘、開權顯實、鳩摩羅什、天台宗、法華玄義；英文——Lotus Sutra、Saddharmapundarika、one vehicle、Kumarajiva、Tiantai、Zhiyi；日文——法華經、妙法蓮華經、一仏乗、天台、日蓮；韓文——법화경、묘법연화경、천태；梵文——Saddharmapuṇḍarīka、ekayāna、upāya。</w:t>
      </w:r>
    </w:p>
    <w:p>
      <w:r>
        <w:rPr>
          <w:b/>
        </w:rPr>
        <w:t>納入標準</w:t>
      </w:r>
      <w:r>
        <w:t>：（1）直接研究法華經文本、教義、歷史或文化影響的學術著作；（2）法華經注疏原典及其現代學術版本；（3）雖非專論法華經但對理解其歷史語境不可或缺的參考文獻（如大乘佛教通史、佛經翻譯史）。</w:t>
      </w:r>
      <w:r>
        <w:rPr>
          <w:b/>
        </w:rPr>
        <w:t>排除標準</w:t>
      </w:r>
      <w:r>
        <w:t>：（1）純信仰性的布教著作（無學術論證）；（2）已被後續更精確研究取代的早期推測性論文；（3）未經同行評審的網路文章。</w:t>
      </w:r>
    </w:p>
    <w:p>
      <w:r>
        <w:rPr>
          <w:b/>
        </w:rPr>
        <w:t>三大類別的分類原則</w:t>
      </w:r>
      <w:r>
        <w:t>：學術文獻（72 筆，CSV #1-72）涵蓋同行評審論文、學術專書、英譯本及書目學工具書；注釋資料（45 筆，CSV #73-117）涵蓋古典注疏（智顗、窺基、吉藏等）、近代講記、現代學術注釋及三大漢譯原典；歷史背景（45 筆，CSV #118-162）涵蓋成書史考證、寫本考古、翻譯傳播史、東亞受容史及佛教藝術研究。</w:t>
      </w:r>
    </w:p>
    <w:p>
      <w:pPr>
        <w:pStyle w:val="Heading3"/>
      </w:pPr>
      <w:r>
        <w:t>3.2 資料處理與 CSV 結構</w:t>
      </w:r>
    </w:p>
    <w:p>
      <w:r>
        <w:t>CSV 檔案（</w:t>
      </w:r>
      <w:r>
        <w:rPr>
          <w:rFonts w:ascii="Consolas" w:hAnsi="Consolas"/>
          <w:color w:val="800080"/>
          <w:sz w:val="20"/>
        </w:rPr>
        <w:t>lotus-sutra-bibliography.csv</w:t>
      </w:r>
      <w:r>
        <w:t>）包含以下欄位：</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欄位</w:t>
            </w:r>
          </w:p>
        </w:tc>
        <w:tc>
          <w:tcPr>
            <w:tcW w:type="dxa" w:w="2880"/>
          </w:tcPr>
          <w:p>
            <w:r>
              <w:rPr>
                <w:b/>
              </w:rPr>
              <w:t>型態</w:t>
            </w:r>
          </w:p>
        </w:tc>
        <w:tc>
          <w:tcPr>
            <w:tcW w:type="dxa" w:w="2880"/>
          </w:tcPr>
          <w:p>
            <w:r>
              <w:rPr>
                <w:b/>
              </w:rPr>
              <w:t>說明</w:t>
            </w:r>
          </w:p>
        </w:tc>
      </w:tr>
      <w:tr>
        <w:tc>
          <w:tcPr>
            <w:tcW w:type="dxa" w:w="2880"/>
          </w:tcPr>
          <w:p>
            <w:r>
              <w:t>編號</w:t>
            </w:r>
          </w:p>
        </w:tc>
        <w:tc>
          <w:tcPr>
            <w:tcW w:type="dxa" w:w="2880"/>
          </w:tcPr>
          <w:p>
            <w:r>
              <w:t>整數</w:t>
            </w:r>
          </w:p>
        </w:tc>
        <w:tc>
          <w:tcPr>
            <w:tcW w:type="dxa" w:w="2880"/>
          </w:tcPr>
          <w:p>
            <w:r>
              <w:t>1-162 的唯一識別號，作為 `[CSV #N]` 引用基準</w:t>
            </w:r>
          </w:p>
        </w:tc>
      </w:tr>
      <w:tr>
        <w:tc>
          <w:tcPr>
            <w:tcW w:type="dxa" w:w="2880"/>
          </w:tcPr>
          <w:p>
            <w:r>
              <w:t>類別</w:t>
            </w:r>
          </w:p>
        </w:tc>
        <w:tc>
          <w:tcPr>
            <w:tcW w:type="dxa" w:w="2880"/>
          </w:tcPr>
          <w:p>
            <w:r>
              <w:t>列舉</w:t>
            </w:r>
          </w:p>
        </w:tc>
        <w:tc>
          <w:tcPr>
            <w:tcW w:type="dxa" w:w="2880"/>
          </w:tcPr>
          <w:p>
            <w:r>
              <w:t>學術文獻 / 注釋 / 歷史背景</w:t>
            </w:r>
          </w:p>
        </w:tc>
      </w:tr>
      <w:tr>
        <w:tc>
          <w:tcPr>
            <w:tcW w:type="dxa" w:w="2880"/>
          </w:tcPr>
          <w:p>
            <w:r>
              <w:t>標題</w:t>
            </w:r>
          </w:p>
        </w:tc>
        <w:tc>
          <w:tcPr>
            <w:tcW w:type="dxa" w:w="2880"/>
          </w:tcPr>
          <w:p>
            <w:r>
              <w:t>文字</w:t>
            </w:r>
          </w:p>
        </w:tc>
        <w:tc>
          <w:tcPr>
            <w:tcW w:type="dxa" w:w="2880"/>
          </w:tcPr>
          <w:p>
            <w:r>
              <w:t>原文標題（保留原始語言）</w:t>
            </w:r>
          </w:p>
        </w:tc>
      </w:tr>
      <w:tr>
        <w:tc>
          <w:tcPr>
            <w:tcW w:type="dxa" w:w="2880"/>
          </w:tcPr>
          <w:p>
            <w:r>
              <w:t>作者/編者</w:t>
            </w:r>
          </w:p>
        </w:tc>
        <w:tc>
          <w:tcPr>
            <w:tcW w:type="dxa" w:w="2880"/>
          </w:tcPr>
          <w:p>
            <w:r>
              <w:t>文字</w:t>
            </w:r>
          </w:p>
        </w:tc>
        <w:tc>
          <w:tcPr>
            <w:tcW w:type="dxa" w:w="2880"/>
          </w:tcPr>
          <w:p>
            <w:r>
              <w:t>含姓名原文與角色標記（trans./ed.）</w:t>
            </w:r>
          </w:p>
        </w:tc>
      </w:tr>
      <w:tr>
        <w:tc>
          <w:tcPr>
            <w:tcW w:type="dxa" w:w="2880"/>
          </w:tcPr>
          <w:p>
            <w:r>
              <w:t>出版年</w:t>
            </w:r>
          </w:p>
        </w:tc>
        <w:tc>
          <w:tcPr>
            <w:tcW w:type="dxa" w:w="2880"/>
          </w:tcPr>
          <w:p>
            <w:r>
              <w:t>整數/範圍</w:t>
            </w:r>
          </w:p>
        </w:tc>
        <w:tc>
          <w:tcPr>
            <w:tcW w:type="dxa" w:w="2880"/>
          </w:tcPr>
          <w:p>
            <w:r>
              <w:t>如 2009、1934-35、2018–</w:t>
            </w:r>
          </w:p>
        </w:tc>
      </w:tr>
      <w:tr>
        <w:tc>
          <w:tcPr>
            <w:tcW w:type="dxa" w:w="2880"/>
          </w:tcPr>
          <w:p>
            <w:r>
              <w:t>出版單位/期刊</w:t>
            </w:r>
          </w:p>
        </w:tc>
        <w:tc>
          <w:tcPr>
            <w:tcW w:type="dxa" w:w="2880"/>
          </w:tcPr>
          <w:p>
            <w:r>
              <w:t>文字</w:t>
            </w:r>
          </w:p>
        </w:tc>
        <w:tc>
          <w:tcPr>
            <w:tcW w:type="dxa" w:w="2880"/>
          </w:tcPr>
          <w:p>
            <w:r>
              <w:t>出版社、期刊名或叢書</w:t>
            </w:r>
          </w:p>
        </w:tc>
      </w:tr>
      <w:tr>
        <w:tc>
          <w:tcPr>
            <w:tcW w:type="dxa" w:w="2880"/>
          </w:tcPr>
          <w:p>
            <w:r>
              <w:t>語言</w:t>
            </w:r>
          </w:p>
        </w:tc>
        <w:tc>
          <w:tcPr>
            <w:tcW w:type="dxa" w:w="2880"/>
          </w:tcPr>
          <w:p>
            <w:r>
              <w:t>列舉</w:t>
            </w:r>
          </w:p>
        </w:tc>
        <w:tc>
          <w:tcPr>
            <w:tcW w:type="dxa" w:w="2880"/>
          </w:tcPr>
          <w:p>
            <w:r>
              <w:t>中文/英文/日文/韓文/法文/德文/梵文及組合</w:t>
            </w:r>
          </w:p>
        </w:tc>
      </w:tr>
      <w:tr>
        <w:tc>
          <w:tcPr>
            <w:tcW w:type="dxa" w:w="2880"/>
          </w:tcPr>
          <w:p>
            <w:r>
              <w:t>DOI/ISBN/ISSN</w:t>
            </w:r>
          </w:p>
        </w:tc>
        <w:tc>
          <w:tcPr>
            <w:tcW w:type="dxa" w:w="2880"/>
          </w:tcPr>
          <w:p>
            <w:r>
              <w:t>文字</w:t>
            </w:r>
          </w:p>
        </w:tc>
        <w:tc>
          <w:tcPr>
            <w:tcW w:type="dxa" w:w="2880"/>
          </w:tcPr>
          <w:p>
            <w:r>
              <w:t>標準識別號（缺失以「—」標記）</w:t>
            </w:r>
          </w:p>
        </w:tc>
      </w:tr>
      <w:tr>
        <w:tc>
          <w:tcPr>
            <w:tcW w:type="dxa" w:w="2880"/>
          </w:tcPr>
          <w:p>
            <w:r>
              <w:t>URL</w:t>
            </w:r>
          </w:p>
        </w:tc>
        <w:tc>
          <w:tcPr>
            <w:tcW w:type="dxa" w:w="2880"/>
          </w:tcPr>
          <w:p>
            <w:r>
              <w:t>文字</w:t>
            </w:r>
          </w:p>
        </w:tc>
        <w:tc>
          <w:tcPr>
            <w:tcW w:type="dxa" w:w="2880"/>
          </w:tcPr>
          <w:p>
            <w:r>
              <w:t>主要取得入口</w:t>
            </w:r>
          </w:p>
        </w:tc>
      </w:tr>
      <w:tr>
        <w:tc>
          <w:tcPr>
            <w:tcW w:type="dxa" w:w="2880"/>
          </w:tcPr>
          <w:p>
            <w:r>
              <w:t>摘要</w:t>
            </w:r>
          </w:p>
        </w:tc>
        <w:tc>
          <w:tcPr>
            <w:tcW w:type="dxa" w:w="2880"/>
          </w:tcPr>
          <w:p>
            <w:r>
              <w:t>文字</w:t>
            </w:r>
          </w:p>
        </w:tc>
        <w:tc>
          <w:tcPr>
            <w:tcW w:type="dxa" w:w="2880"/>
          </w:tcPr>
          <w:p>
            <w:r>
              <w:t>30-80 字的內容概述</w:t>
            </w:r>
          </w:p>
        </w:tc>
      </w:tr>
      <w:tr>
        <w:tc>
          <w:tcPr>
            <w:tcW w:type="dxa" w:w="2880"/>
          </w:tcPr>
          <w:p>
            <w:r>
              <w:t>備註</w:t>
            </w:r>
          </w:p>
        </w:tc>
        <w:tc>
          <w:tcPr>
            <w:tcW w:type="dxa" w:w="2880"/>
          </w:tcPr>
          <w:p>
            <w:r>
              <w:t>文字</w:t>
            </w:r>
          </w:p>
        </w:tc>
        <w:tc>
          <w:tcPr>
            <w:tcW w:type="dxa" w:w="2880"/>
          </w:tcPr>
          <w:p>
            <w:r>
              <w:t>取得方式與補充資訊</w:t>
            </w:r>
          </w:p>
        </w:tc>
      </w:tr>
    </w:tbl>
    <w:p/>
    <w:p>
      <w:r>
        <w:rPr>
          <w:b/>
        </w:rPr>
        <w:t>資料品質等級</w:t>
      </w:r>
      <w:r>
        <w:t xml:space="preserve">：A 級（原始文獻/學術權威，如 CBETA 原典、Kern-Nanjio 校本）、B 級（同行評審論文與學術專書，佔大多數）、C 級（一般出版、普及讀物，如 NHK 文化節目配套書籍 </w:t>
      </w:r>
      <w:r>
        <w:t>CSV #102]）。A/B 級合計超過 120 筆，佔總量 74% 以上，確保了文獻基礎的學術可靠性。</w:t>
      </w:r>
    </w:p>
    <w:p>
      <w:pPr>
        <w:pStyle w:val="Heading3"/>
      </w:pPr>
      <w:r>
        <w:t>3.3 文本分析方法</w:t>
      </w:r>
    </w:p>
    <w:p>
      <w:r>
        <w:rPr>
          <w:b/>
        </w:rPr>
        <w:t>逐品精讀</w:t>
      </w:r>
      <w:r>
        <w:t xml:space="preserve">：以鳩摩羅什譯本（大正藏 T09 No.262）為主要閱讀文本，參照竺法護本 </w:t>
      </w:r>
      <w:r>
        <w:t xml:space="preserve">CSV #111] 與梵文校本 </w:t>
      </w:r>
      <w:r>
        <w:t>CSV #14]。每品閱讀遵循三層提取法：核心命題（本品要解決什麼問題？）→ 關鍵概念（使用了哪些重要術語？其梵文原義為何？）→ 修行指引（對實踐者的具體指示為何？）。</w:t>
      </w:r>
    </w:p>
    <w:p>
      <w:r>
        <w:rPr>
          <w:b/>
        </w:rPr>
        <w:t>結構分析</w:t>
      </w:r>
      <w:r>
        <w:t xml:space="preserve">：法華經二十八品可依「迹門-本門」框架分為兩大部分。迹門（前 14 品）以方便品為核心，闡述「開權顯實」——三乘皆為方便，一佛乘為究竟；本門（後 14 品）以壽量品為核心，揭示「開近顯遠」——釋迦佛並非今生始成正覺，而是久遠以來即已成佛。此二門結構是天台宗的核心判教框架 </w:t>
      </w:r>
      <w:r>
        <w:t xml:space="preserve">CSV #73-74]，雖然法相宗與三論宗不一定採用此框架 </w:t>
      </w:r>
      <w:r>
        <w:t>CSV #76-78]，但作為分析工具仍有其組織文本的方法論價值。</w:t>
      </w:r>
    </w:p>
    <w:p>
      <w:r>
        <w:rPr>
          <w:b/>
        </w:rPr>
        <w:t>義理提取</w:t>
      </w:r>
      <w:r>
        <w:t>：在逐品精讀的基礎上，歸納跨品的核心義理主題。法華經的核心義理可概括為五大主題：（1）一佛乘（ekayāna）——超越三乘分別，一切眾生皆可成佛；（2）方便（upāya）——佛陀因材施教的教化智慧；（3）授記（vyākaraṇa）——佛陀對弟子未來成佛的預言與確認；（4）久遠實成——佛壽無量，非今生始成正覺；（5）菩薩行——以利他為導向的修行道路。</w:t>
      </w:r>
    </w:p>
    <w:p>
      <w:pPr>
        <w:pStyle w:val="Heading3"/>
      </w:pPr>
      <w:r>
        <w:t>3.4 資料一致性處理</w:t>
      </w:r>
    </w:p>
    <w:p>
      <w:r>
        <w:rPr>
          <w:b/>
        </w:rPr>
        <w:t>交叉驗證規則</w:t>
      </w:r>
      <w:r>
        <w:t>：CSV 中的每一筆文獻均與概覽報告中的統計數據進行交叉驗證。具體規則包括：三大類別的文獻筆數加總須等於 162（72+45+45=162，已驗證）；語言分布統計須與 CSV 中「語言」欄位的實際分布一致；出版年份範圍須與 CSV 中最早（1844）和最晚（2024）的條目一致。</w:t>
      </w:r>
    </w:p>
    <w:p>
      <w:r>
        <w:rPr>
          <w:b/>
        </w:rPr>
        <w:t>年份不一致處理</w:t>
      </w:r>
      <w:r>
        <w:t xml:space="preserve">：部分文獻的出版年份涉及再版或翻譯版本，可能出現多個年份（如望月信亨原著 1922，釋印海中譯 1987 </w:t>
      </w:r>
      <w:r>
        <w:t>CSV #42]）。處理原則：以 CSV 中記錄的年份為準，在正文中可補充說明版本關係。</w:t>
      </w:r>
    </w:p>
    <w:p>
      <w:r>
        <w:rPr>
          <w:b/>
        </w:rPr>
        <w:t>開放存取資源的版本標注</w:t>
      </w:r>
      <w:r>
        <w:t>：CBETA 電子佛典每季更新，BDK 英譯佛典年度更新，ARIRIAB 年報年度出版。引用這些資源時，須標注取用日期以確保可追溯性。本報告的 CSV 資料基準日期為 2026 年 3 月 7 日。</w:t>
      </w:r>
    </w:p>
    <w:p>
      <w:pPr>
        <w:spacing w:before="240" w:after="240"/>
      </w:pPr>
      <w:r>
        <w:rPr>
          <w:color w:val="CCCCCC"/>
          <w:sz w:val="16"/>
        </w:rPr>
        <w:t>────────────────────────────────────────────────────────────</w:t>
      </w:r>
    </w:p>
    <w:p>
      <w:pPr>
        <w:pStyle w:val="Heading2"/>
      </w:pPr>
      <w:r>
        <w:t>第四章　法華經成書史與文本層次</w:t>
      </w:r>
    </w:p>
    <w:p>
      <w:pPr>
        <w:pStyle w:val="Heading3"/>
      </w:pPr>
      <w:r>
        <w:t>4.1 成書過程的四層結構</w:t>
      </w:r>
    </w:p>
    <w:p>
      <w:r>
        <w:t>法華經（</w:t>
      </w:r>
      <w:r>
        <w:rPr>
          <w:i/>
        </w:rPr>
        <w:t>Saddharmapundarikasutram</w:t>
      </w:r>
      <w:r>
        <w:t>）的成書並非一時一地之作，這一判斷自二十世紀初以來已逐步成為學界的基本共識。從望月信亨（1922）</w:t>
      </w:r>
      <w:r>
        <w:t>CSV #57] 首度提出「分期成書」假說，到布施浩岳（1934）</w:t>
      </w:r>
      <w:r>
        <w:t>CSV #63] 以文獻學方法細緻考證各品年代，再到辛嶋靜志（2015）</w:t>
      </w:r>
      <w:r>
        <w:t>CSV #11] 以語言學內證實現方法論突破，學者們逐步勾勒出法華經至少經歷三至四個編纂階段的文本地層學圖景。然而，各層的確切年代、涵蓋範圍及劃分標準，至今仍存在顯著的學術爭議。以下依據當前學界的多數共識，逐層展開分析。</w:t>
      </w:r>
    </w:p>
    <w:p>
      <w:pPr>
        <w:pStyle w:val="Heading4"/>
      </w:pPr>
      <w:r>
        <w:t>4.1.1 第一層（約西元前 1 世紀）：核心偈頌群</w:t>
      </w:r>
    </w:p>
    <w:p>
      <w:r>
        <w:t>第 2-9 品的偈頌（</w:t>
      </w:r>
      <w:r>
        <w:rPr>
          <w:i/>
        </w:rPr>
        <w:t>gatha</w:t>
      </w:r>
      <w:r>
        <w:t xml:space="preserve">）部分構成法華經最古老的文本層。辛嶋靜志 </w:t>
      </w:r>
      <w:r>
        <w:t>CSV #11] 通過系統性的語言學分析提出了一項革命性發現：這些偈頌的原始語言並非古典梵語（Classical Sanskrit），而是中期印度語（Middle Indic / Prakrit），具體而言可能是某種西北印度的方言形式。這一論斷建立在多重語言學證據之上：</w:t>
      </w:r>
    </w:p>
    <w:p>
      <w:r>
        <w:rPr>
          <w:b/>
        </w:rPr>
        <w:t>語音層面的證據</w:t>
      </w:r>
      <w:r>
        <w:t xml:space="preserve">。早期偈頌中保留了大量中期印度語的語音特徵，包括齒音（dental）與捲舌音（retroflex）的系統性混淆——例如 </w:t>
      </w:r>
      <w:r>
        <w:rPr>
          <w:i/>
        </w:rPr>
        <w:t>t</w:t>
      </w:r>
      <w:r>
        <w:t xml:space="preserve"> 與 </w:t>
      </w:r>
      <w:r>
        <w:rPr>
          <w:i/>
        </w:rPr>
        <w:t>ṭ</w:t>
      </w:r>
      <w:r>
        <w:t xml:space="preserve"> 的互換，這在古典梵語中是嚴格區分的；長短母音（</w:t>
      </w:r>
      <w:r>
        <w:rPr>
          <w:i/>
        </w:rPr>
        <w:t>a/ā</w:t>
      </w:r>
      <w:r>
        <w:t xml:space="preserve">, </w:t>
      </w:r>
      <w:r>
        <w:rPr>
          <w:i/>
        </w:rPr>
        <w:t>i/ī</w:t>
      </w:r>
      <w:r>
        <w:t xml:space="preserve">, </w:t>
      </w:r>
      <w:r>
        <w:rPr>
          <w:i/>
        </w:rPr>
        <w:t>u/ū</w:t>
      </w:r>
      <w:r>
        <w:t>）的不規則替換，違反古典梵語的韻律規範；以及鼻音同化（nasal assimilation）與連音（sandhi）規則的非標準運用。這些「不規則」現象在古典梵語的框架內無法解釋，但若還原為中期印度語，則完全符合其語音演變規律。辛嶋靜志進一步指出，這些語音特徵在後來的「梵語化」（Sanskritization）過程中被系統性地抹除，但在最古老的寫本——尤其是吉爾吉特寫本——中仍留有殘跡，成為文本考古的關鍵線索。</w:t>
      </w:r>
    </w:p>
    <w:p>
      <w:r>
        <w:rPr>
          <w:b/>
        </w:rPr>
        <w:t>韻律層面的證據</w:t>
      </w:r>
      <w:r>
        <w:t xml:space="preserve">。核心偈頌主要採用 </w:t>
      </w:r>
      <w:r>
        <w:rPr>
          <w:i/>
        </w:rPr>
        <w:t>triṣṭubh</w:t>
      </w:r>
      <w:r>
        <w:t xml:space="preserve"> 韻律（每行 11 音節），這是吠陀文學——尤其是《梨俱吠陀》——中最古老、最莊嚴的韻律形式之一。</w:t>
      </w:r>
      <w:r>
        <w:rPr>
          <w:i/>
        </w:rPr>
        <w:t>triṣṭubh</w:t>
      </w:r>
      <w:r>
        <w:t xml:space="preserve"> 韻律的使用暗示法華經最初是作為口傳文本（oral text）在僧團中流通的，因為這種韻律結構特別適合記誦與吟唱。萬金川（2003）</w:t>
      </w:r>
      <w:r>
        <w:t xml:space="preserve">CSV #56] 從語言學角度對法華經梵文偈頌的韻律結構進行了細緻分析，揭示了偈頌韻律與經典年代學之間的對應關係——越古老的偈頌，越傾向使用 </w:t>
      </w:r>
      <w:r>
        <w:rPr>
          <w:i/>
        </w:rPr>
        <w:t>triṣṭubh</w:t>
      </w:r>
      <w:r>
        <w:t xml:space="preserve"> 韻律；後期增補的偈頌則多採用 </w:t>
      </w:r>
      <w:r>
        <w:rPr>
          <w:i/>
        </w:rPr>
        <w:t>śloka</w:t>
      </w:r>
      <w:r>
        <w:t xml:space="preserve"> 韻律（每行 8 音節），後者在古典梵語文學中佔主導地位。</w:t>
      </w:r>
    </w:p>
    <w:p>
      <w:r>
        <w:rPr>
          <w:b/>
        </w:rPr>
        <w:t>內容層面的證據</w:t>
      </w:r>
      <w:r>
        <w:t>。法華經最核心的譬喻群在此階段形成。蕭麗華（2004, 2006）</w:t>
      </w:r>
      <w:r>
        <w:t>CSV #40-41] 的文學分析揭示了這些譬喻的敘事結構與修辭策略：三車火宅喻（第 3 品）以父親以三種車誘引兒子逃離火宅來說明三乘為方便、一乘為究竟；窮子喻（第 4 品）以離家窮子不識富父來喻說眾生本具佛性而不自知；藥草喻（第 5 品）以一雨潤澤三草二木來闡釋法雨平等而根機有別；化城喻（第 7 品）以導師化現城邑令疲極旅人休息來比擬二乘涅槃為中途化城、非究竟目的地。這些譬喻的敘事結構具有顯著的口傳文學特徵——對稱的結構、反復的修辭、鮮明的意象——支持了第一層作為口傳流通文本的判斷。</w:t>
      </w:r>
    </w:p>
    <w:p>
      <w:r>
        <w:rPr>
          <w:b/>
        </w:rPr>
        <w:t>學者之間的爭議</w:t>
      </w:r>
      <w:r>
        <w:t xml:space="preserve">。儘管第一層的存在已獲廣泛認可，其確切範圍與年代仍有爭論。望月信亨 </w:t>
      </w:r>
      <w:r>
        <w:t xml:space="preserve">CSV #57] 最初將整個前十四品（迹門）視為較早期的文本，後十四品（本門）為後期增補，這一「二部成立說」在日本學界影響深遠。布施浩岳 </w:t>
      </w:r>
      <w:r>
        <w:t>CSV #63] 則更精細地將第一層限定為偈頌部分，而非整個品章。Lamotte（1954）</w:t>
      </w:r>
      <w:r>
        <w:t>CSV #147] 從印度佛教史的宏觀視角支持核心品的早期年代，認為法華經的一乘思想與部派佛教時期大眾部（</w:t>
      </w:r>
      <w:r>
        <w:rPr>
          <w:i/>
        </w:rPr>
        <w:t>Mahāsāṅghika</w:t>
      </w:r>
      <w:r>
        <w:t>）的平等思想具有親緣性。印順法師（1981）</w:t>
      </w:r>
      <w:r>
        <w:t>CSV #146] 的考證則將法華經定位於初期大乘經典的發展脈絡中，認為其核心層的成立不會早於西元前一世紀。平川彰（1985）</w:t>
      </w:r>
      <w:r>
        <w:t>CSV #149] 對法華經與印度佛教歷史背景的關聯進行了詳細分析，指出法華經的一乘思想反映了部派分裂後大乘運動對統一教團的理想追求。</w:t>
      </w:r>
    </w:p>
    <w:p>
      <w:pPr>
        <w:pStyle w:val="Heading4"/>
      </w:pPr>
      <w:r>
        <w:t>4.1.2 第二層（約西元 1 世紀）：散文擴展</w:t>
      </w:r>
    </w:p>
    <w:p>
      <w:r>
        <w:t>原有偈頌核心開始被散文（</w:t>
      </w:r>
      <w:r>
        <w:rPr>
          <w:i/>
        </w:rPr>
        <w:t>gadya</w:t>
      </w:r>
      <w:r>
        <w:t>）闡釋所包圍，遵循印度文學中常見的「先韻文後散文」（verse-prose sequence）演化模式。這一模式在印度文學傳統中具有深厚的根基——從吠陀文學到史詩文學，從耆那教經典到佛教經典，偈頌先行、散文後繼是一種普遍的文本生長方式。其背後的機制在於：偈頌適合口傳記誦，是教團集體記憶的核心載體；當教團規模擴大、聽眾背景多元化後，需要散文來提供敘事脈絡、闡釋教義細節、回應具體問題。</w:t>
      </w:r>
    </w:p>
    <w:p>
      <w:r>
        <w:t>散文段落通常以「爾時佛告……」（</w:t>
      </w:r>
      <w:r>
        <w:rPr>
          <w:i/>
        </w:rPr>
        <w:t>atha khalu bhagavān ... āmantrayati sma</w:t>
      </w:r>
      <w:r>
        <w:t>）的程式化開頭引入，為偈頌中的教義提供更詳細的敘事脈絡與對話場景。這種「散文框架＋偈頌核心」的結構在方便品中表現得最為典型：釋迦佛與舍利弗之間的三次請法與三次拒絕的對話張力，完全由散文段落構建，而最終揭示的「諸法實相」教義則以偈頌形式呈現，形成了戲劇性敘事與教義宣說的有機結合。</w:t>
      </w:r>
    </w:p>
    <w:p>
      <w:r>
        <w:t xml:space="preserve">此階段還增補了 </w:t>
      </w:r>
      <w:r>
        <w:rPr>
          <w:i/>
        </w:rPr>
        <w:t>śloka</w:t>
      </w:r>
      <w:r>
        <w:t xml:space="preserve"> 偈頌（每行 8 音節），使法華經的文本結構更加豐富，能夠容納更複雜的敘事。</w:t>
      </w:r>
      <w:r>
        <w:rPr>
          <w:i/>
        </w:rPr>
        <w:t>śloka</w:t>
      </w:r>
      <w:r>
        <w:t xml:space="preserve"> 韻律比 </w:t>
      </w:r>
      <w:r>
        <w:rPr>
          <w:i/>
        </w:rPr>
        <w:t>triṣṭubh</w:t>
      </w:r>
      <w:r>
        <w:t xml:space="preserve"> 更為靈活，適合敘述性內容，這一韻律選擇本身就反映了法華經從「教義宣說」向「敘事文學」的功能擴展。第二層的散文化過程不僅是文體的變化，更是傳播策略的轉型——從僧團內部的教義傳承，轉向更廣泛聽眾群體的弘法教化。</w:t>
      </w:r>
    </w:p>
    <w:p>
      <w:pPr>
        <w:pStyle w:val="Heading4"/>
      </w:pPr>
      <w:r>
        <w:t>4.1.3 第三層（約西元 100 年）：本門核心的確立</w:t>
      </w:r>
    </w:p>
    <w:p>
      <w:r>
        <w:t>序品（第 1 品）及第 10-22 品的加入標誌著法華經文本結構的重大擴展。這一層的加入使法華經從一部以譬喻教說為主的迹門經典，發展為涵蓋迹門與本門的宏大佛教敘事。</w:t>
      </w:r>
    </w:p>
    <w:p>
      <w:r>
        <w:rPr>
          <w:b/>
        </w:rPr>
        <w:t>如來壽量品（第 16 品）</w:t>
      </w:r>
      <w:r>
        <w:t>是本門的核心，揭示釋迦佛「久遠實成」——佛陀並非在菩提樹下始成正覺，而是無量劫前即已成佛，此後在無數世界中以種種方便示現成道、入滅，皆是教化眾生的善巧方便。釋恒清（2004）</w:t>
      </w:r>
      <w:r>
        <w:t>CSV #44] 深入探討了這一教說對佛教時間觀的革命性影響：傳統佛教的時間觀是線性的——從凡夫修行到成佛是一條有明確起點和終點的路徑；壽量品的「久遠實成」則將時間觀轉化為循環的、無始無終的——佛陀的覺悟沒有起點，佛陀的教化沒有終點。菅野博史（1991）</w:t>
      </w:r>
      <w:r>
        <w:t>CSV #64] 對壽量品「久遠佛」的哲學意涵進行了深入分析，指出「久遠實成」不僅改變了佛身論（Buddhology），更根本地改變了大乘佛教的本體論——如果佛陀的覺悟是無始的，那麼覺悟就不是「獲得」的，而是「本來如此」的，這一邏輯最終發展為天台宗「性具」思想與日本「本覺」（</w:t>
      </w:r>
      <w:r>
        <w:rPr>
          <w:i/>
        </w:rPr>
        <w:t>hongaku</w:t>
      </w:r>
      <w:r>
        <w:t>）思想的哲學基礎。</w:t>
      </w:r>
    </w:p>
    <w:p>
      <w:r>
        <w:rPr>
          <w:b/>
        </w:rPr>
        <w:t>見寶塔品（第 11 品）</w:t>
      </w:r>
      <w:r>
        <w:t>以多寶佛塔從地湧出的壯觀場景，建構了大乘佛教最具想像力的宇宙論空間之一。林鎮國（2007）</w:t>
      </w:r>
      <w:r>
        <w:t>CSV #49] 分析了見寶塔品的空間象徵與儀式意涵：七寶塔從地下湧出、住於虛空之中，塔門開啟後多寶佛與釋迦佛並坐塔中——這一場景打破了傳統佛教「一世界一佛」的宇宙論限制，建立了多佛並存、多世界疊合的宇宙觀。見寶塔品的空間建構後來成為大乘佛教曼荼羅藝術的重要原型，從敦煌壁畫到日本繪卷，「二佛並坐」成為法華經圖像學中最具辨識度的母題。</w:t>
      </w:r>
    </w:p>
    <w:p>
      <w:r>
        <w:rPr>
          <w:b/>
        </w:rPr>
        <w:t>法師品（第 10 品）</w:t>
      </w:r>
      <w:r>
        <w:t>與</w:t>
      </w:r>
      <w:r>
        <w:rPr>
          <w:b/>
        </w:rPr>
        <w:t>安樂行品（第 14 品）</w:t>
      </w:r>
      <w:r>
        <w:t>的加入則確立了法華經的「受持者」倫理——法師品提出受持、讀誦、解說、書寫、供養的「五種法師行」，將法華經的傳播本身提升為一種宗教實踐；安樂行品則為法師的行為規範提供了四種具體指引（身安樂行、口安樂行、意安樂行、誓願安樂行），形成了完整的法華行者倫理體系。</w:t>
      </w:r>
    </w:p>
    <w:p>
      <w:pPr>
        <w:pStyle w:val="Heading4"/>
      </w:pPr>
      <w:r>
        <w:t>4.1.4 第四層（約西元 150 年）：流通分增補</w:t>
      </w:r>
    </w:p>
    <w:p>
      <w:r>
        <w:t>第 23-27 品及提婆達多品（第 12 品）構成「流通分」，代表法華經文本演化的最後一個主要階段。這一層的品章具有明顯的「附加」性質——它們擴展了法華經的信仰實踐面向，但與前三層的教義核心之間的有機聯繫相對較弱。</w:t>
      </w:r>
    </w:p>
    <w:p>
      <w:r>
        <w:rPr>
          <w:b/>
        </w:rPr>
        <w:t>藥王菩薩本事品（第 23 品）</w:t>
      </w:r>
      <w:r>
        <w:t>以藥王菩薩燃身供佛的極端苦行故事，強調法華經的至高價值——「若有人聞此經者，是人命終，生安樂世界」。燃身供佛的敘事後來成為東亞佛教「燃指供佛」「燒戒疤」等苦行實踐的經典依據，其宗教社會學影響遠超經典本身的教義範圍。</w:t>
      </w:r>
    </w:p>
    <w:p>
      <w:r>
        <w:rPr>
          <w:b/>
        </w:rPr>
        <w:t>觀世音菩薩普門品（第 25 品）</w:t>
      </w:r>
      <w:r>
        <w:t>描述觀音三十三種應化身，釋大睿（2003）</w:t>
      </w:r>
      <w:r>
        <w:t>CSV #48] 的研究揭示了普門品如何促成東亞最受歡迎的佛教信仰之一——觀音信仰——的形成。于君方（2001）</w:t>
      </w:r>
      <w:r>
        <w:t>CSV #158-159] 的經典研究進一步追溯了觀音從法華經中一品的菩薩角色，如何逐漸發展為東亞民間信仰中救苦救難、有求必應的神聖存在。普門品在東亞的單獨流通（獨立抄寫、獨立誦持）本身就反映了第四層品章的「模組化」特質——它們可以脫離全經獨立運作，這與前三層品章的有機整體性形成對照。</w:t>
      </w:r>
    </w:p>
    <w:p>
      <w:r>
        <w:rPr>
          <w:b/>
        </w:rPr>
        <w:t>提婆達多品（第 12 品）</w:t>
      </w:r>
      <w:r>
        <w:t>中「龍女成佛」是佛教史上最具爭議的性別議題之一。정수영（2020）</w:t>
      </w:r>
      <w:r>
        <w:t>CSV #71] 從性別研究的角度分析了龍女成佛故事的多重矛盾：龍女既需要「轉女成男」才能成佛（反映了部派佛教的性別偏見），又在「須臾之間」完成了整個成佛過程（超越了漫長劫數修行的常規路徑），這一敘事張力使得提婆達多品同時成為佛教性別保守主義與性別進步主義各自援引的經典依據。提婆達多品的文本位置本身也是爭議焦點——它在梵文本中的位置並不固定，部分寫本將其置於第 11 品之後，部分寫本則將其作為獨立的附錄，這一現象進一步印證了其後期增補的性質。</w:t>
      </w:r>
    </w:p>
    <w:p>
      <w:r>
        <w:rPr>
          <w:b/>
        </w:rPr>
        <w:t>普賢菩薩勸發品（第 28 品）</w:t>
      </w:r>
      <w:r>
        <w:t>是最晚加入的品章，為全經提供實踐層面的總結——普賢菩薩發願以神通力守護受持法華經者，並以「六牙白象」作為守護的象徵意象。此品的加入使法華經形成了從序品到普賢品的完整「封閉結構」，在文本形式上宣告了經典編纂的終結。</w:t>
      </w:r>
    </w:p>
    <w:p>
      <w:pPr>
        <w:pStyle w:val="Heading3"/>
      </w:pPr>
      <w:r>
        <w:t>4.2 寫本與考古發現</w:t>
      </w:r>
    </w:p>
    <w:p>
      <w:r>
        <w:t>法華經的寫本傳統構成了理解其文本演化的物質基礎。從喜馬拉雅山麓到絲綢之路沿線、從尼泊爾山谷到敦煌石窟，法華經寫本的地理分布本身就是這部經典跨文化傳播的物質見證。</w:t>
      </w:r>
    </w:p>
    <w:p>
      <w:pPr>
        <w:pStyle w:val="Heading4"/>
      </w:pPr>
      <w:r>
        <w:t>4.2.1 吉爾吉特寫本（5-6 世紀）</w:t>
      </w:r>
    </w:p>
    <w:p>
      <w:r>
        <w:t>吉爾吉特寫本是現存最古老的法華經梵文實物證據，其發現與研究歷程構成了二十世紀佛教文獻學的重要篇章。</w:t>
      </w:r>
    </w:p>
    <w:p>
      <w:r>
        <w:rPr>
          <w:b/>
        </w:rPr>
        <w:t>發現經過</w:t>
      </w:r>
      <w:r>
        <w:t>。1931 年，在今巴基斯坦北部吉爾吉特（Gilgit）地區的一座佛塔遺址中，出土了大量樺樹皮（</w:t>
      </w:r>
      <w:r>
        <w:rPr>
          <w:i/>
        </w:rPr>
        <w:t>bhūrja-patra</w:t>
      </w:r>
      <w:r>
        <w:t>）寫本，其中包含法華經的較完整梵文抄本。這批寫本的出土是偶然的——當地居民在佛塔廢墟中挖掘時發現了這批被密封保存的文獻。寫本被分為兩批：一批由當時的克什米爾大君（Maharaja）收藏，後轉入斯利那加（Srinagar）博物館；另一批流入古董市場，最終被多個機構收藏。寫本的分散收藏給後續研究帶來了持續的挑戰。</w:t>
      </w:r>
    </w:p>
    <w:p>
      <w:r>
        <w:rPr>
          <w:b/>
        </w:rPr>
        <w:t>物質文化描述</w:t>
      </w:r>
      <w:r>
        <w:t>。吉爾吉特寫本以樺樹皮為書寫材料，這是南亞次大陸北部地區（尤其是克什米爾與犍陀羅地區）最常見的書寫載體。樺樹皮的纖維結構使其適合以墨書寫，但對濕度極為敏感——吉爾吉特地區乾燥的高原氣候是這批寫本得以保存近一千五百年的關鍵條件。寫本使用笈多字體（Gupta script）的一種地方變體書寫，這種字體流行於公元 4-6 世紀的北印度，為寫本的年代歸屬提供了古文書學（palaeography）依據。von Hinüber（2014）</w:t>
      </w:r>
      <w:r>
        <w:t>CSV #16] 的古文書學研究通過字體特徵的比較分析，將寫本的抄寫年代確定為約 5-6 世紀，使其成為比尼泊爾傳本早數百年的珍貴文獻。</w:t>
      </w:r>
    </w:p>
    <w:p>
      <w:r>
        <w:rPr>
          <w:b/>
        </w:rPr>
        <w:t>語言學意義</w:t>
      </w:r>
      <w:r>
        <w:t>。吉爾吉特寫本保留了大量混合梵語（Buddhist Hybrid Sanskrit, BHS）的語言特徵——所謂混合梵語，是指介於中期印度語與古典梵語之間的一種語言形態，它保留了俗語（Prakrit）的許多語音、詞法和句法特徵，同時部分地採用了古典梵語的規範化形式。這些混合梵語特徵在尼泊爾傳本中已被大幅「修正」為更標準的古典梵語形式，使得吉爾吉特寫本成為理解法華經原始語言面貌的關鍵窗口。</w:t>
      </w:r>
    </w:p>
    <w:p>
      <w:r>
        <w:rPr>
          <w:b/>
        </w:rPr>
        <w:t>學術影響</w:t>
      </w:r>
      <w:r>
        <w:t>。Raghu Vira &amp; Lokesh Chandra（1959-74）</w:t>
      </w:r>
      <w:r>
        <w:t>CSV #124] 首次出版了吉爾吉特寫本的文本，為學界提供了直接研究的基礎。Hirofumi Toda（1981）</w:t>
      </w:r>
      <w:r>
        <w:t xml:space="preserve">CSV #125] 在此基礎上提供了精校版本，修正了首次出版中的部分讀法錯誤。辛嶋靜志自 2018 年起啟動了基於吉爾吉特寫本的全新校訂計畫 </w:t>
      </w:r>
      <w:r>
        <w:t>CSV #13]，這一進行中的工作代表了法華經文獻學研究的範式轉移——從以尼泊爾傳本為中心轉向以吉爾吉特寫本為核心的新校訂典範。</w:t>
      </w:r>
    </w:p>
    <w:p>
      <w:pPr>
        <w:pStyle w:val="Heading4"/>
      </w:pPr>
      <w:r>
        <w:t>4.2.2 中亞殘片</w:t>
      </w:r>
    </w:p>
    <w:p>
      <w:r>
        <w:t>中亞殘片見證了法華經沿絲綢之路的傳播，它們以物質形態記錄了佛教經典在多語言、多文化環境中的流通方式。</w:t>
      </w:r>
    </w:p>
    <w:p>
      <w:r>
        <w:t>Glass（2007）</w:t>
      </w:r>
      <w:r>
        <w:t>CSV #15] 分析的犍陀羅語（</w:t>
      </w:r>
      <w:r>
        <w:rPr>
          <w:i/>
        </w:rPr>
        <w:t>Gāndhārī</w:t>
      </w:r>
      <w:r>
        <w:t>）版本殘片具有特殊的重要性。這些殘片以佉盧字體（</w:t>
      </w:r>
      <w:r>
        <w:rPr>
          <w:i/>
        </w:rPr>
        <w:t>Kharoṣṭhī</w:t>
      </w:r>
      <w:r>
        <w:t>）書寫，語言為犍陀羅語——一種西北印度的中期印度語方言。犍陀羅語殘片可能代表了法華經最早的書寫形式之一，因為犍陀羅地區（今阿富汗東部至巴基斯坦北部）是佛教從印度向中亞傳播的關鍵中轉站。犍陀羅語法華經殘片的語言特徵與辛嶋靜志從吉爾吉特寫本中還原的中期印度語特徵具有一致性，從獨立的證據來源支持了法華經「非梵語起源」的假說。</w:t>
      </w:r>
    </w:p>
    <w:p>
      <w:r>
        <w:t>Baums &amp; Glass（2015）</w:t>
      </w:r>
      <w:r>
        <w:t>CSV #130] 研究的巴焦爾（Bajaur）出土寫本進一步豐富了犍陀羅語佛教文獻的研究。巴焦爾位於今巴基斯坦與阿富汗交界的部落地區，這批寫本的出土擴展了犍陀羅語佛教文獻的地理範圍，顯示法華經的早期傳播比此前認知的更為廣泛。Salomon（1999）</w:t>
      </w:r>
      <w:r>
        <w:t>CSV #127] 為中亞佛教寫本研究提供了方法論框架，建立了犍陀羅語佛教文獻的古文書學分類體系。</w:t>
      </w:r>
    </w:p>
    <w:p>
      <w:pPr>
        <w:pStyle w:val="Heading4"/>
      </w:pPr>
      <w:r>
        <w:t>4.2.3 敦煌寫本</w:t>
      </w:r>
    </w:p>
    <w:p>
      <w:r>
        <w:t>方廣錩（2005, 2011）</w:t>
      </w:r>
      <w:r>
        <w:t>CSV #45, 126] 系統整理的敦煌出土法華經寫本，時間跨度從 5 世紀到 10 世紀，涵蓋了鳩摩羅什譯本與竺法護譯本的多種抄本。敦煌法華經寫本的數量之多——據統計達千餘卷——使法華經成為敦煌佛教文獻中被抄寫最多的經典之一，這一統計數據本身就是法華經在中國中古時期廣泛流通的實物證明。</w:t>
      </w:r>
    </w:p>
    <w:p>
      <w:r>
        <w:t>敦煌法華經寫本的學術價值不僅在於經文本身，更在於許多寫本末尾附有發願文（</w:t>
      </w:r>
      <w:r>
        <w:rPr>
          <w:i/>
        </w:rPr>
        <w:t>praṇidhāna</w:t>
      </w:r>
      <w:r>
        <w:t>）。這些發願文記載了抄經者的姓名、身份、抄經日期、抄經動機，是社會史研究的一手資料。從發願文中可以看出，法華經的抄寫者涵蓋了從僧侶到俗家信眾、從官吏到普通百姓的廣泛社會階層，反映了法華經信仰的跨階層傳播。榮新江（2013）</w:t>
      </w:r>
      <w:r>
        <w:t>CSV #153] 從絲綢之路角度追溯法華經從犍陀羅經中亞傳入中國的路線，敦煌正是這條傳播路線上的關鍵節點。</w:t>
      </w:r>
    </w:p>
    <w:p>
      <w:pPr>
        <w:pStyle w:val="Heading4"/>
      </w:pPr>
      <w:r>
        <w:t>4.2.4 尼泊爾傳本</w:t>
      </w:r>
    </w:p>
    <w:p>
      <w:r>
        <w:t>尼泊爾傳本是法華經梵文文本傳統中數量最多、保存最完整的寫本群。十九世紀初，英國駐尼泊爾公使霍奇森（Brian Houghton Hodgson）從尼泊爾加德滿都河谷的佛教寺院中蒐集了大量梵文佛教寫本，其中包含多部法華經抄本。Yuyama（1972）</w:t>
      </w:r>
      <w:r>
        <w:t>CSV #128] 對霍奇森蒐集寫本的考證工作，為尼泊爾傳本的學術利用奠定了基礎。松田和信（2010）</w:t>
      </w:r>
      <w:r>
        <w:t>CSV #129] 調查了日本各機構收藏的法華經梵文寫本，擴展了尼泊爾傳本的研究視野。</w:t>
      </w:r>
    </w:p>
    <w:p>
      <w:r>
        <w:t>尼泊爾傳本的語言比吉爾吉特寫本更「標準化」——即更接近古典梵語的規範形式——這反映了後期抄寫者對文本的系統性語言修訂。這種「過度梵語化」現象是辛嶋靜志批評 Kern-Nanjio 校本的核心論點之一：Kern &amp; Nanjio 校本以尼泊爾傳本為底本，實際上呈現的是經過後期語言修訂的「二手」文本，而非法華經的原始語言面貌。尼泊爾傳本的寫本年代多在 11-19 世紀之間，比吉爾吉特寫本晚數百年，但其文本的完整性——幾乎涵蓋全經 28 品——使其在校訂工作中仍具有不可替代的參考價值。</w:t>
      </w:r>
    </w:p>
    <w:p>
      <w:pPr>
        <w:pStyle w:val="Heading3"/>
      </w:pPr>
      <w:r>
        <w:t>4.3 梵文校訂本的學術譜系</w:t>
      </w:r>
    </w:p>
    <w:p>
      <w:r>
        <w:t>法華經梵文校訂經歷了三代演進，每一代都反映了其所處時代的學術方法論與研究範式。</w:t>
      </w:r>
    </w:p>
    <w:p>
      <w:r>
        <w:rPr>
          <w:b/>
        </w:rPr>
        <w:t>第一代：Kern &amp; Nanjio 校本（1908-1912）</w:t>
      </w:r>
      <w:r>
        <w:t>。荷蘭學者 Hendrik Kern 與日本學者南條文雄合作，以尼泊爾傳本為底本，依據十九世紀德國古典文獻學（</w:t>
      </w:r>
      <w:r>
        <w:rPr>
          <w:i/>
        </w:rPr>
        <w:t>Textkritik</w:t>
      </w:r>
      <w:r>
        <w:t>）的方法論——即通過比對多個抄本的異文，重建假設性的「原始文本」（</w:t>
      </w:r>
      <w:r>
        <w:rPr>
          <w:i/>
        </w:rPr>
        <w:t>Urtext</w:t>
      </w:r>
      <w:r>
        <w:t>）——建立了法華經第一個學術校訂本。這一校本收入《佛典叢書》（</w:t>
      </w:r>
      <w:r>
        <w:rPr>
          <w:i/>
        </w:rPr>
        <w:t>Bibliotheca Buddhica</w:t>
      </w:r>
      <w:r>
        <w:t>），長期作為法華經梵文研究的標準文本。其方法論的核心假設是：存在一個單一的「原始文本」，而所有現存抄本都是這一原始文本的不完美副本。Kern &amp; Nanjio 的校本為後世研究提供了不可或缺的文本基礎，但其「重建原始文本」的方法論假設後來受到了根本性的挑戰。</w:t>
      </w:r>
    </w:p>
    <w:p>
      <w:r>
        <w:rPr>
          <w:b/>
        </w:rPr>
        <w:t>第二代：荻原雲來/土田勝彌修訂本（1934-35）[CSV #14]</w:t>
      </w:r>
      <w:r>
        <w:t>。荻原雲來與土田勝彌在 Kern-Nanjio 校本的基礎上進行了修訂，吸收了更多寫本證據，糾正了部分讀法錯誤。此版本成為日本學界研究法華經梵文文本的主要依據。Vaidya（1960）進一步整理為《佛教梵文叢書》（</w:t>
      </w:r>
      <w:r>
        <w:rPr>
          <w:i/>
        </w:rPr>
        <w:t>Buddhist Sanskrit Texts</w:t>
      </w:r>
      <w:r>
        <w:t>）版本，使法華經梵文校訂本在印度學界獲得更廣泛的流通。第二代校本的方法論仍然遵循「重建原始文本」的範式，但在具體的文本處理上更為審慎，開始注意到不同寫本系統之間的系統性差異，而非簡單地將異文視為「抄寫錯誤」。</w:t>
      </w:r>
    </w:p>
    <w:p>
      <w:r>
        <w:rPr>
          <w:b/>
        </w:rPr>
        <w:t>第三代：辛嶋靜志新校訂（2018-）[CSV #13]</w:t>
      </w:r>
      <w:r>
        <w:t>。辛嶋靜志以吉爾吉特寫本為核心的新校訂計畫代表了法華經文獻學的範式轉移。這一轉移的核心在於方法論假設的根本變化：辛嶋靜志不再追求「重建單一原始文本」，而是承認法華經從一開始就存在多版本系統（multi-recension system），校訂目標是呈現這些版本系統的差異與關聯。辛嶋靜志對寫本譜系的重新分類（2010）</w:t>
      </w:r>
      <w:r>
        <w:t>CSV #66] 為這一新方法論提供了理論基礎——他將現存寫本分為至少三個獨立的傳承系統（吉爾吉特系統、尼泊爾系統、中亞系統），每個系統都有其獨特的文本特徵與傳承歷史，它們之間的關係不是「原本—副本」的垂直關係，而是「共同祖本—分支演化」的水平關係。這一方法論與當代文獻學中的「新文獻學」（New Philology）思潮相呼應，後者強調文本的「多元性」（plurality）而非「唯一性」（singularity），將每一個抄本都視為具有獨立價值的文化製品，而非「原始文本」的不完美複製品。</w:t>
      </w:r>
    </w:p>
    <w:p>
      <w:pPr>
        <w:pStyle w:val="Heading3"/>
      </w:pPr>
      <w:r>
        <w:t>4.4 「梵語化」（Sanskritization）過程的語言學分析</w:t>
      </w:r>
    </w:p>
    <w:p>
      <w:r>
        <w:t xml:space="preserve">「梵語化」是理解法華經文本演化的一個關鍵概念。辛嶋靜志 </w:t>
      </w:r>
      <w:r>
        <w:t>CSV #11] 的核心論點之一，就是法華經的原始語言為中期印度語（Prakrit），而現存的梵文文本是經過漫長的「梵語化」過程後的產物。這一過程的語言學機制與文化動因值得深入分析。</w:t>
      </w:r>
    </w:p>
    <w:p>
      <w:r>
        <w:rPr>
          <w:b/>
        </w:rPr>
        <w:t>語言學機制</w:t>
      </w:r>
      <w:r>
        <w:t>。「梵語化」是指將中期印度語或混合梵語文本的語言特徵系統性地替換為古典梵語的規範形式。具體而言，這一過程包括：（1）語音標準化——將中期印度語的不規則語音形式（如齒音/捲舌音混淆、長短母音替換）修正為古典梵語的規範形式；（2）詞法規範化——將中期印度語的非標準詞形（如格變化、動詞變位的簡化形式）替換為古典梵語的完整範式；（3）句法古典化——將中期印度語的口語化句法結構替換為古典梵語的文學化句法模式；（4）韻律調整——在不改變內容的前提下，調整韻腳以符合古典梵語的韻律規範。</w:t>
      </w:r>
    </w:p>
    <w:p>
      <w:r>
        <w:rPr>
          <w:b/>
        </w:rPr>
        <w:t>文化動因</w:t>
      </w:r>
      <w:r>
        <w:t>。法華經為何經歷了梵語化？這一問題涉及印度佛教史的更大脈絡。早期佛教對語言持開放態度——佛陀本人據傳允許弟子以各自的方言傳授佛法（</w:t>
      </w:r>
      <w:r>
        <w:rPr>
          <w:i/>
        </w:rPr>
        <w:t>sakāya niruttiyā</w:t>
      </w:r>
      <w:r>
        <w:t>）。然而，隨著大乘佛教在公元初期的興起與制度化，梵語作為「聖語」（</w:t>
      </w:r>
      <w:r>
        <w:rPr>
          <w:i/>
        </w:rPr>
        <w:t>devabhāṣā</w:t>
      </w:r>
      <w:r>
        <w:t>）的地位日益被佛教界接受。梵語化的動力來自多個方面：（1）與婆羅門教競爭——採用梵語可以提升佛教文獻在印度知識精英中的文化威望；（2）跨地域傳播——梵語作為通用文學語言，比地方方言更適合跨越地理邊界的傳播；（3）寺院教育——隨著佛教大學（如那爛陀）的建立，梵語成為教學語言，抄寫者自然傾向於將文本「升級」為梵語形式。</w:t>
      </w:r>
    </w:p>
    <w:p>
      <w:r>
        <w:rPr>
          <w:b/>
        </w:rPr>
        <w:t>證據與殘留</w:t>
      </w:r>
      <w:r>
        <w:t>。梵語化是一個漸進的、不完全的過程，其證據恰恰在於那些未被完全修正的「殘留」——即混合梵語特徵。吉爾吉特寫本因年代較早（5-6 世紀），保留了較多的混合梵語特徵；尼泊爾傳本因年代較晚（11 世紀以後），梵語化程度更高。辛嶋靜志的方法論貢獻在於，他發展了一套系統性的分析框架，能夠從現存的梵語化文本中「逆向工程」出原始的中期印度語形式，從而為法華經的成書年代與成書環境提供新的語言學證據。</w:t>
      </w:r>
    </w:p>
    <w:p>
      <w:pPr>
        <w:pStyle w:val="Heading3"/>
      </w:pPr>
      <w:r>
        <w:t>4.5 成書年代的學術爭議與共識</w:t>
      </w:r>
    </w:p>
    <w:p>
      <w:r>
        <w:t>法華經的成書年代是學界長期爭論的核心問題之一。不同學者基於不同的方法論與證據類型，提出了從西元前二世紀到西元二世紀的不同年代判斷。</w:t>
      </w:r>
    </w:p>
    <w:p>
      <w:r>
        <w:rPr>
          <w:b/>
        </w:rPr>
        <w:t>日本學界的傳統立場</w:t>
      </w:r>
      <w:r>
        <w:t xml:space="preserve">。望月信亨 </w:t>
      </w:r>
      <w:r>
        <w:t xml:space="preserve">CSV #57] 的「二部成立說」將法華經分為較早的迹門（前 14 品）與較晚的本門（後 14 品），但對具體年代的判斷較為寬泛。布施浩岳 </w:t>
      </w:r>
      <w:r>
        <w:t>CSV #63] 進一步將各品細分為四個年代層，其分層方案對後世學者影響深遠。田村芳朗（1969, 1975）</w:t>
      </w:r>
      <w:r>
        <w:t>CSV #59-60] 從思想史角度支持分層成書說，認為法華經的一乘思想反映了大乘佛教不同發展階段的教義需求。</w:t>
      </w:r>
    </w:p>
    <w:p>
      <w:r>
        <w:rPr>
          <w:b/>
        </w:rPr>
        <w:t>印度學界的宏觀定位</w:t>
      </w:r>
      <w:r>
        <w:t>。Lamotte（1954）</w:t>
      </w:r>
      <w:r>
        <w:t>CSV #147] 從印度佛教史的宏觀視角出發，將法華經核心層的成立定在公元前一世紀左右，認為它是最早期大乘經典之一，可能先於或與《般若經》的早期形態同時出現。印順法師（1981）</w:t>
      </w:r>
      <w:r>
        <w:t>CSV #146] 基本贊同這一判斷，但更強調法華經與部派佛教——尤其是大眾部——的思想淵源。Williams（1989）</w:t>
      </w:r>
      <w:r>
        <w:t>CSV #18] 從哲學角度分析法華經「一佛乘」概念，認為這一概念的出現預設了部派分裂與三乘分化的歷史背景，因此核心層的年代不會太早。</w:t>
      </w:r>
    </w:p>
    <w:p>
      <w:r>
        <w:rPr>
          <w:b/>
        </w:rPr>
        <w:t>辛嶋靜志的語言學年代學</w:t>
      </w:r>
      <w:r>
        <w:t xml:space="preserve">。辛嶋靜志 </w:t>
      </w:r>
      <w:r>
        <w:t>CSV #11] 的貢獻在於為年代判斷提供了一種新的、基於語言學內證的方法論。通過分析偈頌中中期印度語特徵的保留程度，他建立了文本各層的相對年代序列——越古老的偈頌，保留越多的中期印度語特徵；越晚期的增補，語言越接近古典梵語。這一方法論的優勢在於它不依賴於外部歷史事件的對照（如王朝年代學），而是從文本自身的語言演變中提取年代信息。</w:t>
      </w:r>
    </w:p>
    <w:p>
      <w:r>
        <w:rPr>
          <w:b/>
        </w:rPr>
        <w:t>當前共識</w:t>
      </w:r>
      <w:r>
        <w:t>。儘管具體年代仍有爭議，學界已形成以下基本共識：（1）法華經不是一次性寫成的，而是經歷了至少二至三個世紀的漸進編纂過程；（2）核心偈頌層是最古老的，其原始語言為中期印度語而非古典梵語；（3）本門品章（尤其是壽量品）晚於迹門核心品章；（4）流通分品章（第 23-28 品）是最晚加入的；（5）法華經的「最終形態」——即包含全部 27-28 品的完整文本——大約在公元 2 世紀中葉定型。Teiser &amp; Stone（2009）</w:t>
      </w:r>
      <w:r>
        <w:t>CSV #8] 的論文集以及其續篇（2024）</w:t>
      </w:r>
      <w:r>
        <w:t>CSV #17] 反映了這一共識的最新狀態。</w:t>
      </w:r>
    </w:p>
    <w:p>
      <w:pPr>
        <w:spacing w:before="240" w:after="240"/>
      </w:pPr>
      <w:r>
        <w:rPr>
          <w:color w:val="CCCCCC"/>
          <w:sz w:val="16"/>
        </w:rPr>
        <w:t>────────────────────────────────────────────────────────────</w:t>
      </w:r>
    </w:p>
    <w:p>
      <w:pPr>
        <w:pStyle w:val="Heading2"/>
      </w:pPr>
      <w:r>
        <w:t>第五章　注釋傳統的四宗分歧</w:t>
      </w:r>
    </w:p>
    <w:p>
      <w:r>
        <w:t>法華經在東亞佛教史上引發了最為豐富、最為深刻的注釋傳統。天台、法相、三論、日蓮四大宗派各以其獨特的哲學預設與詮釋框架解讀同一部經典，形成了彼此對話、相互辯難的多聲部學術傳統。這一現象本身就是宗教詮釋學的經典案例——同一文本如何在不同的讀者社群中產生截然不同的意義系統。以下依宗派逐一展開深入分析。</w:t>
      </w:r>
    </w:p>
    <w:p>
      <w:pPr>
        <w:pStyle w:val="Heading3"/>
      </w:pPr>
      <w:r>
        <w:t>5.1 天台宗——智顗的「開權顯實」體系</w:t>
      </w:r>
    </w:p>
    <w:p>
      <w:pPr>
        <w:pStyle w:val="Heading4"/>
      </w:pPr>
      <w:r>
        <w:t>5.1.1 法華三大部的結構與功能</w:t>
      </w:r>
    </w:p>
    <w:p>
      <w:r>
        <w:t>天台宗創始人智顗（538-597）以法華經為根本經典，撰述「法華三大部」——《法華玄義》</w:t>
      </w:r>
      <w:r>
        <w:t>CSV #74]、《法華文句》</w:t>
      </w:r>
      <w:r>
        <w:t>CSV #73]、《摩訶止觀》</w:t>
      </w:r>
      <w:r>
        <w:t>CSV #75]——奠定了天台宗全部教義基礎。這三部著作構成了一個完整的詮釋系統：《法華玄義》從宏觀視角闡發全經義理，是「總論」；《法華文句》逐句逐段釋義經文，是「別解」；《摩訶止觀》將教義轉化為禪修實踐的理論體系，是「觀行」。三者的關係是「解行並進」——理解（解）與實踐（行）不可偏廢，教義（教）與觀行（觀）必須統一，這就是天台宗「教觀雙美」的核心理念。</w:t>
      </w:r>
    </w:p>
    <w:p>
      <w:r>
        <w:t>這三部著作均由智顗口述、弟子灌頂筆錄，反映了智顗作為講經法師的教學實踐。灌頂在《法華玄義》的序文中記載了智顗講經的具體情景——智顗在講堂中面對僧眾，以口頭方式展開長達數月的系統講解，灌頂在旁逐字記錄，事後再整理成書。這一「講→記→編」的文本生成方式，使得法華三大部保留了口頭教學的生動性與思辨張力，也導致了部分段落的重複與體例的不盡一致。</w:t>
      </w:r>
    </w:p>
    <w:p>
      <w:r>
        <w:t>Swanson（1989）</w:t>
      </w:r>
      <w:r>
        <w:t xml:space="preserve">CSV #26] 的 </w:t>
      </w:r>
      <w:r>
        <w:rPr>
          <w:i/>
        </w:rPr>
        <w:t>Foundations of T'ien-T'ai Philosophy</w:t>
      </w:r>
      <w:r>
        <w:t xml:space="preserve"> 是英語世界理解天台哲學體系的奠基之作，Swanson（2018）</w:t>
      </w:r>
      <w:r>
        <w:t>CSV #25] 的《摩訶止觀》全本英譯（三冊）為英語讀者提供了直接閱讀天台核心文獻的可能。Ziporyn（2013）</w:t>
      </w:r>
      <w:r>
        <w:t>CSV #24] 的天台法華著作英文翻譯選集則從哲學角度重新詮釋了天台思想的當代意義。</w:t>
      </w:r>
    </w:p>
    <w:p>
      <w:pPr>
        <w:pStyle w:val="Heading4"/>
      </w:pPr>
      <w:r>
        <w:t>5.1.2 「五重玄義」的解經方法論</w:t>
      </w:r>
    </w:p>
    <w:p>
      <w:r>
        <w:t>《法華玄義》以「五重玄義」作為解經方法論的骨架，這一方法論不僅是智顗解讀法華經的工具，更成為天台宗乃至整個中國佛教注釋學的範式性框架。以下逐一分析五重玄義的每一重。</w:t>
      </w:r>
    </w:p>
    <w:p>
      <w:r>
        <w:rPr>
          <w:b/>
        </w:rPr>
        <w:t>第一重：釋名</w:t>
      </w:r>
      <w:r>
        <w:t>。智顗對法華經「妙法蓮華」四字的闡釋構成了天台義理學的基石。「妙」字被分析為「相待妙」與「絕待妙」兩個層面：「相待妙」是相對於「粗」而言的「妙」，即法華經相對於其他經典的殊勝性；「絕待妙」則超越一切相對性，是「不可思議」的究竟之妙，不與任何事物構成對待關係。「蓮華」被解釋為「因果同時」的象徵——蓮花開時果實已在其中，正如法華經所揭示的：迷時佛性不減，悟時佛性不增，因果本來同時具足。智顗對「妙」字的闡釋達到了極其精密的程度，據載他以九十天講「妙」字而尚未窮盡其義，這一敘事雖可能有誇飾成分，但確實反映了天台宗對文本精讀的方法論追求。</w:t>
      </w:r>
    </w:p>
    <w:p>
      <w:r>
        <w:rPr>
          <w:b/>
        </w:rPr>
        <w:t>第二重：辨體</w:t>
      </w:r>
      <w:r>
        <w:t>。「體」指法華經的「所詮之理」——即經典所要揭示的究竟真理。智顗判法華之體為「實相」（</w:t>
      </w:r>
      <w:r>
        <w:rPr>
          <w:i/>
        </w:rPr>
        <w:t>dharmatā</w:t>
      </w:r>
      <w:r>
        <w:t>），即「諸法實相」。在天台的詮釋中，「實相」不是抽象的形上概念，而是「即空即假即中」的「三諦圓融」——一切事物同時是空（無自性）、假（因緣假有）、中（超越空假二邊），三者不是三個不同層面的真理，而是同一真理的三個面向。這一「實相論」成為天台哲學的形上學基礎，也是天台宗與法相宗、三論宗最根本的哲學分歧所在。</w:t>
      </w:r>
    </w:p>
    <w:p>
      <w:r>
        <w:rPr>
          <w:b/>
        </w:rPr>
        <w:t>第三重：明宗</w:t>
      </w:r>
      <w:r>
        <w:t>。「宗」指法華經的修行指歸——以何為修行的核心綱領。智顗判法華之宗為「佛知見」——法華經的核心目的是「開示悟入佛之知見」（方便品語），即令一切眾生開啟、顯示、悟解、契入佛陀的智慧與見地。這一判定將法華經的宗旨從教義理解提升到存在論層面——「佛知見」不是可以客觀傳授的知識，而是必須親身體驗的覺悟境界。</w:t>
      </w:r>
    </w:p>
    <w:p>
      <w:r>
        <w:rPr>
          <w:b/>
        </w:rPr>
        <w:t>第四重：論用</w:t>
      </w:r>
      <w:r>
        <w:t>。「用」指法華經的教化功能——經典對眾生產生什麼樣的實際效用。智顗判法華之用為「斷疑生信」——法華經的核心功能是破除聲聞、緣覺二乘行者的自限之疑（認為自己已證涅槃、不需要也不可能追求佛果的偏見），生起迴向佛乘的信心。這一判定與「開權顯實」的教義核心相呼應——法華經的「用」就是讓三乘行者認識到三乘為權、一乘為實，從而轉向一佛乘的修行。</w:t>
      </w:r>
    </w:p>
    <w:p>
      <w:r>
        <w:rPr>
          <w:b/>
        </w:rPr>
        <w:t>第五重：判教</w:t>
      </w:r>
      <w:r>
        <w:t>。「教相」即判教——法華經在佛陀一代教法中的地位。智顗以「五時八教」判教體系判法華經為第五時「法華涅槃時」，屬「圓教」，是「純圓獨妙」之教。「五時」的排列——華嚴時→鹿苑時→方等時→般若時→法華涅槃時——不是簡單的時間先後序列，而是教義深度的遞進序列，法華經居於最後、最高的地位。「純圓獨妙」意味著法華經是唯一純粹的圓教——其他經典或屬別教、或兼含圓教成分，唯獨法華經全經無非圓教，無一句不妙。黃國清（2005）</w:t>
      </w:r>
      <w:r>
        <w:t>CSV #36] 的研究深入分析了五重玄義中「釋名」這一重與天台整體教義體系的關聯。</w:t>
      </w:r>
    </w:p>
    <w:p>
      <w:pPr>
        <w:pStyle w:val="Heading4"/>
      </w:pPr>
      <w:r>
        <w:t>5.1.3 「四種釋義」的具體應用</w:t>
      </w:r>
    </w:p>
    <w:p>
      <w:r>
        <w:t>《法華文句》以「四種釋義」——因緣釋、約教釋、本跡釋、觀心釋——逐句釋義法華經，建立了一套多維度的注釋方法論。這四種釋義不是四種互相排斥的解讀方式，而是對同一經文的四個層次的同時觀照。</w:t>
      </w:r>
    </w:p>
    <w:p>
      <w:r>
        <w:rPr>
          <w:b/>
        </w:rPr>
        <w:t>因緣釋</w:t>
      </w:r>
      <w:r>
        <w:t>：從歷史因緣的角度解釋經文——佛陀為何在此時、此地、對此聽眾說此教法。這一釋義關注的是經文的「語境」（context），是四種釋義中最接近現代歷史批判方法的詮釋層面。例如，方便品中佛陀三次默然不說，因緣釋會解釋為：佛陀深知一乘教法甚深難解，若驟然宣說，聽眾中根機未熟者可能生起謗法之罪，因此以沉默來篩選真正堪受此法的聽眾。</w:t>
      </w:r>
    </w:p>
    <w:p>
      <w:r>
        <w:rPr>
          <w:b/>
        </w:rPr>
        <w:t>約教釋</w:t>
      </w:r>
      <w:r>
        <w:t>：從教義分類（判教）的角度解釋經文——此經文屬於藏、通、別、圓四教中的哪一教？它在教義體系中佔什麼位置？這一釋義將每一句經文都置於天台四教的分類框架中，使注釋具有高度的系統性。</w:t>
      </w:r>
    </w:p>
    <w:p>
      <w:r>
        <w:rPr>
          <w:b/>
        </w:rPr>
        <w:t>本跡釋</w:t>
      </w:r>
      <w:r>
        <w:t>：從本門/跡門的角度解釋經文——此經文是屬於跡門（應化佛的施設教化）還是本門（久遠本佛的究竟實相）？跡門的經文揭示的是方便權教的層面，本門的經文揭示的是究竟實相的層面，二者共同構成法華經的完整教義。</w:t>
      </w:r>
    </w:p>
    <w:p>
      <w:r>
        <w:rPr>
          <w:b/>
        </w:rPr>
        <w:t>觀心釋</w:t>
      </w:r>
      <w:r>
        <w:t>：從禪修實踐的角度解釋經文——此經文如何轉化為修行者當下一念心的觀照？這是四種釋義中最具天台特色的層面，它將外在的經文教義內在化為修行者的心靈體驗。例如，三車火宅喻在觀心釋中被詮釋為：火宅即是吾人當下的煩惱之心，三車即是止觀修行的不同階段，逃出火宅即是觀心見性的頓悟體驗。</w:t>
      </w:r>
    </w:p>
    <w:p>
      <w:pPr>
        <w:pStyle w:val="Heading4"/>
      </w:pPr>
      <w:r>
        <w:t>5.1.4 核心教義的哲學推導</w:t>
      </w:r>
    </w:p>
    <w:p>
      <w:r>
        <w:rPr>
          <w:b/>
        </w:rPr>
        <w:t>「開權顯實」的教義結構</w:t>
      </w:r>
      <w:r>
        <w:t>。「開權顯實」是智顗對法華經核心教義的四字概括，其完整含義是「開三乘之權，顯一乘之實」——三乘（聲聞乘、緣覺乘、菩薩乘）是佛陀因應眾生不同根機而施設的方便（權），一佛乘才是佛陀真正要傳達的究竟真理（實）。陳英善（2001）</w:t>
      </w:r>
      <w:r>
        <w:t>CSV #34] 的研究深入分析了方便品「開權顯實」的教義結構，揭示了「開」字的四重含義：開（打開三乘的封閉性）→示（顯示一乘的內在性）→悟（令聽者覺悟一乘的真實性）→入（令聽者契入一乘的體驗性），這四個步驟構成了從理論認知到實踐體驗的完整轉化路徑。</w:t>
      </w:r>
    </w:p>
    <w:p>
      <w:r>
        <w:rPr>
          <w:b/>
        </w:rPr>
        <w:t>本跡二門</w:t>
      </w:r>
      <w:r>
        <w:t>。智顗以「本跡二門」分判法華經全經：前十四品為跡門（</w:t>
      </w:r>
      <w:r>
        <w:rPr>
          <w:i/>
        </w:rPr>
        <w:t>śāsanadhātu</w:t>
      </w:r>
      <w:r>
        <w:t>），以方便品為核心，揭示「開權顯實」的教義——三乘為方便，一乘為究竟；後十四品為本門（</w:t>
      </w:r>
      <w:r>
        <w:rPr>
          <w:i/>
        </w:rPr>
        <w:t>dharmadhātu</w:t>
      </w:r>
      <w:r>
        <w:t>），以壽量品為核心，揭示「開近顯遠」的佛身觀——歷史上的釋迦佛只是「跡」（應化身的示現），「久遠實成」的本佛才是「本」（法身的究竟實相）。天台持「本跡等量齊觀」立場——跡門與本門各有其不可替代的教義功能，不應偏重任何一門。這一立場後來成為天台宗與日蓮宗最根本的分歧所在。</w:t>
      </w:r>
    </w:p>
    <w:p>
      <w:r>
        <w:rPr>
          <w:b/>
        </w:rPr>
        <w:t>「十如是」與「一念三千」的哲學推導</w:t>
      </w:r>
      <w:r>
        <w:t>。方便品中的「十如是」——如是相、如是性、如是體、如是力、如是作、如是因、如是緣、如是果、如是報、如是本末究竟等——是天台哲學最重要的經典依據之一。黃國清（2005）</w:t>
      </w:r>
      <w:r>
        <w:t>CSV #36] 的研究分析了智顗如何從「十如是」推導出「一念三千」的核心命題：十如是（10）× 十法界（10）× 三種世間（3）= 三千。</w:t>
      </w:r>
    </w:p>
    <w:p>
      <w:r>
        <w:t>這一推導過程的哲學意義在於：「十法界」（地獄、餓鬼、畜生、阿修羅、人、天、聲聞、緣覺、菩薩、佛）中的每一界都具足其他九界——佛界具足地獄界，地獄界具足佛界——這就是「十界互具」；十界互具得一百界，每一界各具十如是得一千如是，再乘以三種世間（五陰世間、眾生世間、國土世間）得三千。「一念三千」的命題是：吾人當下一念心中即具足這三千法——一切宇宙、一切存在、一切可能性都內在於每一個瞬間的意識活動中。</w:t>
      </w:r>
    </w:p>
    <w:p>
      <w:r>
        <w:t xml:space="preserve">這一命題的哲學含義極為激進：它意味著覺悟不是從外部「獲得」的，也不是通過漫長修行逐步「累積」的，而是當下一念心中本來具足的——只是被煩惱遮蔽而不自知。「一念三千」因此既是天台形上學的核心命題，也是天台止觀修行的理論依據——修行的目的不是「創造」覺悟，而是「發現」本來具足的覺悟。釋恒清 </w:t>
      </w:r>
      <w:r>
        <w:t xml:space="preserve">CSV #33] 對法華經哲學與實踐的系統分析、釋慧嶽 </w:t>
      </w:r>
      <w:r>
        <w:t>CSV #35] 對一佛乘與天台教判的探討，均從不同角度印證了這一核心命題的教義重要性。</w:t>
      </w:r>
    </w:p>
    <w:p>
      <w:pPr>
        <w:pStyle w:val="Heading4"/>
      </w:pPr>
      <w:r>
        <w:t>5.1.5 天台後學的發展與爭議</w:t>
      </w:r>
    </w:p>
    <w:p>
      <w:r>
        <w:rPr>
          <w:b/>
        </w:rPr>
        <w:t>慧思（515-577）</w:t>
      </w:r>
      <w:r>
        <w:t>是智顗的師父，被尊為天台宗二祖。其《法華經安樂行義》</w:t>
      </w:r>
      <w:r>
        <w:t>CSV #79] 是法華經實修指南，倡導「法華三昧」修行法——在二十一天的閉關修行中，以法華經為所緣境，綜合修習禮拜、懺悔、誦經、禪坐四種行門。慧思的思想特色在於強調「定慧等持」——不偏重義理思辨，也不偏重禪定工夫，而是在法華經的誦持與觀想中實現定慧的統一。智顗《法華三昧懺儀》</w:t>
      </w:r>
      <w:r>
        <w:t>CSV #80] 進一步將慧思的修行理念系統化為具體的儀軌規範，這一懺法至今仍是中國與日本天台宗的核心修行實踐。</w:t>
      </w:r>
    </w:p>
    <w:p>
      <w:r>
        <w:rPr>
          <w:b/>
        </w:rPr>
        <w:t>湛然（711-782）</w:t>
      </w:r>
      <w:r>
        <w:t>被尊為天台九祖，是天台宗「中興之祖」。他的《法華文句記》</w:t>
      </w:r>
      <w:r>
        <w:t>CSV #83] 疏釋智顗《法華文句》，《法華玄義釋籤》</w:t>
      </w:r>
      <w:r>
        <w:t>CSV #84] 疏釋《法華玄義》，這兩部「釋籤」的撰述使智顗的思想獲得了更精密的體系化表述。湛然的最重要哲學貢獻是「無情有性」說——主張草木瓦石等無情之物亦具佛性。這一主張將天台佛性論推至邏輯極端：如果「一切眾生皆有佛性」（法華經的核心教義），那麼「一切存在皆有佛性」就是其自然延伸——因為在「十界互具」「一念三千」的框架中，有情與無情的界線本身就是一種需要超越的二元對立。「無情有性」說在唐代引發了激烈的教義爭論，但它在哲學上的重要性在於：它將天台佛性論從倫理學領域（誰可以成佛？）推展到本體論領域（存在的本質是什麼？），為後來的宋代天台「山家山外」之爭埋下了伏筆。</w:t>
      </w:r>
    </w:p>
    <w:p>
      <w:r>
        <w:rPr>
          <w:b/>
        </w:rPr>
        <w:t>法雲（467-529）</w:t>
      </w:r>
      <w:r>
        <w:t>的《法華義記》</w:t>
      </w:r>
      <w:r>
        <w:t>CSV #116] 是現存最早的中國法華經注疏之一，代表了智顗之前「南方佛教」的法華詮釋傳統。法雲以「因果」為法華宗要——法華經的核心在於揭示因果的究竟一致性：修因必得果，一切眾生修菩薩因必得佛果。法雲的詮釋框架雖不及智顗的精密，但其「因果」觀點後來被智顗吸收並發展為天台教義的組成部分。潘桂明（2001）</w:t>
      </w:r>
      <w:r>
        <w:t>CSV #39] 的《天台法華思想研究》是中文學界最系統的天台教義分析，系統追溯了從慧思到智顗到湛然的天台法華思想發展脈絡。</w:t>
      </w:r>
    </w:p>
    <w:p>
      <w:pPr>
        <w:pStyle w:val="Heading3"/>
      </w:pPr>
      <w:r>
        <w:t>5.2 法相宗——窺基的「五性各別」立場</w:t>
      </w:r>
    </w:p>
    <w:p>
      <w:pPr>
        <w:pStyle w:val="Heading4"/>
      </w:pPr>
      <w:r>
        <w:t>5.2.1 《法華玄贊》的詮釋框架</w:t>
      </w:r>
    </w:p>
    <w:p>
      <w:r>
        <w:t>窺基（632-682）師承玄奘，以唯識學（</w:t>
      </w:r>
      <w:r>
        <w:rPr>
          <w:i/>
        </w:rPr>
        <w:t>vijñaptimātratā</w:t>
      </w:r>
      <w:r>
        <w:t>）為理論基底，其《法華玄贊》</w:t>
      </w:r>
      <w:r>
        <w:t>CSV #78] 二十卷是法相宗唯一的全面法華注釋，也是中國三大宗派法華注釋之一（與天台法華三大部、三論吉藏法華三疏並列）。窺基的詮釋框架建立在《解深密經》的「三時教」判教之上：第一時「有教」（阿含等小乘經典，說一切法有自性）→第二時「空教」（般若等經典，說一切法空）→第三時「中道教」（解深密經、瑜伽師地論等唯識經典，說非有非空的中道）。</w:t>
      </w:r>
    </w:p>
    <w:p>
      <w:r>
        <w:t>在窺基的判教中，法華經的地位頗為微妙。一方面，窺基承認法華經為「了義教」，屬第三時教法；另一方面，他不認為法華經具有天台宗所主張的「至高無上」的地位。在窺基看來，法華經的核心功能是「引攝方便」——引導不定性眾生從二乘轉向大乘——而非宣稱一切眾生都必然成佛。這一判定使法華經在法相宗的教義體系中佔據重要但非至高的位置，與天台宗「純圓獨妙」的判定形成鮮明對比。</w:t>
      </w:r>
    </w:p>
    <w:p>
      <w:pPr>
        <w:pStyle w:val="Heading4"/>
      </w:pPr>
      <w:r>
        <w:t>5.2.2 「五性各別」的種子論基礎</w:t>
      </w:r>
    </w:p>
    <w:p>
      <w:r>
        <w:t>窺基法華詮釋的核心在於「五性各別」說，而五性各別說的理論基礎是唯識學的種子論（</w:t>
      </w:r>
      <w:r>
        <w:rPr>
          <w:i/>
        </w:rPr>
        <w:t>bīja theory</w:t>
      </w:r>
      <w:r>
        <w:t>）。唯識學主張，一切心識活動都以阿賴耶識（</w:t>
      </w:r>
      <w:r>
        <w:rPr>
          <w:i/>
        </w:rPr>
        <w:t>ālayavijñāna</w:t>
      </w:r>
      <w:r>
        <w:t>）中的「種子」為依據——種子是潛在的功能性單元，它們在適當的條件下「現行」（manifest）為具體的心識活動與外境。</w:t>
      </w:r>
    </w:p>
    <w:p>
      <w:r>
        <w:t>在這一框架中，眾生的根性差別不是後天環境造成的偶然差異，而是阿賴耶識中種子結構的本質差異。窺基將眾生分為五種性：</w:t>
      </w:r>
    </w:p>
    <w:p>
      <w:r>
        <w:t>（1）</w:t>
      </w:r>
      <w:r>
        <w:rPr>
          <w:b/>
        </w:rPr>
        <w:t>聲聞定性</w:t>
      </w:r>
      <w:r>
        <w:t>：阿賴耶識中只具有聲聞乘的無漏種子，只能證得聲聞果位（阿羅漢），無法轉向大乘佛果。</w:t>
      </w:r>
    </w:p>
    <w:p>
      <w:r>
        <w:t>（2）</w:t>
      </w:r>
      <w:r>
        <w:rPr>
          <w:b/>
        </w:rPr>
        <w:t>緣覺定性</w:t>
      </w:r>
      <w:r>
        <w:t>：只具緣覺乘無漏種子，只能證得緣覺果位（辟支佛）。</w:t>
      </w:r>
    </w:p>
    <w:p>
      <w:r>
        <w:t>（3）</w:t>
      </w:r>
      <w:r>
        <w:rPr>
          <w:b/>
        </w:rPr>
        <w:t>菩薩定性</w:t>
      </w:r>
      <w:r>
        <w:t>：具有大乘無漏種子，能修菩薩行、證佛果。</w:t>
      </w:r>
    </w:p>
    <w:p>
      <w:r>
        <w:t>（4）</w:t>
      </w:r>
      <w:r>
        <w:rPr>
          <w:b/>
        </w:rPr>
        <w:t>不定性</w:t>
      </w:r>
      <w:r>
        <w:t>：同時具有多種無漏種子，根據外緣條件可能趨向不同乘。</w:t>
      </w:r>
    </w:p>
    <w:p>
      <w:r>
        <w:t>（5）</w:t>
      </w:r>
      <w:r>
        <w:rPr>
          <w:b/>
        </w:rPr>
        <w:t>無性有情</w:t>
      </w:r>
      <w:r>
        <w:t>（一闡提，</w:t>
      </w:r>
      <w:r>
        <w:rPr>
          <w:i/>
        </w:rPr>
        <w:t>icchantika</w:t>
      </w:r>
      <w:r>
        <w:t>）：不具有任何無漏種子，永遠無法出離輪迴、成就佛果。</w:t>
      </w:r>
    </w:p>
    <w:p>
      <w:r>
        <w:t>第五類「無性有情」是整個五性各別說中最具爭議性的類別——它意味著有一部分眾生「本質上」不可能成佛，其阿賴耶識的種子結構從根本上排除了覺悟的可能性。這一主張與法華經「一切眾生皆將成佛」的表面教義形成了尖銳矛盾，因此窺基必須對法華經的「一佛乘」教說提出一種替代性解讀。</w:t>
      </w:r>
    </w:p>
    <w:p>
      <w:r>
        <w:t>窺基的解決方案是：法華經所說的「一佛乘」並非宣稱一切眾生都將成佛，而是特指對「不定性」眾生的引導方便——不定性眾生本來同時具有多乘種子，法華經的功能是引導他們放棄二乘的局限性選擇，轉向大乘佛果的更高目標。至於聲聞定性、緣覺定性的眾生，法華經所說的「授記」（預言成佛）是一種「方便說」，旨在鼓勵他們發起更高的志願，而非保證他們必然成佛。至於無性有情，則完全不在法華經「一佛乘」的適用範圍之內。</w:t>
      </w:r>
    </w:p>
    <w:p>
      <w:pPr>
        <w:pStyle w:val="Heading4"/>
      </w:pPr>
      <w:r>
        <w:t>5.2.3 天台-法相之爭的哲學深度</w:t>
      </w:r>
    </w:p>
    <w:p>
      <w:r>
        <w:t>天台-法相之爭是中國佛教義理學史上最深刻的教義論辯之一，其本質是兩種根本不同的存在論（ontology）之間的對立：如來藏佛性論（</w:t>
      </w:r>
      <w:r>
        <w:rPr>
          <w:i/>
        </w:rPr>
        <w:t>tathāgatagarbha</w:t>
      </w:r>
      <w:r>
        <w:t>）vs 唯識種子論（</w:t>
      </w:r>
      <w:r>
        <w:rPr>
          <w:i/>
        </w:rPr>
        <w:t>vijñaptimātratā</w:t>
      </w:r>
      <w:r>
        <w:t xml:space="preserve"> / </w:t>
      </w:r>
      <w:r>
        <w:rPr>
          <w:i/>
        </w:rPr>
        <w:t>bīja theory</w:t>
      </w:r>
      <w:r>
        <w:t>）。</w:t>
      </w:r>
    </w:p>
    <w:p>
      <w:r>
        <w:rPr>
          <w:b/>
        </w:rPr>
        <w:t>天台的如來藏佛性論立場</w:t>
      </w:r>
      <w:r>
        <w:t>。天台宗繼承《涅槃經》的如來藏思想，主張佛性本具——一切眾生本來就具足佛性，覺悟的可能性是內在的、普遍的、不可剝奪的。在「一念三千」的框架中，佛界與眾生界互具——每一個眾生的每一念心中都具足佛界的全部可能性。因此，成佛不是「獲得」什麼新東西，而是「發現」本來就有的佛性。法華經的「一佛乘」在天台的詮釋中，就是對這一普遍佛性的揭示——三乘只是佛陀因應眾生暫時的迷執而設立的方便，究竟而言，一切眾生都必然成佛，因為佛性是其本然狀態。</w:t>
      </w:r>
    </w:p>
    <w:p>
      <w:r>
        <w:rPr>
          <w:b/>
        </w:rPr>
        <w:t>法相的唯識種子論立場</w:t>
      </w:r>
      <w:r>
        <w:t>。法相宗繼承瑜伽行派的唯識學，主張種子決定根器——覺悟的可能性取決於阿賴耶識中是否具有相應的無漏種子。種子不是後天可以任意創造的，它們具有「法爾」（</w:t>
      </w:r>
      <w:r>
        <w:rPr>
          <w:i/>
        </w:rPr>
        <w:t>dharmatā</w:t>
      </w:r>
      <w:r>
        <w:t>，本然如此）的性質——某些種子的有無是存在論層面的事實，而非修行努力可以改變的。因此，五性各別不是佛陀設立的方便分類，而是眾生存在結構的客觀描述。</w:t>
      </w:r>
    </w:p>
    <w:p>
      <w:r>
        <w:rPr>
          <w:b/>
        </w:rPr>
        <w:t>論辯的核心焦點</w:t>
      </w:r>
      <w:r>
        <w:t>。（1）佛性是「本有」還是「始有」？天台主張本有，法相主張始有（通過聞熏等外緣，不定性眾生可以新熏習大乘無漏種子）。（2）一闡提能否成佛？天台斷言能（因佛性本具），法相斷言不能（因缺乏無漏種子）。（3）法華經「一佛乘」是究竟說還是方便說？天台判為究竟說（佛之本懷即是一乘），法相判為方便說（針對不定性眾生的引攝策略）。</w:t>
      </w:r>
    </w:p>
    <w:p>
      <w:r>
        <w:t>Paul Williams（1989）</w:t>
      </w:r>
      <w:r>
        <w:t>CSV #18] 對法華經「一佛乘」概念的哲學分析，揭示了這一概念在不同詮釋傳統中的內在張力。黃國清（2012）</w:t>
      </w:r>
      <w:r>
        <w:t>CSV #52] 法華經與華嚴經「一乘」思想的比較，進一步擴展了「一乘」概念的學術討論範圍——華嚴宗的「一乘」概念與天台的「一乘」概念雖然字面相同，但其哲學預設與教義功能存在顯著差異。此論辯與楞嚴經如來藏思想存在深刻交叉——法華「一佛乘」與楞嚴「妙明真心」都主張覺悟的可能性是內在的、普遍的、不可剝奪的，兩經在「開顯眾生本具佛性」這一核心命題上形成互證關係。</w:t>
      </w:r>
    </w:p>
    <w:p>
      <w:pPr>
        <w:pStyle w:val="Heading3"/>
      </w:pPr>
      <w:r>
        <w:t>5.3 三論宗——吉藏的「攝末歸本」詮釋</w:t>
      </w:r>
    </w:p>
    <w:p>
      <w:pPr>
        <w:pStyle w:val="Heading4"/>
      </w:pPr>
      <w:r>
        <w:t>5.3.1 吉藏的法華三疏</w:t>
      </w:r>
    </w:p>
    <w:p>
      <w:r>
        <w:t>吉藏（549-623）以龍樹（</w:t>
      </w:r>
      <w:r>
        <w:rPr>
          <w:i/>
        </w:rPr>
        <w:t>Nāgārjuna</w:t>
      </w:r>
      <w:r>
        <w:t>）中觀學為理論基礎，留下三部法華注釋，構成三論宗法華詮釋的完整體系。</w:t>
      </w:r>
    </w:p>
    <w:p>
      <w:r>
        <w:rPr>
          <w:b/>
        </w:rPr>
        <w:t>《法華義疏》十二卷</w:t>
      </w:r>
      <w:r>
        <w:t xml:space="preserve"> </w:t>
      </w:r>
      <w:r>
        <w:t>CSV #76] 是吉藏最系統的法華注釋，以逐品釋義的方式展開。吉藏在《義疏》中貫徹了中觀學「破邪顯正」的方法論——不是正面建構教義體系（如天台），而是通過破除各種錯誤見解來「顯示」真理。在吉藏看來，三乘與一乘的分別本身就是一種需要破除的「執著」：三乘是對三乘自性的執著，一乘是對一乘自性的執著，法華經的「會三歸一」不是用「一乘」來取代「三乘」，而是破除「三乘」的自性見，從而「顯示」一切法無自性的空性實相。</w:t>
      </w:r>
    </w:p>
    <w:p>
      <w:r>
        <w:rPr>
          <w:b/>
        </w:rPr>
        <w:t>《法華玄論》十卷</w:t>
      </w:r>
      <w:r>
        <w:t xml:space="preserve"> </w:t>
      </w:r>
      <w:r>
        <w:t>CSV #77] 是吉藏闡釋法華經核心義理的專論，結構上與智顗《法華玄義》相對應，但方法論截然不同。智顗以「五重玄義」為框架，正面建構法華教義的系統體系；吉藏則以「破執遣相」為基調，通過批駁各家各派對法華經的偏頗理解來澄清法華經的真正意旨。《法華玄論》中對法華經「諸法實相」的詮釋是理解三論宗與天台宗差異的關鍵：天台將「實相」詮釋為「三諦圓融」（空假中三諦的統一），吉藏則將「實相」詮釋為「畢竟空」（</w:t>
      </w:r>
      <w:r>
        <w:rPr>
          <w:i/>
        </w:rPr>
        <w:t>atyantaśūnyatā</w:t>
      </w:r>
      <w:r>
        <w:t>）——一切法的究竟真實就是無自性空，不需要在空之外另立「假」「中」。</w:t>
      </w:r>
    </w:p>
    <w:p>
      <w:r>
        <w:rPr>
          <w:b/>
        </w:rPr>
        <w:t>《法華遊意》</w:t>
      </w:r>
      <w:r>
        <w:t xml:space="preserve"> </w:t>
      </w:r>
      <w:r>
        <w:t>CSV #82] 是吉藏以隨筆形式討論法華經各品要義的短篇著作，文風較義疏活潑，適合入門理解三論宗的法華觀。「遊意」之名暗示了一種不拘形式的自由思辨，吉藏在此書中以較為輕鬆的筆觸觸及了法華經的多個核心議題，包括「一乘」的含義、「方便」的功能、「授記」的性質等。</w:t>
      </w:r>
    </w:p>
    <w:p>
      <w:pPr>
        <w:pStyle w:val="Heading4"/>
      </w:pPr>
      <w:r>
        <w:t>5.3.2 「二諦」架構與判教</w:t>
      </w:r>
    </w:p>
    <w:p>
      <w:r>
        <w:t>吉藏法華詮釋的哲學核心是「二諦」（</w:t>
      </w:r>
      <w:r>
        <w:rPr>
          <w:i/>
        </w:rPr>
        <w:t>satyadvaya</w:t>
      </w:r>
      <w:r>
        <w:t>）架構——俗諦（</w:t>
      </w:r>
      <w:r>
        <w:rPr>
          <w:i/>
        </w:rPr>
        <w:t>saṃvṛtisatya</w:t>
      </w:r>
      <w:r>
        <w:t>，世俗真理）與真諦（</w:t>
      </w:r>
      <w:r>
        <w:rPr>
          <w:i/>
        </w:rPr>
        <w:t>paramārthasatya</w:t>
      </w:r>
      <w:r>
        <w:t>，勝義真理）。在吉藏的中觀學詮釋中，二諦不是兩個平行的真理層面，而是「言教」（teaching device）——佛陀以俗諦說法是為了引導眾生趣向真諦，但真諦本身「不可說」（</w:t>
      </w:r>
      <w:r>
        <w:rPr>
          <w:i/>
        </w:rPr>
        <w:t>anabhilāpya</w:t>
      </w:r>
      <w:r>
        <w:t>），因為一切語言表達都屬於俗諦的範疇。</w:t>
      </w:r>
    </w:p>
    <w:p>
      <w:r>
        <w:t>在這一框架中，法華經的「會三歸一」被詮釋為：三乘是俗諦層面的施設，一乘是真諦層面的指向，但一乘本身也不可以「自性」來理解——如果將「一乘」理解為一個與「三乘」相對立的實體性概念，那就又陷入了新的「執著」。法華經的究竟義不在於「一」也不在於「三」，而在於破除一切數量性的執著，直指「諸法實相」——即空性（</w:t>
      </w:r>
      <w:r>
        <w:rPr>
          <w:i/>
        </w:rPr>
        <w:t>śūnyatā</w:t>
      </w:r>
      <w:r>
        <w:t>）。</w:t>
      </w:r>
    </w:p>
    <w:p>
      <w:r>
        <w:t>吉藏以「二藏三輪」判教：根本法輪（華嚴經，佛成道後直接宣說的圓滿教法）→ 枝末法輪（阿含至般若諸經，因應眾生根機而分化施設的各種教法）→ 攝末歸本法輪（法華經，將分化散出的枝末教法收攝回歸一佛乘根本）。法華經在三論宗判教中居「攝末歸本」的收攝地位，意味著法華經的核心功能是「整合」——將佛陀一代教法中看似矛盾的各種教說整合為統一的圓滿教法。</w:t>
      </w:r>
    </w:p>
    <w:p>
      <w:pPr>
        <w:pStyle w:val="Heading4"/>
      </w:pPr>
      <w:r>
        <w:t>5.3.3 三論宗與天台、法相的三角辯論</w:t>
      </w:r>
    </w:p>
    <w:p>
      <w:r>
        <w:t>三論宗的法華詮釋構成了與天台、法相之間的三角辯論關係。</w:t>
      </w:r>
    </w:p>
    <w:p>
      <w:r>
        <w:rPr>
          <w:b/>
        </w:rPr>
        <w:t>與天台的差異</w:t>
      </w:r>
      <w:r>
        <w:t>：（1）在方法論上，天台以「建構」為主（建立五重玄義、四種釋義等精密體系），三論以「解構」為主（破邪顯正，不立自宗）；（2）在本體論上，天台以「實相」為「三諦圓融」（積極肯定的形上學），三論以「實相」為「畢竟空」（否定性的形上學）；（3）在實踐論上，天台發展出精密的位次體系（六即佛、五十二位等修行階梯），三論強調「無所得」（</w:t>
      </w:r>
      <w:r>
        <w:rPr>
          <w:i/>
        </w:rPr>
        <w:t>aprapti</w:t>
      </w:r>
      <w:r>
        <w:t>）——修行的目的不是「得到」什麼果位，而是「破除」對果位的執著。</w:t>
      </w:r>
    </w:p>
    <w:p>
      <w:r>
        <w:rPr>
          <w:b/>
        </w:rPr>
        <w:t>與法相的差異</w:t>
      </w:r>
      <w:r>
        <w:t>：三論宗與法相宗的差異主要在「空」「有」之爭——三論以「一切法空」為究竟（諸法無自性），法相以「依他起性」為究竟（一切法依因緣而有，非完全空無）。在法華經詮釋上，三論宗與法相宗的共同點是：都不像天台那樣將法華經推至「純圓獨妙」的絕對最高地位。但二者的理由不同：法相宗認為法華經是「引攝方便」（功能性定位），三論宗認為法華經是「攝末歸本」的整合性教法（結構性定位）。</w:t>
      </w:r>
    </w:p>
    <w:p>
      <w:r>
        <w:t>三論宗在唐代中期以後逐漸衰落，其法華詮釋隨之邊緣化。然而，吉藏的中觀學進路在當代佛教哲學研究中獲得了新的關注——三論宗對「語言與真理」關係的反思、對「概念化思維」的批判、對「無所得」境界的指向，與當代哲學中的解構主義（Derrida）、語言哲學（Wittgenstein）存在有趣的對話可能。</w:t>
      </w:r>
    </w:p>
    <w:p>
      <w:pPr>
        <w:pStyle w:val="Heading3"/>
      </w:pPr>
      <w:r>
        <w:t>5.4 日蓮宗——法華至上的信仰實踐</w:t>
      </w:r>
    </w:p>
    <w:p>
      <w:pPr>
        <w:pStyle w:val="Heading4"/>
      </w:pPr>
      <w:r>
        <w:t>5.4.1 日蓮的核心著作與思想背景</w:t>
      </w:r>
    </w:p>
    <w:p>
      <w:r>
        <w:t>日蓮（1222-1282）生活在日本鎌倉時代——一個戰亂頻仍、社會動盪的歷史時期。佛教的「末法思想」在此時期獲得了強烈的時代呼應——「正法」（佛陀在世時的正確教法）與「像法」（教法的模仿期）已經結束，日本已進入「末法」（教法衰微、眾生根機低劣的時代）。日蓮的法華詮釋正是在這一歷史語境中形成的。</w:t>
      </w:r>
    </w:p>
    <w:p>
      <w:r>
        <w:rPr>
          <w:b/>
        </w:rPr>
        <w:t>《開目抄》（1272）[CSV #88]</w:t>
      </w:r>
      <w:r>
        <w:t xml:space="preserve"> 寫於日蓮被流放至佐渡島的艱苦歲月中，是其思想最為成熟的核心論著。「開目」意為「開啟眼目」，日蓮以此書宣稱自己是末法時代「上行菩薩」（從地湧出品中預言的菩薩）的再來，負有在末法時代弘揚法華經的使命。《開目抄》系統闡述了日蓮的末法佛教理論：末法時代，佛陀的一切教法都已失去效力，唯有法華經——具體而言是法華經的「題目」（</w:t>
      </w:r>
      <w:r>
        <w:rPr>
          <w:i/>
        </w:rPr>
        <w:t>daimoku</w:t>
      </w:r>
      <w:r>
        <w:t>，即「南無妙法蓮華經」七字）——仍然保有救度眾生的力量。</w:t>
      </w:r>
    </w:p>
    <w:p>
      <w:r>
        <w:rPr>
          <w:b/>
        </w:rPr>
        <w:t>《觀心本尊抄》（1273）[CSV #89]</w:t>
      </w:r>
      <w:r>
        <w:t xml:space="preserve"> 闡述日蓮的「本門」教義——法華經如來壽量品所揭示的「久遠實成」之佛是末法時代的究竟本尊，修行者應以壽量品的本佛為禮拜對象，以唱題為核心修行。日蓮在此書中建構了「本門本尊」的信仰體系：本尊不是雕塑或畫像，而是書寫有「南無妙法蓮華經」的曼荼羅（</w:t>
      </w:r>
      <w:r>
        <w:rPr>
          <w:i/>
        </w:rPr>
        <w:t>mandala</w:t>
      </w:r>
      <w:r>
        <w:t>），其中央書題目，四方配以法華經中出現的諸佛菩薩名號。</w:t>
      </w:r>
    </w:p>
    <w:p>
      <w:pPr>
        <w:pStyle w:val="Heading4"/>
      </w:pPr>
      <w:r>
        <w:t>5.4.2 「三大秘法」的教義體系</w:t>
      </w:r>
    </w:p>
    <w:p>
      <w:r>
        <w:t>日蓮的教義體系以「三大秘法」為核心結構：</w:t>
      </w:r>
    </w:p>
    <w:p>
      <w:r>
        <w:rPr>
          <w:b/>
        </w:rPr>
        <w:t>本門本尊</w:t>
      </w:r>
      <w:r>
        <w:t>（</w:t>
      </w:r>
      <w:r>
        <w:rPr>
          <w:i/>
        </w:rPr>
        <w:t>honmon no honzon</w:t>
      </w:r>
      <w:r>
        <w:t>）：末法時代的修行者應禮拜的究竟對象。日蓮否定了傳統佛教中釋迦佛像、阿彌陀佛像等作為本尊的做法，主張以壽量品所揭示的「久遠實成」之本佛——體現為書寫有「南無妙法蓮華經」的曼荼羅——為唯一正確的本尊。這一主張的激進性在於：它不僅否定了其他宗派的本尊（如淨土宗的阿彌陀佛），更將「本尊」從具象的佛像轉化為抽象的文字曼荼羅，實現了佛教信仰對象的根本性轉換。</w:t>
      </w:r>
    </w:p>
    <w:p>
      <w:r>
        <w:rPr>
          <w:b/>
        </w:rPr>
        <w:t>本門題目</w:t>
      </w:r>
      <w:r>
        <w:t>（</w:t>
      </w:r>
      <w:r>
        <w:rPr>
          <w:i/>
        </w:rPr>
        <w:t>honmon no daimoku</w:t>
      </w:r>
      <w:r>
        <w:t>）：末法時代的核心修行——唱誦「南無妙法蓮華經」。日蓮主張，末法時代的眾生根機低劣，無力修習天台宗精密的止觀體系，唯有以信心唱誦法華經題目，才能獲得解脫。唱題修行的理論基礎在於：「南無妙法蓮華經」七字含攝了法華經二十八品的全部功德——題目即是全經的精華濃縮。這一主張在實踐上極大地簡化了佛教修行——從天台宗的止觀雙修、法相宗的六度萬行，到日蓮宗的唱題一行——使法華信仰對普通信眾的可及性大幅提升。</w:t>
      </w:r>
    </w:p>
    <w:p>
      <w:r>
        <w:rPr>
          <w:b/>
        </w:rPr>
        <w:t>本門戒壇</w:t>
      </w:r>
      <w:r>
        <w:t>（</w:t>
      </w:r>
      <w:r>
        <w:rPr>
          <w:i/>
        </w:rPr>
        <w:t>honmon no kaidan</w:t>
      </w:r>
      <w:r>
        <w:t>）：末法時代應建立的受戒道場。日蓮主張，傳統佛教的「小乘戒壇」（如東大寺戒壇）已在末法時代失去效力，應建立以法華經為核心的「本門戒壇」。這一主張具有強烈的政治含義——它暗示現有的國家宗教體制（以天皇為核心的神道體系與以各宗派為基礎的佛教體制）都需要被以法華經為中心的新體制所取代。</w:t>
      </w:r>
    </w:p>
    <w:p>
      <w:pPr>
        <w:pStyle w:val="Heading4"/>
      </w:pPr>
      <w:r>
        <w:t>5.4.3 末法思想的歷史語境與日蓮詮釋的獨特性</w:t>
      </w:r>
    </w:p>
    <w:p>
      <w:r>
        <w:t>Nattier（1991）</w:t>
      </w:r>
      <w:r>
        <w:t>CSV #22] 的研究追溯了佛教末法思想的形成歷程，指出末法概念在印度佛教中並非主流思想，但在中國和日本佛教中獲得了極大的發展。法華經本身就包含末法預言的元素——第 23 品（藥王菩薩本事品）提到法華經將在佛滅後的「惡世」中被弘揚，這些段落被日蓮詮釋為對其自身使命的預言。</w:t>
      </w:r>
    </w:p>
    <w:p>
      <w:r>
        <w:t>日蓮的法華詮釋與天台宗的根本差異在於「本跡」關係的處理。天台智顗持「本跡等量齊觀」——跡門與本門各有其教義功能，不應偏廢。日蓮則激進地以「本門中心主義」取代天台的平衡立場——壽量品（本門之核心）被提升為整部法華經的絕對中心，甚至是整個佛教的絕對中心；跡門被降格為引入本門的前行，其獨立價值被大幅削弱。Stone（1999）</w:t>
      </w:r>
      <w:r>
        <w:t xml:space="preserve">CSV #28] 的 </w:t>
      </w:r>
      <w:r>
        <w:rPr>
          <w:i/>
        </w:rPr>
        <w:t>Original Enlightenment and the Transformation of Medieval Japanese Buddhism</w:t>
      </w:r>
      <w:r>
        <w:t xml:space="preserve"> 深入分析了日蓮的「本覺思想」——日蓮繼承了天台本覺論的框架，但將其推向更激進的方向：本覺（原始覺悟）不是通過修行「顯現」的，而是通過對法華經題目的「信仰」直接契入的。</w:t>
      </w:r>
    </w:p>
    <w:p>
      <w:r>
        <w:t>Stone（1998）</w:t>
      </w:r>
      <w:r>
        <w:t>CSV #27] 進一步分析了法華經如何被日蓮用作「正當性修辭」（rhetoric of legitimation）——日蓮將自己遭受的迫害（流放、暗殺未遂）類比為法華經中「法師品」「安樂行品」所預言的「末世弘法者」必將面臨的苦難，從而將個人的政治挫折轉化為宗教使命的印證。Stone（2014）</w:t>
      </w:r>
      <w:r>
        <w:t>CSV #133] 在蒙古入侵的歷史背景下進一步分析了日蓮的末法論述——蒙古大軍兩次攻打日本（1274、1281）的歷史事件，被日蓮詮釋為末法時代的「劫難」，也是他的「立正安國」（以法華經治國）預言的驗證。</w:t>
      </w:r>
    </w:p>
    <w:p>
      <w:r>
        <w:rPr>
          <w:b/>
        </w:rPr>
        <w:t>「四箇格言」的論爭性格</w:t>
      </w:r>
      <w:r>
        <w:t>。日蓮以四句極端批判概括了他對其他宗派的立場：「念佛無間」（念佛法門通向無間地獄）、「禪天魔」（禪宗是天魔外道）、「真言亡國」（密宗導致亡國）、「律國賊」（律宗是國家之賊）。這些激烈言辭使日蓮在當時遭受了嚴酷的政治迫害，但也為日蓮宗確立了鮮明的宗派認同——日蓮宗從一開始就是一個以「排他性」而非「包容性」來定義自身的宗教運動。Anesaki（1916）</w:t>
      </w:r>
      <w:r>
        <w:t>CSV #132] 是西方學界最早的日蓮研究，將日蓮定位為「佛教改革者」，類比馬丁·路德在基督教中的角色。釋昭慧（2011）</w:t>
      </w:r>
      <w:r>
        <w:t>CSV #55] 從中文學術視角分析了日蓮的「國柱信仰」——日蓮自稱為日本的「柱」「眼」「大船」，其法華詮釋具有強烈的國族主義色彩。</w:t>
      </w:r>
    </w:p>
    <w:p>
      <w:pPr>
        <w:pStyle w:val="Heading4"/>
      </w:pPr>
      <w:r>
        <w:t>5.4.4 現代影響：創價學會與全球化</w:t>
      </w:r>
    </w:p>
    <w:p>
      <w:r>
        <w:t>日蓮宗的現代影響主要通過創價學會（Soka Gakkai International, SGI）實現。Strand（2014）</w:t>
      </w:r>
      <w:r>
        <w:t>CSV #161] 的研究分析了創價學會如何將日蓮的法華信仰轉化為一個全球性的佛教運動。創價學會由牧口常三郎（1871-1944）創立、戸田城聖（1900-1958）重建、池田大作（1928-2023）推向國際化，截至二十一世紀初已在全球擁有超過一千二百萬會員。創價學會的法華實踐以「唱題」（chanting）為核心——每日早晚勤行中唱誦「南無妙法蓮華經」，這一極簡化的修行形式使法華信仰得以跨越文化、語言、教育背景的障礙，在世界各地吸引了大量信眾。</w:t>
      </w:r>
    </w:p>
    <w:p>
      <w:r>
        <w:t>創價學會同時是一個具有政治影響力的社會組織——其在日本支持公明黨（Komeito）參與政治活動，引發了關於宗教與政治分離的持續爭議。Deal &amp; Ruppert（2015）</w:t>
      </w:r>
      <w:r>
        <w:t>CSV #162] 分析了日蓮宗與政治權力的歷史關係——從日蓮本人的「立正安國論」到戰國時代的法華一揆（農民起義），再到現代創價學會的政治參與——法華經的「政治化」是日蓮傳統的一個持續特徵。末木文美士（2014）</w:t>
      </w:r>
      <w:r>
        <w:t>CSV #160] 的通史追溯了法華經在日本從聖德太子到創價學會的漫長影響歷程。</w:t>
      </w:r>
    </w:p>
    <w:p>
      <w:pPr>
        <w:pStyle w:val="Heading3"/>
      </w:pPr>
      <w:r>
        <w:t>5.5 其他重要注釋者</w:t>
      </w:r>
    </w:p>
    <w:p>
      <w:pPr>
        <w:pStyle w:val="Heading4"/>
      </w:pPr>
      <w:r>
        <w:t>5.5.1 印度注釋傳統</w:t>
      </w:r>
    </w:p>
    <w:p>
      <w:r>
        <w:t>世親（</w:t>
      </w:r>
      <w:r>
        <w:rPr>
          <w:i/>
        </w:rPr>
        <w:t>Vasubandhu</w:t>
      </w:r>
      <w:r>
        <w:t>，4-5 世紀）的《法華經優波提舍》</w:t>
      </w:r>
      <w:r>
        <w:t>CSV #81] 是印度唯一存世的法華注釋。世親以「七種功德成就」架構分析法華經義理——序功德成就、教功德成就、淨土功德成就、住持功德成就等——將法華經的教義結構化為系統的功德論述。世親的法華注釋以「優波提舍」（</w:t>
      </w:r>
      <w:r>
        <w:rPr>
          <w:i/>
        </w:rPr>
        <w:t>upadeśa</w:t>
      </w:r>
      <w:r>
        <w:t>，論議）為名，表明其體例是「論」而非「疏」——它不是逐句釋義的注釋，而是對法華經核心義理的哲學探討。</w:t>
      </w:r>
    </w:p>
    <w:p>
      <w:r>
        <w:t>值得注意的是，世親本人被傳統認為是唯識學的代表人物，但其《法華論》的思想傾向更接近如來藏系統，這一矛盾引發了學界關於世親思想歸屬的持續討論。世親的法華注釋僅存漢譯（菩提流支與曇林合譯，508 年），梵文原本已佚，這使得其原始思想的精確復原面臨語言學上的困難。</w:t>
      </w:r>
    </w:p>
    <w:p>
      <w:pPr>
        <w:pStyle w:val="Heading4"/>
      </w:pPr>
      <w:r>
        <w:t>5.5.2 明清注釋的特色分析</w:t>
      </w:r>
    </w:p>
    <w:p>
      <w:r>
        <w:t>明清時期的法華注釋呈現出鮮明的「融合主義」特徵——不再拘守單一宗派立場，而是試圖綜合各宗精華，建構更包容的詮釋框架。</w:t>
      </w:r>
    </w:p>
    <w:p>
      <w:r>
        <w:rPr>
          <w:b/>
        </w:rPr>
        <w:t>憨山德清（1546-1623）</w:t>
      </w:r>
      <w:r>
        <w:t>的《法華經通義》</w:t>
      </w:r>
      <w:r>
        <w:t>CSV #106] 代表了明末「禪教合一」思潮在法華注釋中的體現。憨山以禪宗「明心見性」為修行核心，同時大量引用華嚴宗的「法界觀」與天台宗的「圓教」理論，將法華經詮釋為「直指人心」的頓悟法門。在憨山的詮釋中，法華經的「一佛乘」就是禪宗的「直指心性」——三乘歸一不是教義學的理論問題，而是禪修實踐中「見性」一刻的直接體驗。憨山的融合策略反映了明末佛教「三教合一」與「禪淨雙修」的時代潮流。</w:t>
      </w:r>
    </w:p>
    <w:p>
      <w:r>
        <w:rPr>
          <w:b/>
        </w:rPr>
        <w:t>蕅益智旭（1599-1655）</w:t>
      </w:r>
      <w:r>
        <w:t>的《法華經會義》</w:t>
      </w:r>
      <w:r>
        <w:t>CSV #107] 以天台教義為主軸，但有選擇地吸收華嚴與唯識的思想資源。「會義」之名暗示了智旭的詮釋企圖——將歷代各家各派對法華經的不同解讀「會通」為統一的義理體系。智旭雖自認為天台後學，但其思想實際上已超越了天台宗的嚴格範疇，呈現出明末「判教多元化」的特徵。智旭晚年歸心淨土，以天台法華學為判教基礎重新詮釋《阿彌陀經》，開創了「天台淨土融合」的新範式。</w:t>
      </w:r>
    </w:p>
    <w:p>
      <w:r>
        <w:rPr>
          <w:b/>
        </w:rPr>
        <w:t>大義（約 18 世紀）</w:t>
      </w:r>
      <w:r>
        <w:t>的《法華經大成》</w:t>
      </w:r>
      <w:r>
        <w:t>CSV #108] 被視為清代法華經注釋的集大成之作。大義廣泛引用歷代注疏——從智顗、吉藏、窺基的宗派性注釋，到憨山、智旭的融合性注釋——加以綜合整理與批判性評述，為後世研究者提供了一部「法華注釋百科全書」。《法華經大成》的學術價值在於其資料的全面性——它保存了許多已散佚的早期注釋片段，成為考察法華注釋史的重要二次文獻。</w:t>
      </w:r>
    </w:p>
    <w:p>
      <w:r>
        <w:t>明清法華注釋的共同特色是「實踐轉向」——它們不像唐宋注釋那樣執著於教義學的精密建構，而是更關注法華經在個人修行與日常生活中的實踐意義。這一轉向與明清佛教「叢林衰微」「居士佛教興起」的社會背景密切相關——注釋的讀者不再限於受過系統教育的僧侶，而是擴展到了識字的在家信眾。</w:t>
      </w:r>
    </w:p>
    <w:p>
      <w:pPr>
        <w:pStyle w:val="Heading4"/>
      </w:pPr>
      <w:r>
        <w:t>5.5.3 現代注釋的「專業化」趨勢</w:t>
      </w:r>
    </w:p>
    <w:p>
      <w:r>
        <w:t>二十世紀以來的法華經注釋呈現出鮮明的「專業化」趨勢——不同的注釋者從各自的宗派立場與實踐關懷出發，各取法華經的不同面向進行深度開掘。</w:t>
      </w:r>
    </w:p>
    <w:p>
      <w:r>
        <w:rPr>
          <w:b/>
        </w:rPr>
        <w:t>太虛（1890-1947）</w:t>
      </w:r>
      <w:r>
        <w:t>CSV #90] 的《法華經講記》開啟了現代詮釋先河，以「人間佛教」的理念重新解讀法華經——法華經的「一佛乘」不是高遠的形上學命題，而是人人在現實人間修行成佛的可能性宣言。太虛的詮釋反映了民國時期佛教改革運動的思想關懷——破除迷信、回歸理性、走向人間。</w:t>
      </w:r>
    </w:p>
    <w:p>
      <w:r>
        <w:rPr>
          <w:b/>
        </w:rPr>
        <w:t>宣化上人（1918-1995）</w:t>
      </w:r>
      <w:r>
        <w:t>CSV #91] 以禪宗大德的身份講解法華經，語言通俗生動，常以日常生活中的故事來闡釋深奧教義。其法華講解在北美華人佛教社群中影響廣泛，代表了漢傳佛教「禪宗取向」的法華詮釋。</w:t>
      </w:r>
    </w:p>
    <w:p>
      <w:r>
        <w:rPr>
          <w:b/>
        </w:rPr>
        <w:t>南懷瑾（1918-2012）</w:t>
      </w:r>
      <w:r>
        <w:t>CSV #92] 的十冊《法華經講義》融合儒道佛三家視角，以其博學多聞的國學素養重新詮釋法華經，將法華經置於中國文化整體的脈絡中理解。南懷瑾的詮釋特色在於「跨界」——他不受任何單一宗派的約束，自由地調動儒學、道學、禪學、唯識學等多種思想資源。</w:t>
      </w:r>
    </w:p>
    <w:p>
      <w:r>
        <w:rPr>
          <w:b/>
        </w:rPr>
        <w:t>聖嚴法師（1931-2009）</w:t>
      </w:r>
      <w:r>
        <w:t>CSV #97] 從禪修實踐視角解讀法華經，著重將法華經的譬喻故事轉化為現代人可以在日常生活中實踐的智慧指引。</w:t>
      </w:r>
      <w:r>
        <w:rPr>
          <w:b/>
        </w:rPr>
        <w:t>證嚴法師（1937-）</w:t>
      </w:r>
      <w:r>
        <w:t>CSV #98] 以「菩薩道」為核心講述法華經，將法華經的慈悲精神連結到慈濟功德會的慈善志業——法華經不是書齋中的學問，而是在救災、醫療、教育等社會實踐中體現的活法。</w:t>
      </w:r>
    </w:p>
    <w:p>
      <w:r>
        <w:t>菅野博史（2014）</w:t>
      </w:r>
      <w:r>
        <w:t>CSV #101] 的《法華經を読む》是日本學界面向一般讀者的權威入門書。Lopez（2016）</w:t>
      </w:r>
      <w:r>
        <w:t>CSV #99] 以「傳記」形式敘述法華經兩千年的生命歷程，開創了宗教經典研究的新書寫範式。Stone（2003）</w:t>
      </w:r>
      <w:r>
        <w:t>CSV #100] 的入門導讀則為英語讀者提供了理解法華經的基本框架。杜正民編《法華經注疏集成》</w:t>
      </w:r>
      <w:r>
        <w:t>CSV #105] 彙編歷代重要注疏，為研究者提供了方便的一手文獻總集。</w:t>
      </w:r>
    </w:p>
    <w:p>
      <w:pPr>
        <w:pStyle w:val="Heading3"/>
      </w:pPr>
      <w:r>
        <w:t>5.6 四宗分歧核心對照表</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議題</w:t>
            </w:r>
          </w:p>
        </w:tc>
        <w:tc>
          <w:tcPr>
            <w:tcW w:type="dxa" w:w="1728"/>
          </w:tcPr>
          <w:p>
            <w:r>
              <w:rPr>
                <w:b/>
              </w:rPr>
              <w:t>天台（智顗）</w:t>
            </w:r>
          </w:p>
        </w:tc>
        <w:tc>
          <w:tcPr>
            <w:tcW w:type="dxa" w:w="1728"/>
          </w:tcPr>
          <w:p>
            <w:r>
              <w:rPr>
                <w:b/>
              </w:rPr>
              <w:t>法相（窺基）</w:t>
            </w:r>
          </w:p>
        </w:tc>
        <w:tc>
          <w:tcPr>
            <w:tcW w:type="dxa" w:w="1728"/>
          </w:tcPr>
          <w:p>
            <w:r>
              <w:rPr>
                <w:b/>
              </w:rPr>
              <w:t>三論（吉藏）</w:t>
            </w:r>
          </w:p>
        </w:tc>
        <w:tc>
          <w:tcPr>
            <w:tcW w:type="dxa" w:w="1728"/>
          </w:tcPr>
          <w:p>
            <w:r>
              <w:rPr>
                <w:b/>
              </w:rPr>
              <w:t>日蓮</w:t>
            </w:r>
          </w:p>
        </w:tc>
      </w:tr>
      <w:tr>
        <w:tc>
          <w:tcPr>
            <w:tcW w:type="dxa" w:w="1728"/>
          </w:tcPr>
          <w:p>
            <w:r>
              <w:t>一乘/三乘</w:t>
            </w:r>
          </w:p>
        </w:tc>
        <w:tc>
          <w:tcPr>
            <w:tcW w:type="dxa" w:w="1728"/>
          </w:tcPr>
          <w:p>
            <w:r>
              <w:t>一乘真實，三乘方便</w:t>
            </w:r>
          </w:p>
        </w:tc>
        <w:tc>
          <w:tcPr>
            <w:tcW w:type="dxa" w:w="1728"/>
          </w:tcPr>
          <w:p>
            <w:r>
              <w:t>五性各別，無性不成佛</w:t>
            </w:r>
          </w:p>
        </w:tc>
        <w:tc>
          <w:tcPr>
            <w:tcW w:type="dxa" w:w="1728"/>
          </w:tcPr>
          <w:p>
            <w:r>
              <w:t>一乘真實（空性義）</w:t>
            </w:r>
          </w:p>
        </w:tc>
        <w:tc>
          <w:tcPr>
            <w:tcW w:type="dxa" w:w="1728"/>
          </w:tcPr>
          <w:p>
            <w:r>
              <w:t>一乘絕對，餘宗皆偽</w:t>
            </w:r>
          </w:p>
        </w:tc>
      </w:tr>
      <w:tr>
        <w:tc>
          <w:tcPr>
            <w:tcW w:type="dxa" w:w="1728"/>
          </w:tcPr>
          <w:p>
            <w:r>
              <w:t>本門/跡門</w:t>
            </w:r>
          </w:p>
        </w:tc>
        <w:tc>
          <w:tcPr>
            <w:tcW w:type="dxa" w:w="1728"/>
          </w:tcPr>
          <w:p>
            <w:r>
              <w:t>等量齊觀，雙核心</w:t>
            </w:r>
          </w:p>
        </w:tc>
        <w:tc>
          <w:tcPr>
            <w:tcW w:type="dxa" w:w="1728"/>
          </w:tcPr>
          <w:p>
            <w:r>
              <w:t>不特別強調</w:t>
            </w:r>
          </w:p>
        </w:tc>
        <w:tc>
          <w:tcPr>
            <w:tcW w:type="dxa" w:w="1728"/>
          </w:tcPr>
          <w:p>
            <w:r>
              <w:t>較為淡化</w:t>
            </w:r>
          </w:p>
        </w:tc>
        <w:tc>
          <w:tcPr>
            <w:tcW w:type="dxa" w:w="1728"/>
          </w:tcPr>
          <w:p>
            <w:r>
              <w:t>本門絕對中心</w:t>
            </w:r>
          </w:p>
        </w:tc>
      </w:tr>
      <w:tr>
        <w:tc>
          <w:tcPr>
            <w:tcW w:type="dxa" w:w="1728"/>
          </w:tcPr>
          <w:p>
            <w:r>
              <w:t>判教地位</w:t>
            </w:r>
          </w:p>
        </w:tc>
        <w:tc>
          <w:tcPr>
            <w:tcW w:type="dxa" w:w="1728"/>
          </w:tcPr>
          <w:p>
            <w:r>
              <w:t>第五時，純圓獨妙</w:t>
            </w:r>
          </w:p>
        </w:tc>
        <w:tc>
          <w:tcPr>
            <w:tcW w:type="dxa" w:w="1728"/>
          </w:tcPr>
          <w:p>
            <w:r>
              <w:t>第三時了義教</w:t>
            </w:r>
          </w:p>
        </w:tc>
        <w:tc>
          <w:tcPr>
            <w:tcW w:type="dxa" w:w="1728"/>
          </w:tcPr>
          <w:p>
            <w:r>
              <w:t>攝末歸本法輪</w:t>
            </w:r>
          </w:p>
        </w:tc>
        <w:tc>
          <w:tcPr>
            <w:tcW w:type="dxa" w:w="1728"/>
          </w:tcPr>
          <w:p>
            <w:r>
              <w:t>末法唯一有效經典</w:t>
            </w:r>
          </w:p>
        </w:tc>
      </w:tr>
      <w:tr>
        <w:tc>
          <w:tcPr>
            <w:tcW w:type="dxa" w:w="1728"/>
          </w:tcPr>
          <w:p>
            <w:r>
              <w:t>修行實踐</w:t>
            </w:r>
          </w:p>
        </w:tc>
        <w:tc>
          <w:tcPr>
            <w:tcW w:type="dxa" w:w="1728"/>
          </w:tcPr>
          <w:p>
            <w:r>
              <w:t>止觀雙修，一念三千</w:t>
            </w:r>
          </w:p>
        </w:tc>
        <w:tc>
          <w:tcPr>
            <w:tcW w:type="dxa" w:w="1728"/>
          </w:tcPr>
          <w:p>
            <w:r>
              <w:t>唯識觀，六度萬行</w:t>
            </w:r>
          </w:p>
        </w:tc>
        <w:tc>
          <w:tcPr>
            <w:tcW w:type="dxa" w:w="1728"/>
          </w:tcPr>
          <w:p>
            <w:r>
              <w:t>破執遣相</w:t>
            </w:r>
          </w:p>
        </w:tc>
        <w:tc>
          <w:tcPr>
            <w:tcW w:type="dxa" w:w="1728"/>
          </w:tcPr>
          <w:p>
            <w:r>
              <w:t>唱題（南無妙法蓮華經）</w:t>
            </w:r>
          </w:p>
        </w:tc>
      </w:tr>
      <w:tr>
        <w:tc>
          <w:tcPr>
            <w:tcW w:type="dxa" w:w="1728"/>
          </w:tcPr>
          <w:p>
            <w:r>
              <w:t>佛性觀</w:t>
            </w:r>
          </w:p>
        </w:tc>
        <w:tc>
          <w:tcPr>
            <w:tcW w:type="dxa" w:w="1728"/>
          </w:tcPr>
          <w:p>
            <w:r>
              <w:t>一切眾生皆有佛性</w:t>
            </w:r>
          </w:p>
        </w:tc>
        <w:tc>
          <w:tcPr>
            <w:tcW w:type="dxa" w:w="1728"/>
          </w:tcPr>
          <w:p>
            <w:r>
              <w:t>種子決定，五性差別</w:t>
            </w:r>
          </w:p>
        </w:tc>
        <w:tc>
          <w:tcPr>
            <w:tcW w:type="dxa" w:w="1728"/>
          </w:tcPr>
          <w:p>
            <w:r>
              <w:t>空性平等</w:t>
            </w:r>
          </w:p>
        </w:tc>
        <w:tc>
          <w:tcPr>
            <w:tcW w:type="dxa" w:w="1728"/>
          </w:tcPr>
          <w:p>
            <w:r>
              <w:t>法華題目即佛性</w:t>
            </w:r>
          </w:p>
        </w:tc>
      </w:tr>
      <w:tr>
        <w:tc>
          <w:tcPr>
            <w:tcW w:type="dxa" w:w="1728"/>
          </w:tcPr>
          <w:p>
            <w:r>
              <w:t>哲學基礎</w:t>
            </w:r>
          </w:p>
        </w:tc>
        <w:tc>
          <w:tcPr>
            <w:tcW w:type="dxa" w:w="1728"/>
          </w:tcPr>
          <w:p>
            <w:r>
              <w:t>如來藏佛性論</w:t>
            </w:r>
          </w:p>
        </w:tc>
        <w:tc>
          <w:tcPr>
            <w:tcW w:type="dxa" w:w="1728"/>
          </w:tcPr>
          <w:p>
            <w:r>
              <w:t>唯識種子論</w:t>
            </w:r>
          </w:p>
        </w:tc>
        <w:tc>
          <w:tcPr>
            <w:tcW w:type="dxa" w:w="1728"/>
          </w:tcPr>
          <w:p>
            <w:r>
              <w:t>中觀空性論</w:t>
            </w:r>
          </w:p>
        </w:tc>
        <w:tc>
          <w:tcPr>
            <w:tcW w:type="dxa" w:w="1728"/>
          </w:tcPr>
          <w:p>
            <w:r>
              <w:t>本覺思想</w:t>
            </w:r>
          </w:p>
        </w:tc>
      </w:tr>
      <w:tr>
        <w:tc>
          <w:tcPr>
            <w:tcW w:type="dxa" w:w="1728"/>
          </w:tcPr>
          <w:p>
            <w:r>
              <w:t>方法論特色</w:t>
            </w:r>
          </w:p>
        </w:tc>
        <w:tc>
          <w:tcPr>
            <w:tcW w:type="dxa" w:w="1728"/>
          </w:tcPr>
          <w:p>
            <w:r>
              <w:t>建構性（五重玄義）</w:t>
            </w:r>
          </w:p>
        </w:tc>
        <w:tc>
          <w:tcPr>
            <w:tcW w:type="dxa" w:w="1728"/>
          </w:tcPr>
          <w:p>
            <w:r>
              <w:t>分析性（唯識範疇）</w:t>
            </w:r>
          </w:p>
        </w:tc>
        <w:tc>
          <w:tcPr>
            <w:tcW w:type="dxa" w:w="1728"/>
          </w:tcPr>
          <w:p>
            <w:r>
              <w:t>解構性（破邪顯正）</w:t>
            </w:r>
          </w:p>
        </w:tc>
        <w:tc>
          <w:tcPr>
            <w:tcW w:type="dxa" w:w="1728"/>
          </w:tcPr>
          <w:p>
            <w:r>
              <w:t>信仰性（題目信仰）</w:t>
            </w:r>
          </w:p>
        </w:tc>
      </w:tr>
      <w:tr>
        <w:tc>
          <w:tcPr>
            <w:tcW w:type="dxa" w:w="1728"/>
          </w:tcPr>
          <w:p>
            <w:r>
              <w:t>代表注釋</w:t>
            </w:r>
          </w:p>
        </w:tc>
        <w:tc>
          <w:tcPr>
            <w:tcW w:type="dxa" w:w="1728"/>
          </w:tcPr>
          <w:p>
            <w:r>
              <w:t>法華三大部 [CSV #73-75]</w:t>
            </w:r>
          </w:p>
        </w:tc>
        <w:tc>
          <w:tcPr>
            <w:tcW w:type="dxa" w:w="1728"/>
          </w:tcPr>
          <w:p>
            <w:r>
              <w:t>法華玄贊 [CSV #78]</w:t>
            </w:r>
          </w:p>
        </w:tc>
        <w:tc>
          <w:tcPr>
            <w:tcW w:type="dxa" w:w="1728"/>
          </w:tcPr>
          <w:p>
            <w:r>
              <w:t>法華義疏 [CSV #76]</w:t>
            </w:r>
          </w:p>
        </w:tc>
        <w:tc>
          <w:tcPr>
            <w:tcW w:type="dxa" w:w="1728"/>
          </w:tcPr>
          <w:p>
            <w:r>
              <w:t>開目抄 [CSV #88]</w:t>
            </w:r>
          </w:p>
        </w:tc>
      </w:tr>
      <w:tr>
        <w:tc>
          <w:tcPr>
            <w:tcW w:type="dxa" w:w="1728"/>
          </w:tcPr>
          <w:p>
            <w:r>
              <w:t>後世影響</w:t>
            </w:r>
          </w:p>
        </w:tc>
        <w:tc>
          <w:tcPr>
            <w:tcW w:type="dxa" w:w="1728"/>
          </w:tcPr>
          <w:p>
            <w:r>
              <w:t>中國天台、日本天台</w:t>
            </w:r>
          </w:p>
        </w:tc>
        <w:tc>
          <w:tcPr>
            <w:tcW w:type="dxa" w:w="1728"/>
          </w:tcPr>
          <w:p>
            <w:r>
              <w:t>東亞唯識學傳統</w:t>
            </w:r>
          </w:p>
        </w:tc>
        <w:tc>
          <w:tcPr>
            <w:tcW w:type="dxa" w:w="1728"/>
          </w:tcPr>
          <w:p>
            <w:r>
              <w:t>唐代後衰落</w:t>
            </w:r>
          </w:p>
        </w:tc>
        <w:tc>
          <w:tcPr>
            <w:tcW w:type="dxa" w:w="1728"/>
          </w:tcPr>
          <w:p>
            <w:r>
              <w:t>日蓮宗系、創價學會</w:t>
            </w:r>
          </w:p>
        </w:tc>
      </w:tr>
    </w:tbl>
    <w:p/>
    <w:p>
      <w:pPr>
        <w:pStyle w:val="Heading3"/>
      </w:pPr>
      <w:r>
        <w:t>5.7 四宗分歧的哲學分析與當代意義</w:t>
      </w:r>
    </w:p>
    <w:p>
      <w:pPr>
        <w:pStyle w:val="Heading4"/>
      </w:pPr>
      <w:r>
        <w:t>5.7.1 詮釋學的結構性分析</w:t>
      </w:r>
    </w:p>
    <w:p>
      <w:r>
        <w:t>四宗對法華經的分歧不僅是教義內容的差異，更是詮釋學（hermeneutics）預設的根本差異。每一宗派在「讀」法華經之前，已經帶有一套關於「真理是什麼」「語言與真理的關係是什麼」「修行的目標是什麼」的先行理解（</w:t>
      </w:r>
      <w:r>
        <w:rPr>
          <w:i/>
        </w:rPr>
        <w:t>Vorverständnis</w:t>
      </w:r>
      <w:r>
        <w:t>），這些先行理解決定了他們從法華經中「讀出」什麼意義。</w:t>
      </w:r>
    </w:p>
    <w:p>
      <w:r>
        <w:t>天台的先行理解是「圓融」——真理是統一的、圓滿的、互相含攝的，因此法華經被讀為一切教法的究竟圓融之教。法相的先行理解是「分析」——真理是可以被精確分類、嚴格定義的，因此法華經被讀為唯識學分析框架中的一個組成部分。三論的先行理解是「否定」——真理不可以被任何概念所把握，因此法華經被讀為破除一切概念執著的解構性文本。日蓮的先行理解是「信仰」——真理只能通過全身心的歸依來契入，因此法華經被讀為要求絕對信仰的神聖文本。</w:t>
      </w:r>
    </w:p>
    <w:p>
      <w:r>
        <w:t>這一分析揭示了宗教詮釋學的一個根本特徵：文本不是意義的唯一決定者，讀者的詮釋社群（interpretive community）同樣參與了意義的建構。法華經的「一佛乘」在四個詮釋社群中產生了四種截然不同的意義系統，而每一種意義系統在其自身的框架內都是自洽的。</w:t>
      </w:r>
    </w:p>
    <w:p>
      <w:pPr>
        <w:pStyle w:val="Heading4"/>
      </w:pPr>
      <w:r>
        <w:t>5.7.2 「包容性」與「排他性」的張力</w:t>
      </w:r>
    </w:p>
    <w:p>
      <w:r>
        <w:t>Gene Reeves（2010）</w:t>
      </w:r>
      <w:r>
        <w:t>CSV #29] 以「包容性」（inclusive）與「排他性」（exclusive）為概念工具，辨析了法華經「一乘」思想的兩種詮釋進路。天台與三論傾向於「包容性」詮釋——一乘是包含三乘的更大範疇，三乘不是被否定而是被包容（「開」而非「廢」）。日蓮則傾向於「排他性」詮釋——法華一乘是唯一正法，其他一切教法（包括三乘教法）都是「權」乃至「偽」。法相宗的立場最為複雜——它既承認法華一乘的正確性（對不定性眾生而言），又保留了五性各別的排他性（對定性眾生與無性有情而言）。</w:t>
      </w:r>
    </w:p>
    <w:p>
      <w:r>
        <w:t>這一張力在當代佛教中仍然具有現實意義。在宗教多元主義（religious pluralism）的全球語境中，法華經的「一佛乘」思想被重新詮釋為不同宗教傳統之間的對話基礎——如果一切教法最終都是「一乘」的方便施設，那麼不同宗教之間的差異也可以被理解為「方便」的差異，而非「真理」的差異。然而，日蓮傳統的「排他性」詮釋——法華經是唯一正法，其他一切都是邪法——則對這種多元主義的和解姿態提出了根本性的挑戰。</w:t>
      </w:r>
    </w:p>
    <w:p>
      <w:pPr>
        <w:pStyle w:val="Heading4"/>
      </w:pPr>
      <w:r>
        <w:t>5.7.3 佛性論爭的當代迴響</w:t>
      </w:r>
    </w:p>
    <w:p>
      <w:r>
        <w:t>天台-法相的「佛性」之爭在當代哲學與倫理學中獲得了新的迴響。如果「一切眾生皆有佛性」（天台立場），那麼覺悟的可能性就是普遍的、平等的、不可剝奪的——這一立場與現代人權思想中「人人生而平等、不可剝奪的尊嚴」具有結構性的相似。如果「五性各別、無性不成佛」（法相立場），那麼覺悟的可能性就是差異的、不平等的、取決於先天條件的——這一立場則引發了關於「先天決定論」（nativism）的倫理疑慮。</w:t>
      </w:r>
    </w:p>
    <w:p>
      <w:r>
        <w:t>然而，將天台立場簡單等同於「樂觀平等主義」、將法相立場簡單等同於「悲觀決定論」，是一種過度簡化。天台的「一切皆成佛」並不意味著不需要修行——佛性雖然本具，但需要通過止觀修行才能顯現（「性雖具、修方顯」）。法相的「五性各別」也不意味著宿命論——「不定性」眾生的存在本身就意味著通過正確的教化與修行，根性可以發生轉變。真正的學術挑戰在於：如何超越「佛性本有 vs 佛性始有」的二元對立，建構一種既承認覺悟可能性的普遍性、又尊重個體差異的複雜性的佛教人類學。</w:t>
      </w:r>
    </w:p>
    <w:p>
      <w:pPr>
        <w:pStyle w:val="Heading4"/>
      </w:pPr>
      <w:r>
        <w:t>5.7.4 從宗派分歧到學術對話</w:t>
      </w:r>
    </w:p>
    <w:p>
      <w:r>
        <w:t xml:space="preserve">四宗分歧在當代學術研究中已從宗派論辯轉化為學術對話。Swanson </w:t>
      </w:r>
      <w:r>
        <w:t xml:space="preserve">CSV #25-26]、Ziporyn </w:t>
      </w:r>
      <w:r>
        <w:t xml:space="preserve">CSV #24]、Williams </w:t>
      </w:r>
      <w:r>
        <w:t xml:space="preserve">CSV #18]、Stone </w:t>
      </w:r>
      <w:r>
        <w:t>CSV #27-28] 等當代學者不再站在任何一宗的立場上為其辯護，而是以學術中立的態度分析每一宗派的詮釋框架、哲學預設與歷史條件。這一轉變本身就反映了佛教研究從「宗派內學」（confessional study）到「學術研究」（academic study）的方法論轉型。</w:t>
      </w:r>
    </w:p>
    <w:p>
      <w:r>
        <w:t>然而，「學術中立」並不意味著四宗分歧已經失去意義。恰恰相反，四宗對法華經的不同詮釋揭示了一些具有普遍哲學意義的問題：真理是統一的還是多元的？語言能否表達究竟真理？修行的目標是知識、體驗還是信仰？個體的精神潛能是先天決定的還是後天可塑的？這些問題不僅屬於佛教，也屬於人類精神生活的永恆議題。法華經兩千年的注釋傳統，正是人類面對這些永恆問題時所展現的思想深度與文化創造力的見證。</w:t>
      </w:r>
    </w:p>
    <w:p>
      <w:pPr>
        <w:pStyle w:val="Heading2"/>
      </w:pPr>
      <w:r>
        <w:t>第六章　鳩摩羅什的譯經策略</w:t>
      </w:r>
    </w:p>
    <w:p>
      <w:pPr>
        <w:pStyle w:val="Heading3"/>
      </w:pPr>
      <w:r>
        <w:t>6.1 譯者生平與翻譯團隊</w:t>
      </w:r>
    </w:p>
    <w:p>
      <w:r>
        <w:t xml:space="preserve">鳩摩羅什（Kumārajīva, 344-413）是中國佛教翻譯史上最重要的譯經家之一，其翻譯事業不僅奠定了漢傳佛教的核心術語體系，更深刻塑造了東亞佛教思想的整體面貌。呂澂 </w:t>
      </w:r>
      <w:r>
        <w:t xml:space="preserve">CSV #119] 的傳記研究與 Tongdian Lu </w:t>
      </w:r>
      <w:r>
        <w:t>CSV #120] 以「創譯」（transcreation）概念重新理解鳩摩羅什的翻譯策略，共同揭示了這位譯者的獨特地位。</w:t>
      </w:r>
    </w:p>
    <w:p>
      <w:pPr>
        <w:pStyle w:val="Heading4"/>
      </w:pPr>
      <w:r>
        <w:t>6.1.1 生平關鍵節點</w:t>
      </w:r>
    </w:p>
    <w:p>
      <w:r>
        <w:t>鳩摩羅什出生於龜茲國（今新疆庫車），父親鳩摩羅炎（Kumārāyaṇa）為天竺婆羅門世族出身，母親耆婆（Jīvaka）為龜茲王妹。這一跨文化的家庭背景使鳩摩羅什從幼年即處於印度文化與中亞文化的交匯點上，為其日後的翻譯事業奠定了獨特的雙語基礎。七歲時隨母出家，初學小乘說一切有部（Sarvāstivāda）阿毘達磨，展現出超凡的記憶力與理解力。</w:t>
      </w:r>
    </w:p>
    <w:p>
      <w:r>
        <w:rPr>
          <w:b/>
        </w:rPr>
        <w:t>第一次師事：罽賓求學</w:t>
      </w:r>
      <w:r>
        <w:t>。年少時隨母赴罽賓（Kaśmīra，今克什米爾地區），師事盤頭達多（Bandhudatta），深入研習說一切有部的阿毘達磨哲學——《發智論》《大毘婆沙論》等系統性的部派佛教論典。這段經歷使鳩摩羅什精通了小乘教義的邏輯體系與論辯方法，也為其日後翻譯《大智度論》《中論》等大乘論典提供了必要的知識背景。</w:t>
      </w:r>
    </w:p>
    <w:p>
      <w:r>
        <w:rPr>
          <w:b/>
        </w:rPr>
        <w:t>第二次師事：莎車轉向大乘</w:t>
      </w:r>
      <w:r>
        <w:t xml:space="preserve">。返回龜茲途中，在莎車（Kashgar）遇須利耶蘇摩（Sūryasoma），受其啟發轉向大乘佛教。須利耶蘇摩以龍樹（Nāgārjuna）的中觀學（Madhyamaka）為核心教授鳩摩羅什，使其從部派佛教的實有論轉向空性（śūnyatā）哲學。這一思想轉變對其後來的翻譯策略具有決定性影響——鳩摩羅什在翻譯法華經時，自覺以中觀學的「實相」概念統攝全經義理，「諸法實相」這一譯語的選擇正反映了這一思想立場 </w:t>
      </w:r>
      <w:r>
        <w:t>CSV #121]（Boucher, 2008）。</w:t>
      </w:r>
    </w:p>
    <w:p>
      <w:r>
        <w:rPr>
          <w:b/>
        </w:rPr>
        <w:t>呂光俘虜（383-401）</w:t>
      </w:r>
      <w:r>
        <w:t>。前秦苻堅遣呂光西征龜茲，鳩摩羅什被擄，隨呂光滯留涼州（今甘肅武威）長達十七年。這段被囚時期在佛教翻譯史上具有特殊的意義：鳩摩羅什在此期間深入學習漢語，精通了漢語的語法結構、修辭傳統與文學審美，為其日後以「達意」而非「直譯」的策略翻譯佛經奠定了語言基礎。馬祖毅/任榮珍（2006）</w:t>
      </w:r>
      <w:r>
        <w:t>CSV #118] 指出，鳩摩羅什在涼州十七年的漢語訓練，使他成為中國佛教翻譯史上極少數真正精通梵漢雙語的譯經家——這與依賴口譯中介的早期譯經模式形成了鮮明對比。</w:t>
      </w:r>
    </w:p>
    <w:p>
      <w:r>
        <w:rPr>
          <w:b/>
        </w:rPr>
        <w:t>姚興迎請與長安譯場（401-413）</w:t>
      </w:r>
      <w:r>
        <w:t>。後秦姚興以國力迎請鳩摩羅什入長安，尊為國師，在逍遙園與西明閣設立官方譯場。姚興的支持不僅是精神上的——他提供了龐大的物質資源與行政支援，使鳩摩羅什得以組建中國佛教史上規模最大、組織最嚴密的翻譯團隊。弘始八年（406），鳩摩羅什率僧叡等八百餘人完成了《妙法蓮華經》的翻譯。在長安十二年間，鳩摩羅什共譯出經論三十五部二百九十四卷（一說七十四部三百八十四卷），其中《妙法蓮華經》《金剛般若波羅蜜經》《阿彌陀經》《維摩詰所說經》《中論》《大智度論》等均成為漢傳佛教的核心經典。</w:t>
      </w:r>
    </w:p>
    <w:p>
      <w:pPr>
        <w:pStyle w:val="Heading4"/>
      </w:pPr>
      <w:r>
        <w:t>6.1.2 翻譯團隊的組織運作</w:t>
      </w:r>
    </w:p>
    <w:p>
      <w:r>
        <w:t xml:space="preserve">鳩摩羅什的翻譯團隊採用了高度制度化的分工模式，馬祖毅/任榮珍 </w:t>
      </w:r>
      <w:r>
        <w:t>CSV #118] 的研究將其歸納為以下職能分層：</w:t>
      </w:r>
    </w:p>
    <w:p>
      <w:r>
        <w:rPr>
          <w:b/>
        </w:rPr>
        <w:t>主譯（譯主）</w:t>
      </w:r>
      <w:r>
        <w:t>：鳩摩羅什本人擔任，手持梵本，口宣漢語譯文。主譯者不僅需要精通梵文原典，更需要具備將梵文教義以漢語表達的創造性能力——這正是鳩摩羅什超越前人之處。</w:t>
      </w:r>
    </w:p>
    <w:p>
      <w:r>
        <w:rPr>
          <w:b/>
        </w:rPr>
        <w:t>證義</w:t>
      </w:r>
      <w:r>
        <w:t>：由精通教義的僧人擔任，負責審核譯文是否準確傳達了原典的義理。僧肇即擔任此職，其後來的《肇論》深受鳩摩羅什翻譯的中觀學影響。</w:t>
      </w:r>
    </w:p>
    <w:p>
      <w:r>
        <w:rPr>
          <w:b/>
        </w:rPr>
        <w:t>筆受</w:t>
      </w:r>
      <w:r>
        <w:t>：將主譯者口述的漢語譯文記錄成文字。筆受者不僅需要具備快速書寫能力，更需要具備判斷口語漢語與書面漢語差異的能力。</w:t>
      </w:r>
    </w:p>
    <w:p>
      <w:r>
        <w:rPr>
          <w:b/>
        </w:rPr>
        <w:t>校對潤文</w:t>
      </w:r>
      <w:r>
        <w:t>：對筆受文本進行文字潤飾，使其符合漢語的文學規範。僧叡在此環節貢獻尤大，他的文學修養使鳩摩羅什的譯文兼具義理準確性與文學美感。</w:t>
      </w:r>
    </w:p>
    <w:p>
      <w:r>
        <w:rPr>
          <w:b/>
        </w:rPr>
        <w:t>證梵本</w:t>
      </w:r>
      <w:r>
        <w:t>：由精通梵文的僧人核對譯文與原典的對應關係，確保翻譯的忠實度。</w:t>
      </w:r>
    </w:p>
    <w:p>
      <w:r>
        <w:t xml:space="preserve">這一團隊運作模式本身就是中國佛教翻譯史上的重要制度創新——它將翻譯從個人行為提升為組織化的學術工作，使得翻譯品質不再完全依賴單一譯者的個人能力，而是透過制度化的分工與制衡來保障。Tongdian Lu </w:t>
      </w:r>
      <w:r>
        <w:t>CSV #120] 指出，鳩摩羅什譯場的組織模式對後來玄奘譯場的制度設計產生了直接影響，後者在此基礎上進一步細化分工，增設了「監護大臣」等行政職能。</w:t>
      </w:r>
    </w:p>
    <w:p>
      <w:pPr>
        <w:pStyle w:val="Heading3"/>
      </w:pPr>
      <w:r>
        <w:t>6.2 意譯策略的具體分析</w:t>
      </w:r>
    </w:p>
    <w:p>
      <w:r>
        <w:t>鳩摩羅什對法華經核心概念的翻譯選擇，深刻塑造了東亞佛教的義理發展方向。以下逐一分析十五組關鍵梵漢術語對照，每組均涵蓋梵文原義、竺法護譯法、鳩摩羅什譯法、語義差異與教義影響。</w:t>
      </w:r>
    </w:p>
    <w:p>
      <w:pPr>
        <w:pStyle w:val="Heading4"/>
      </w:pPr>
      <w:r>
        <w:t>6.2.1 經名與核心義理術語</w:t>
      </w:r>
    </w:p>
    <w:p>
      <w:pPr>
        <w:jc w:val="center"/>
      </w:pPr>
      <w:r>
        <w:rPr>
          <w:i/>
          <w:color w:val="666666"/>
          <w:sz w:val="20"/>
        </w:rPr>
        <w:t>*（1）經名：saddharma-puṇḍarīka*</w:t>
      </w:r>
    </w:p>
    <w:p>
      <w:r>
        <w:t>梵文原義：</w:t>
      </w:r>
      <w:r>
        <w:rPr>
          <w:i/>
        </w:rPr>
        <w:t>sad-dharma</w:t>
      </w:r>
      <w:r>
        <w:t xml:space="preserve">（true/good dharma, 正確的/善的法）+ </w:t>
      </w:r>
      <w:r>
        <w:rPr>
          <w:i/>
        </w:rPr>
        <w:t>puṇḍarīka</w:t>
      </w:r>
      <w:r>
        <w:t xml:space="preserve">（white lotus, 白蓮花）。竺法護 </w:t>
      </w:r>
      <w:r>
        <w:t xml:space="preserve">CSV #111] 譯為「正法華」——「正法」直譯 </w:t>
      </w:r>
      <w:r>
        <w:rPr>
          <w:i/>
        </w:rPr>
        <w:t>saddharma</w:t>
      </w:r>
      <w:r>
        <w:t xml:space="preserve">，「華」直譯 </w:t>
      </w:r>
      <w:r>
        <w:rPr>
          <w:i/>
        </w:rPr>
        <w:t>puṇḍarīka</w:t>
      </w:r>
      <w:r>
        <w:t>。鳩摩羅什譯為「妙法蓮華」——以「妙」替換「正」，以「蓮華」替換「華」。Nattier（2008）</w:t>
      </w:r>
      <w:r>
        <w:t xml:space="preserve">CSV #21] 分析指出，「妙」字在漢語中兼具「微妙」「不可思議」「超越言說」等多重語義，比「正」字更能傳達 </w:t>
      </w:r>
      <w:r>
        <w:rPr>
          <w:i/>
        </w:rPr>
        <w:t>saddharma</w:t>
      </w:r>
      <w:r>
        <w:t xml:space="preserve"> 所蘊含的「超越世俗理解的究竟真理」之意。「蓮華」二字的增補則使經名具備了更豐富的意象——蓮花出淤泥而不染的象徵在中國文化中具有深厚的道德聯想。這一譯名的選擇使法華經在東亞文化中獲得了獨特的美學地位，「妙法蓮華」四字成為書法藝術、寺院命名、宗教唱誦中不可替代的文化符號。</w:t>
      </w:r>
    </w:p>
    <w:p>
      <w:pPr>
        <w:jc w:val="center"/>
      </w:pPr>
      <w:r>
        <w:rPr>
          <w:i/>
          <w:color w:val="666666"/>
          <w:sz w:val="20"/>
        </w:rPr>
        <w:t>*（2）諸法實相：dharmatā / dharmāṇāṃ bhūtasvabhāva*</w:t>
      </w:r>
    </w:p>
    <w:p>
      <w:r>
        <w:t>梵文原義：</w:t>
      </w:r>
      <w:r>
        <w:rPr>
          <w:i/>
        </w:rPr>
        <w:t>dharmatā</w:t>
      </w:r>
      <w:r>
        <w:t xml:space="preserve">（法性，事物的本然狀態）或 </w:t>
      </w:r>
      <w:r>
        <w:rPr>
          <w:i/>
        </w:rPr>
        <w:t>dharmāṇāṃ bhūtasvabhāva</w:t>
      </w:r>
      <w:r>
        <w:t>（諸法的真實自性）。竺法護譯為「本末空」——以般若系統的「空」概念來理解法華經的核心教義。鳩摩羅什譯為「諸法實相」——以「實相」（true form / true aspect）這一具有積極義涵的概念替代了般若系統的否定性表述。釋果暉（2008）</w:t>
      </w:r>
      <w:r>
        <w:t>CSV #37] 的比較研究指出，「本末空」強調的是萬法的空無自性，屬於般若經典的義理框架；「諸法實相」則暗示在空性之中仍有一個「真實的面貌」可以被洞見，這為天台宗的「實相論」——萬法即實相、實相即萬法——提供了術語基礎。這一術語選擇不僅是語言學層面的翻譯差異，更反映了鳩摩羅什以中觀學的「不落空有二邊」來理解法華經教義的詮釋立場。</w:t>
      </w:r>
    </w:p>
    <w:p>
      <w:pPr>
        <w:jc w:val="center"/>
      </w:pPr>
      <w:r>
        <w:rPr>
          <w:i/>
          <w:color w:val="666666"/>
          <w:sz w:val="20"/>
        </w:rPr>
        <w:t>*（3）方便：upāya / upāya-kauśalya*</w:t>
      </w:r>
    </w:p>
    <w:p>
      <w:r>
        <w:t>梵文原義：</w:t>
      </w:r>
      <w:r>
        <w:rPr>
          <w:i/>
        </w:rPr>
        <w:t>upāya</w:t>
      </w:r>
      <w:r>
        <w:t xml:space="preserve">（means, expedient method, 手段/方法）+ </w:t>
      </w:r>
      <w:r>
        <w:rPr>
          <w:i/>
        </w:rPr>
        <w:t>kauśalya</w:t>
      </w:r>
      <w:r>
        <w:t>（skill, 善巧）。竺法護譯為「善權」或「權便」，鳩摩羅什定譯為「方便」。「善權」直指「善巧的權宜」，語義較窄；「方便」在漢語中兼具「方法」「便利」「權宜」等多重含義，語義場更為寬廣。鳩摩羅什的選擇使「方便」成為東亞佛教最核心的概念之一——從天台宗「開權顯實」到禪宗「方便法門」，「方便」一詞的使用範圍遠超法華經本身。張麗珠（2011）</w:t>
      </w:r>
      <w:r>
        <w:t>CSV #123] 指出，鳩摩羅什對「方便」的定譯，使這一概念從法華經的特定語境擴展為整個漢傳佛教的通用術語。</w:t>
      </w:r>
    </w:p>
    <w:p>
      <w:pPr>
        <w:jc w:val="center"/>
      </w:pPr>
      <w:r>
        <w:rPr>
          <w:i/>
          <w:color w:val="666666"/>
          <w:sz w:val="20"/>
        </w:rPr>
        <w:t>*（4）一佛乘：ekayāna*</w:t>
      </w:r>
    </w:p>
    <w:p>
      <w:r>
        <w:t>梵文原義：</w:t>
      </w:r>
      <w:r>
        <w:rPr>
          <w:i/>
        </w:rPr>
        <w:t>eka</w:t>
      </w:r>
      <w:r>
        <w:t xml:space="preserve">（one, 一）+ </w:t>
      </w:r>
      <w:r>
        <w:rPr>
          <w:i/>
        </w:rPr>
        <w:t>yāna</w:t>
      </w:r>
      <w:r>
        <w:t>（vehicle, 乘）。竺法護譯為「一道」或「惟一道」，鳩摩羅什定譯為「一佛乘」。「一道」使用了道家哲學的「道」概念，具有中國本土思想的色彩；「一佛乘」則明確標示了佛教的身份——「佛」字的加入使「一乘」不會被誤解為任何世俗意義上的「統一之道」。Paul Williams（1989）</w:t>
      </w:r>
      <w:r>
        <w:t>CSV #18] 分析指出，</w:t>
      </w:r>
      <w:r>
        <w:rPr>
          <w:i/>
        </w:rPr>
        <w:t>ekayāna</w:t>
      </w:r>
      <w:r>
        <w:t xml:space="preserve"> 的翻譯選擇直接影響了東亞佛教對法華經核心教義的理解——「一佛乘」暗示所有修行最終歸向「成佛」這一目標，而非抽象的「統一之道」。</w:t>
      </w:r>
    </w:p>
    <w:p>
      <w:pPr>
        <w:jc w:val="center"/>
      </w:pPr>
      <w:r>
        <w:rPr>
          <w:i/>
          <w:color w:val="666666"/>
          <w:sz w:val="20"/>
        </w:rPr>
        <w:t>*（5）如來：tathāgata*</w:t>
      </w:r>
    </w:p>
    <w:p>
      <w:r>
        <w:t xml:space="preserve">梵文原義可解為 </w:t>
      </w:r>
      <w:r>
        <w:rPr>
          <w:i/>
        </w:rPr>
        <w:t>tathā-gata</w:t>
      </w:r>
      <w:r>
        <w:t xml:space="preserve">（如去，如是而去者）或 </w:t>
      </w:r>
      <w:r>
        <w:rPr>
          <w:i/>
        </w:rPr>
        <w:t>tathā-āgata</w:t>
      </w:r>
      <w:r>
        <w:t>（如來，如是而來者）。竺法護多譯為「如來」，鳩摩羅什亦沿用「如來」。這是少數兩位譯者選擇一致的重要術語。然而，鳩摩羅什在壽量品中創造性地使用「如來」一詞，使其不僅指稱佛陀的名號，更承載了「久遠實成」的時間觀意涵——如來「如是」而來，暗示佛陀的示現是超越時間的永恆行為。</w:t>
      </w:r>
    </w:p>
    <w:p>
      <w:pPr>
        <w:pStyle w:val="Heading4"/>
      </w:pPr>
      <w:r>
        <w:t>6.2.2 修行實踐術語</w:t>
      </w:r>
    </w:p>
    <w:p>
      <w:pPr>
        <w:jc w:val="center"/>
      </w:pPr>
      <w:r>
        <w:rPr>
          <w:i/>
          <w:color w:val="666666"/>
          <w:sz w:val="20"/>
        </w:rPr>
        <w:t>*（6）菩薩：bodhisattva*</w:t>
      </w:r>
    </w:p>
    <w:p>
      <w:r>
        <w:t>梵文原義：</w:t>
      </w:r>
      <w:r>
        <w:rPr>
          <w:i/>
        </w:rPr>
        <w:t>bodhi</w:t>
      </w:r>
      <w:r>
        <w:t xml:space="preserve">（覺悟）+ </w:t>
      </w:r>
      <w:r>
        <w:rPr>
          <w:i/>
        </w:rPr>
        <w:t>sattva</w:t>
      </w:r>
      <w:r>
        <w:t>（有情/存在）。竺法護譯為「開士」或「大士」，鳩摩羅什定譯為「菩薩」（音譯簡稱）。「開士」是意譯，強調「開悟之士」；「菩薩」是音譯（</w:t>
      </w:r>
      <w:r>
        <w:rPr>
          <w:i/>
        </w:rPr>
        <w:t>bodhisattva</w:t>
      </w:r>
      <w:r>
        <w:t xml:space="preserve"> 的簡略音譯），保留了梵文原音的神聖感。鳩摩羅什的音譯策略使「菩薩」成為漢語中最具辨識度的佛教術語之一，其宗教權威感遠超「開士」「大士」等意譯。</w:t>
      </w:r>
    </w:p>
    <w:p>
      <w:pPr>
        <w:jc w:val="center"/>
      </w:pPr>
      <w:r>
        <w:rPr>
          <w:i/>
          <w:color w:val="666666"/>
          <w:sz w:val="20"/>
        </w:rPr>
        <w:t>*（7）般若：prajñā*</w:t>
      </w:r>
    </w:p>
    <w:p>
      <w:r>
        <w:t>梵文原義：</w:t>
      </w:r>
      <w:r>
        <w:rPr>
          <w:i/>
        </w:rPr>
        <w:t>prajñā</w:t>
      </w:r>
      <w:r>
        <w:t>（wisdom, transcendent insight, 超越性的智慧）。竺法護多譯為「明」或「智慧」，鳩摩羅什在法華經中音譯為「般若」或意譯為「智慧」，視語境而定。在法華經方便品的關鍵段落中，鳩摩羅什選擇保留「般若」的音譯，以標示這一智慧的超越性——它不是世俗意義上的聰明才智，而是洞見「諸法實相」的根本認知能力。</w:t>
      </w:r>
    </w:p>
    <w:p>
      <w:pPr>
        <w:jc w:val="center"/>
      </w:pPr>
      <w:r>
        <w:rPr>
          <w:i/>
          <w:color w:val="666666"/>
          <w:sz w:val="20"/>
        </w:rPr>
        <w:t>*（8）三昧：samādhi*</w:t>
      </w:r>
    </w:p>
    <w:p>
      <w:r>
        <w:t>梵文原義：</w:t>
      </w:r>
      <w:r>
        <w:rPr>
          <w:i/>
        </w:rPr>
        <w:t>samādhi</w:t>
      </w:r>
      <w:r>
        <w:t>（concentration, meditative absorption, 禪定/三摩地）。竺法護多譯為「正受」或「定意」，鳩摩羅什定譯為「三昧」（音譯）。「正受」是精確的意譯，但缺乏神聖感；「三昧」的音譯使這一禪修概念保持了梵文原有的宗教莊嚴性。在法華經中，「法華三昧」「無量義處三昧」等術語的確立，直接影響了天台宗「法華三昧懺儀」</w:t>
      </w:r>
      <w:r>
        <w:t>CSV #80] 等修行法門的形成。</w:t>
      </w:r>
    </w:p>
    <w:p>
      <w:pPr>
        <w:jc w:val="center"/>
      </w:pPr>
      <w:r>
        <w:rPr>
          <w:i/>
          <w:color w:val="666666"/>
          <w:sz w:val="20"/>
        </w:rPr>
        <w:t>*（9）陀羅尼：dhāraṇī*</w:t>
      </w:r>
    </w:p>
    <w:p>
      <w:r>
        <w:t>梵文原義：</w:t>
      </w:r>
      <w:r>
        <w:rPr>
          <w:i/>
        </w:rPr>
        <w:t>dhāraṇī</w:t>
      </w:r>
      <w:r>
        <w:t>（that which holds/retains, 總持/能持）。竺法護多意譯為「總持」，鳩摩羅什在陀羅尼品中保留音譯「陀羅尼」。音譯的選擇使陀羅尼保持了咒語的神秘性與不可翻譯性——這與密教傳統中咒語必須以原音持誦的理念一致。</w:t>
      </w:r>
    </w:p>
    <w:p>
      <w:pPr>
        <w:jc w:val="center"/>
      </w:pPr>
      <w:r>
        <w:rPr>
          <w:i/>
          <w:color w:val="666666"/>
          <w:sz w:val="20"/>
        </w:rPr>
        <w:t>*（10）涅槃：nirvāṇa*</w:t>
      </w:r>
    </w:p>
    <w:p>
      <w:r>
        <w:t>梵文原義：</w:t>
      </w:r>
      <w:r>
        <w:rPr>
          <w:i/>
        </w:rPr>
        <w:t>nirvāṇa</w:t>
      </w:r>
      <w:r>
        <w:t>（extinction of suffering, blowing out, 吹滅/寂滅）。竺法護多譯為「泥洹」或「滅度」，鳩摩羅什定譯為「涅槃」（音譯）或「滅度」（意譯），視語境靈活選用。在法華經化城喻品中，鳩摩羅什巧妙地使用「滅度」一詞來描述二乘的暫時涅槃（化城），而以「涅槃」來指稱究竟佛果，透過譯語的區分暗示了教義的層次差異。</w:t>
      </w:r>
    </w:p>
    <w:p>
      <w:pPr>
        <w:pStyle w:val="Heading4"/>
      </w:pPr>
      <w:r>
        <w:t>6.2.3 宇宙觀與時間觀術語</w:t>
      </w:r>
    </w:p>
    <w:p>
      <w:pPr>
        <w:jc w:val="center"/>
      </w:pPr>
      <w:r>
        <w:rPr>
          <w:i/>
          <w:color w:val="666666"/>
          <w:sz w:val="20"/>
        </w:rPr>
        <w:t>*（11）劫：kalpa*</w:t>
      </w:r>
    </w:p>
    <w:p>
      <w:r>
        <w:t>梵文原義：</w:t>
      </w:r>
      <w:r>
        <w:rPr>
          <w:i/>
        </w:rPr>
        <w:t>kalpa</w:t>
      </w:r>
      <w:r>
        <w:t>（aeon, world-period, 極長的時間單位）。竺法護多意譯為「劫」（音譯）或「世」，鳩摩羅什統一音譯為「劫」。在壽量品中，鳩摩羅什以「百千萬億那由他劫」來傳達佛陀成佛之久遠，「劫」字的反復使用營造了無限時間的眩暈感，這是意譯無法達到的修辭效果。</w:t>
      </w:r>
    </w:p>
    <w:p>
      <w:pPr>
        <w:jc w:val="center"/>
      </w:pPr>
      <w:r>
        <w:rPr>
          <w:i/>
          <w:color w:val="666666"/>
          <w:sz w:val="20"/>
        </w:rPr>
        <w:t>*（12）世界：lokadhātu*</w:t>
      </w:r>
    </w:p>
    <w:p>
      <w:r>
        <w:t>梵文原義：</w:t>
      </w:r>
      <w:r>
        <w:rPr>
          <w:i/>
        </w:rPr>
        <w:t>loka</w:t>
      </w:r>
      <w:r>
        <w:t xml:space="preserve">（world）+ </w:t>
      </w:r>
      <w:r>
        <w:rPr>
          <w:i/>
        </w:rPr>
        <w:t>dhātu</w:t>
      </w:r>
      <w:r>
        <w:t xml:space="preserve">（element/realm）。竺法護譯為「世界」或「國土」，鳩摩羅什亦譯為「世界」或「國土」，但在見寶塔品中創造性地使用「三千大千世界」來翻譯 </w:t>
      </w:r>
      <w:r>
        <w:rPr>
          <w:i/>
        </w:rPr>
        <w:t>tri-sāhasra-mahā-sāhasra-lokadhātu</w:t>
      </w:r>
      <w:r>
        <w:t>，這一精確的數詞結構譯法使印度佛教的宇宙觀在漢語中獲得了清晰的概念表達。</w:t>
      </w:r>
    </w:p>
    <w:p>
      <w:pPr>
        <w:jc w:val="center"/>
      </w:pPr>
      <w:r>
        <w:rPr>
          <w:i/>
          <w:color w:val="666666"/>
          <w:sz w:val="20"/>
        </w:rPr>
        <w:t>*（13）授記：vyākaraṇa*</w:t>
      </w:r>
    </w:p>
    <w:p>
      <w:r>
        <w:t>梵文原義：</w:t>
      </w:r>
      <w:r>
        <w:rPr>
          <w:i/>
        </w:rPr>
        <w:t>vyākaraṇa</w:t>
      </w:r>
      <w:r>
        <w:t>（prediction, prophetic declaration, 預言/記說）。竺法護譯為「決」或「授決」，鳩摩羅什定譯為「授記」。「授記」二字精準地傳達了佛陀向弟子「授予」未來成佛「記別」的宗教行為——這一譯語的選擇使「授記」成為法華經最具制度性意涵的概念，後來發展為東亞佛教師徒傳承中「印可」的原型之一。</w:t>
      </w:r>
    </w:p>
    <w:p>
      <w:pPr>
        <w:jc w:val="center"/>
      </w:pPr>
      <w:r>
        <w:rPr>
          <w:i/>
          <w:color w:val="666666"/>
          <w:sz w:val="20"/>
        </w:rPr>
        <w:t>*（14）功德：puṇya / guṇa*</w:t>
      </w:r>
    </w:p>
    <w:p>
      <w:r>
        <w:t>梵文原義：</w:t>
      </w:r>
      <w:r>
        <w:rPr>
          <w:i/>
        </w:rPr>
        <w:t>puṇya</w:t>
      </w:r>
      <w:r>
        <w:t xml:space="preserve">（merit, 福德）或 </w:t>
      </w:r>
      <w:r>
        <w:rPr>
          <w:i/>
        </w:rPr>
        <w:t>guṇa</w:t>
      </w:r>
      <w:r>
        <w:t xml:space="preserve">（virtue/quality, 德性/品質）。竺法護多分譯為「福」「德」「福德」等，鳩摩羅什則以「功德」統攝 </w:t>
      </w:r>
      <w:r>
        <w:rPr>
          <w:i/>
        </w:rPr>
        <w:t>puṇya</w:t>
      </w:r>
      <w:r>
        <w:t xml:space="preserve"> 與 </w:t>
      </w:r>
      <w:r>
        <w:rPr>
          <w:i/>
        </w:rPr>
        <w:t>guṇa</w:t>
      </w:r>
      <w:r>
        <w:t xml:space="preserve"> 兩個概念。「功德」二字的並用——「功」指修行之功，「德」指所得之德——將「因行」與「果德」融為一體，使法華經的功德觀兼具實踐性（功）與成就性（德），這一譯語選擇深刻影響了東亞佛教的功德迴向實踐。</w:t>
      </w:r>
    </w:p>
    <w:p>
      <w:pPr>
        <w:jc w:val="center"/>
      </w:pPr>
      <w:r>
        <w:rPr>
          <w:i/>
          <w:color w:val="666666"/>
          <w:sz w:val="20"/>
        </w:rPr>
        <w:t>*（15）娑婆世界：sahā-lokadhātu*</w:t>
      </w:r>
    </w:p>
    <w:p>
      <w:r>
        <w:t>梵文原義：</w:t>
      </w:r>
      <w:r>
        <w:rPr>
          <w:i/>
        </w:rPr>
        <w:t>sahā</w:t>
      </w:r>
      <w:r>
        <w:t xml:space="preserve">（endurance, 堪忍）+ </w:t>
      </w:r>
      <w:r>
        <w:rPr>
          <w:i/>
        </w:rPr>
        <w:t>lokadhātu</w:t>
      </w:r>
      <w:r>
        <w:t>（world-realm）。竺法護譯為「忍界」（意譯），鳩摩羅什音譯為「娑婆世界」。「忍界」直接傳達了這一概念的教義內涵——我們所居住的世界是一個「必須忍受」的苦難世界；「娑婆世界」的音譯則保留了異域的神聖感，使這一概念在漢語中成為一個具有獨特宗教韻味的專有名詞。</w:t>
      </w:r>
    </w:p>
    <w:p>
      <w:pPr>
        <w:pStyle w:val="Heading4"/>
      </w:pPr>
      <w:r>
        <w:t>6.2.4 文體特色</w:t>
      </w:r>
    </w:p>
    <w:p>
      <w:r>
        <w:t>鳩摩羅什將梵文偈頌轉化為七言韻文，使法華經具備了可誦、可唱、可傳的韻律美。萬金川（2003）</w:t>
      </w:r>
      <w:r>
        <w:t xml:space="preserve">CSV #56] 從語言學角度分析了法華經梵文偈頌的韻律結構，揭示了從梵文到漢文的韻律轉化過程：梵文偈頌的 </w:t>
      </w:r>
      <w:r>
        <w:rPr>
          <w:i/>
        </w:rPr>
        <w:t>triṣṭubh</w:t>
      </w:r>
      <w:r>
        <w:t xml:space="preserve">（11 音節）與 </w:t>
      </w:r>
      <w:r>
        <w:rPr>
          <w:i/>
        </w:rPr>
        <w:t>śloka</w:t>
      </w:r>
      <w:r>
        <w:t>（8 音節）韻律被統一轉化為漢語七言或五言，這一轉化並非機械的音節對應，而是基於漢語詩歌傳統的創造性重構。例如方便品中的偈頌「諸佛智慧甚深無量，其智慧門難解難入」，鳩摩羅什以對偶句式與四字節奏將梵文的長句壓縮為精煉的漢語表達，兼具義理的準確性與朗誦的節奏感。</w:t>
      </w:r>
    </w:p>
    <w:p>
      <w:r>
        <w:t>鳩摩羅什有意識地省略了部分敘事細節——尤其是梵文原典中反復出現的冗長名號列舉與程式化場景描述——強化了義理的系統性，使譯本更適合中國讀者的閱讀習慣與審美期待。Boucher（2008）</w:t>
      </w:r>
      <w:r>
        <w:t>CSV #121] 的文獻學分析揭示了鳩摩羅什在翻譯過程中的「減法策略」：通過有意識的省略與壓縮，鳩摩羅什的譯本比竺法護譯本篇幅更短但義理更集中，這一策略的效果是使讀者的注意力聚焦於教義核心，而非被敘事細節分散。</w:t>
      </w:r>
    </w:p>
    <w:p>
      <w:pPr>
        <w:pStyle w:val="Heading3"/>
      </w:pPr>
      <w:r>
        <w:t>6.3 三大漢譯本比較</w:t>
      </w:r>
    </w:p>
    <w:p>
      <w:r>
        <w:t>法華經現存三種完整漢譯本，各代表不同時代的翻譯理念與文化需求。以下從多個維度進行系統比較。</w:t>
      </w:r>
    </w:p>
    <w:p>
      <w:pPr>
        <w:pStyle w:val="Heading4"/>
      </w:pPr>
      <w:r>
        <w:t>6.3.1 基本資訊比較</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項目</w:t>
            </w:r>
          </w:p>
        </w:tc>
        <w:tc>
          <w:tcPr>
            <w:tcW w:type="dxa" w:w="2160"/>
          </w:tcPr>
          <w:p>
            <w:r>
              <w:rPr>
                <w:b/>
              </w:rPr>
              <w:t>竺法護《正法華經》（286）</w:t>
            </w:r>
          </w:p>
        </w:tc>
        <w:tc>
          <w:tcPr>
            <w:tcW w:type="dxa" w:w="2160"/>
          </w:tcPr>
          <w:p>
            <w:r>
              <w:rPr>
                <w:b/>
              </w:rPr>
              <w:t>鳩摩羅什《妙法蓮華經》（406）</w:t>
            </w:r>
          </w:p>
        </w:tc>
        <w:tc>
          <w:tcPr>
            <w:tcW w:type="dxa" w:w="2160"/>
          </w:tcPr>
          <w:p>
            <w:r>
              <w:rPr>
                <w:b/>
              </w:rPr>
              <w:t>闍那崛多《添品妙法蓮華經》（601）</w:t>
            </w:r>
          </w:p>
        </w:tc>
      </w:tr>
      <w:tr>
        <w:tc>
          <w:tcPr>
            <w:tcW w:type="dxa" w:w="2160"/>
          </w:tcPr>
          <w:p>
            <w:r>
              <w:t>品數</w:t>
            </w:r>
          </w:p>
        </w:tc>
        <w:tc>
          <w:tcPr>
            <w:tcW w:type="dxa" w:w="2160"/>
          </w:tcPr>
          <w:p>
            <w:r>
              <w:t>27 品</w:t>
            </w:r>
          </w:p>
        </w:tc>
        <w:tc>
          <w:tcPr>
            <w:tcW w:type="dxa" w:w="2160"/>
          </w:tcPr>
          <w:p>
            <w:r>
              <w:t>28 品</w:t>
            </w:r>
          </w:p>
        </w:tc>
        <w:tc>
          <w:tcPr>
            <w:tcW w:type="dxa" w:w="2160"/>
          </w:tcPr>
          <w:p>
            <w:r>
              <w:t>27 品</w:t>
            </w:r>
          </w:p>
        </w:tc>
      </w:tr>
      <w:tr>
        <w:tc>
          <w:tcPr>
            <w:tcW w:type="dxa" w:w="2160"/>
          </w:tcPr>
          <w:p>
            <w:r>
              <w:t>譯風</w:t>
            </w:r>
          </w:p>
        </w:tc>
        <w:tc>
          <w:tcPr>
            <w:tcW w:type="dxa" w:w="2160"/>
          </w:tcPr>
          <w:p>
            <w:r>
              <w:t>質直（直譯）</w:t>
            </w:r>
          </w:p>
        </w:tc>
        <w:tc>
          <w:tcPr>
            <w:tcW w:type="dxa" w:w="2160"/>
          </w:tcPr>
          <w:p>
            <w:r>
              <w:t>意譯（達意）</w:t>
            </w:r>
          </w:p>
        </w:tc>
        <w:tc>
          <w:tcPr>
            <w:tcW w:type="dxa" w:w="2160"/>
          </w:tcPr>
          <w:p>
            <w:r>
              <w:t>折衷補充</w:t>
            </w:r>
          </w:p>
        </w:tc>
      </w:tr>
      <w:tr>
        <w:tc>
          <w:tcPr>
            <w:tcW w:type="dxa" w:w="2160"/>
          </w:tcPr>
          <w:p>
            <w:r>
              <w:t>核心術語</w:t>
            </w:r>
          </w:p>
        </w:tc>
        <w:tc>
          <w:tcPr>
            <w:tcW w:type="dxa" w:w="2160"/>
          </w:tcPr>
          <w:p>
            <w:r>
              <w:t>正法華/本末空</w:t>
            </w:r>
          </w:p>
        </w:tc>
        <w:tc>
          <w:tcPr>
            <w:tcW w:type="dxa" w:w="2160"/>
          </w:tcPr>
          <w:p>
            <w:r>
              <w:t>妙法蓮華/諸法實相</w:t>
            </w:r>
          </w:p>
        </w:tc>
        <w:tc>
          <w:tcPr>
            <w:tcW w:type="dxa" w:w="2160"/>
          </w:tcPr>
          <w:p>
            <w:r>
              <w:t>折衷取用</w:t>
            </w:r>
          </w:p>
        </w:tc>
      </w:tr>
      <w:tr>
        <w:tc>
          <w:tcPr>
            <w:tcW w:type="dxa" w:w="2160"/>
          </w:tcPr>
          <w:p>
            <w:r>
              <w:t>底本</w:t>
            </w:r>
          </w:p>
        </w:tc>
        <w:tc>
          <w:tcPr>
            <w:tcW w:type="dxa" w:w="2160"/>
          </w:tcPr>
          <w:p>
            <w:r>
              <w:t>較早梵本</w:t>
            </w:r>
          </w:p>
        </w:tc>
        <w:tc>
          <w:tcPr>
            <w:tcW w:type="dxa" w:w="2160"/>
          </w:tcPr>
          <w:p>
            <w:r>
              <w:t>較晚梵本</w:t>
            </w:r>
          </w:p>
        </w:tc>
        <w:tc>
          <w:tcPr>
            <w:tcW w:type="dxa" w:w="2160"/>
          </w:tcPr>
          <w:p>
            <w:r>
              <w:t>參照前兩譯補充</w:t>
            </w:r>
          </w:p>
        </w:tc>
      </w:tr>
      <w:tr>
        <w:tc>
          <w:tcPr>
            <w:tcW w:type="dxa" w:w="2160"/>
          </w:tcPr>
          <w:p>
            <w:r>
              <w:t>歷史地位</w:t>
            </w:r>
          </w:p>
        </w:tc>
        <w:tc>
          <w:tcPr>
            <w:tcW w:type="dxa" w:w="2160"/>
          </w:tcPr>
          <w:p>
            <w:r>
              <w:t>首部完整漢譯</w:t>
            </w:r>
          </w:p>
        </w:tc>
        <w:tc>
          <w:tcPr>
            <w:tcW w:type="dxa" w:w="2160"/>
          </w:tcPr>
          <w:p>
            <w:r>
              <w:t>東亞標準譯本</w:t>
            </w:r>
          </w:p>
        </w:tc>
        <w:tc>
          <w:tcPr>
            <w:tcW w:type="dxa" w:w="2160"/>
          </w:tcPr>
          <w:p>
            <w:r>
              <w:t>補遺性質</w:t>
            </w:r>
          </w:p>
        </w:tc>
      </w:tr>
      <w:tr>
        <w:tc>
          <w:tcPr>
            <w:tcW w:type="dxa" w:w="2160"/>
          </w:tcPr>
          <w:p>
            <w:r>
              <w:t>CSV 編號</w:t>
            </w:r>
          </w:p>
        </w:tc>
        <w:tc>
          <w:tcPr>
            <w:tcW w:type="dxa" w:w="2160"/>
          </w:tcPr>
          <w:p>
            <w:r>
              <w:t>[CSV #111]</w:t>
            </w:r>
          </w:p>
        </w:tc>
        <w:tc>
          <w:tcPr>
            <w:tcW w:type="dxa" w:w="2160"/>
          </w:tcPr>
          <w:p>
            <w:r>
              <w:t>大正藏 T09 No.262</w:t>
            </w:r>
          </w:p>
        </w:tc>
        <w:tc>
          <w:tcPr>
            <w:tcW w:type="dxa" w:w="2160"/>
          </w:tcPr>
          <w:p>
            <w:r>
              <w:t>[CSV #112]</w:t>
            </w:r>
          </w:p>
        </w:tc>
      </w:tr>
    </w:tbl>
    <w:p/>
    <w:p>
      <w:pPr>
        <w:pStyle w:val="Heading4"/>
      </w:pPr>
      <w:r>
        <w:t>6.3.2 偈頌韻律比較</w:t>
      </w:r>
    </w:p>
    <w:p>
      <w:r>
        <w:t xml:space="preserve">竺法護 </w:t>
      </w:r>
      <w:r>
        <w:t>CSV #111] 的偈頌翻譯傾向於直譯梵文句法結構，偈頌多為散文化的長短不一句式，缺乏統一的韻律規範。其偈頌翻譯忠實於原文的語序與修飾關係，但在漢語語境中顯得生硬。例如方便品偈頌，竺法護的譯文保留了梵文的從句結構與修飾層次，但犧牲了漢語的節奏感與朗誦性。</w:t>
      </w:r>
    </w:p>
    <w:p>
      <w:r>
        <w:t xml:space="preserve">鳩摩羅什的偈頌翻譯則以七言為主體韻律，輔以五言，形成了統一的詩歌節奏。其偈頌具備嚴格的對仗結構——上下句之間的語法對稱、意象對照、聲調配合——使法華經偈頌在漢語文學傳統中佔有一席之地。萬金川 </w:t>
      </w:r>
      <w:r>
        <w:t>CSV #56] 指出，鳩摩羅什的七言偈頌與漢代以來的七言詩歌傳統形成了共振，使法華經偈頌能夠融入中國文學的整體脈絡。</w:t>
      </w:r>
    </w:p>
    <w:p>
      <w:r>
        <w:t xml:space="preserve">闍那崛多 </w:t>
      </w:r>
      <w:r>
        <w:t>CSV #112] 的添品本偈頌風格介於兩者之間，在韻律的規整性上接近鳩摩羅什，但在術語選擇上更多參照竺法護。其偈頌翻譯的主要貢獻在於補充了鳩摩羅什省略的偈頌段落，使法華經的漢譯偈頌更加完整。</w:t>
      </w:r>
    </w:p>
    <w:p>
      <w:pPr>
        <w:pStyle w:val="Heading4"/>
      </w:pPr>
      <w:r>
        <w:t>6.3.3 敘事詳略比較</w:t>
      </w:r>
    </w:p>
    <w:p>
      <w:r>
        <w:t>竺法護的譯本在敘事上更為詳盡，保留了梵文原典中的大量場景描寫、名號列舉、反復表述等細節。例如在譬喻品的「火宅喻」中，竺法護詳細翻譯了火宅中各種危險的描寫——蛇蟲鬼魅、煙火焰焰——幾乎逐句對應梵文原典。船山徹（2006）</w:t>
      </w:r>
      <w:r>
        <w:t>CSV #122] 重新評價了竺法護譯本的價值，指出其詳盡的敘事為理解法華經原典的文學結構提供了不可替代的參照。</w:t>
      </w:r>
    </w:p>
    <w:p>
      <w:r>
        <w:t xml:space="preserve">鳩摩羅什的譯本在敘事上有意識地進行了刪削與壓縮，尤其省略了反復出現的程式化段落（如佛名列舉、功德讚歎的重複段落）。這一「簡約化」策略使鳩摩羅什的譯本在篇幅上比竺法護的譯本更為精練，但也導致了部分敘事脈絡的缺失——添品本 </w:t>
      </w:r>
      <w:r>
        <w:t>CSV #112] 正是為了補充這些缺失而產生的。</w:t>
      </w:r>
    </w:p>
    <w:p>
      <w:pPr>
        <w:pStyle w:val="Heading4"/>
      </w:pPr>
      <w:r>
        <w:t>6.3.4 佛名翻譯比較</w:t>
      </w:r>
    </w:p>
    <w:p>
      <w:r>
        <w:t>三個譯本在佛名翻譯上的差異尤為值得關注，因為佛名的翻譯直接反映了譯者對佛陀名號意涵的理解：</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梵文佛名</w:t>
            </w:r>
          </w:p>
        </w:tc>
        <w:tc>
          <w:tcPr>
            <w:tcW w:type="dxa" w:w="2160"/>
          </w:tcPr>
          <w:p>
            <w:r>
              <w:rPr>
                <w:b/>
              </w:rPr>
              <w:t>竺法護譯</w:t>
            </w:r>
          </w:p>
        </w:tc>
        <w:tc>
          <w:tcPr>
            <w:tcW w:type="dxa" w:w="2160"/>
          </w:tcPr>
          <w:p>
            <w:r>
              <w:rPr>
                <w:b/>
              </w:rPr>
              <w:t>鳩摩羅什譯</w:t>
            </w:r>
          </w:p>
        </w:tc>
        <w:tc>
          <w:tcPr>
            <w:tcW w:type="dxa" w:w="2160"/>
          </w:tcPr>
          <w:p>
            <w:r>
              <w:rPr>
                <w:b/>
              </w:rPr>
              <w:t>闍那崛多譯</w:t>
            </w:r>
          </w:p>
        </w:tc>
      </w:tr>
      <w:tr>
        <w:tc>
          <w:tcPr>
            <w:tcW w:type="dxa" w:w="2160"/>
          </w:tcPr>
          <w:p>
            <w:r>
              <w:t>Śākyamuni</w:t>
            </w:r>
          </w:p>
        </w:tc>
        <w:tc>
          <w:tcPr>
            <w:tcW w:type="dxa" w:w="2160"/>
          </w:tcPr>
          <w:p>
            <w:r>
              <w:t>能仁</w:t>
            </w:r>
          </w:p>
        </w:tc>
        <w:tc>
          <w:tcPr>
            <w:tcW w:type="dxa" w:w="2160"/>
          </w:tcPr>
          <w:p>
            <w:r>
              <w:t>釋迦牟尼</w:t>
            </w:r>
          </w:p>
        </w:tc>
        <w:tc>
          <w:tcPr>
            <w:tcW w:type="dxa" w:w="2160"/>
          </w:tcPr>
          <w:p>
            <w:r>
              <w:t>釋迦牟尼</w:t>
            </w:r>
          </w:p>
        </w:tc>
      </w:tr>
      <w:tr>
        <w:tc>
          <w:tcPr>
            <w:tcW w:type="dxa" w:w="2160"/>
          </w:tcPr>
          <w:p>
            <w:r>
              <w:t>Prabhūtaratna</w:t>
            </w:r>
          </w:p>
        </w:tc>
        <w:tc>
          <w:tcPr>
            <w:tcW w:type="dxa" w:w="2160"/>
          </w:tcPr>
          <w:p>
            <w:r>
              <w:t>寶積</w:t>
            </w:r>
          </w:p>
        </w:tc>
        <w:tc>
          <w:tcPr>
            <w:tcW w:type="dxa" w:w="2160"/>
          </w:tcPr>
          <w:p>
            <w:r>
              <w:t>多寶</w:t>
            </w:r>
          </w:p>
        </w:tc>
        <w:tc>
          <w:tcPr>
            <w:tcW w:type="dxa" w:w="2160"/>
          </w:tcPr>
          <w:p>
            <w:r>
              <w:t>多寶</w:t>
            </w:r>
          </w:p>
        </w:tc>
      </w:tr>
      <w:tr>
        <w:tc>
          <w:tcPr>
            <w:tcW w:type="dxa" w:w="2160"/>
          </w:tcPr>
          <w:p>
            <w:r>
              <w:t>Bhaiṣajyarāja</w:t>
            </w:r>
          </w:p>
        </w:tc>
        <w:tc>
          <w:tcPr>
            <w:tcW w:type="dxa" w:w="2160"/>
          </w:tcPr>
          <w:p>
            <w:r>
              <w:t>藥王</w:t>
            </w:r>
          </w:p>
        </w:tc>
        <w:tc>
          <w:tcPr>
            <w:tcW w:type="dxa" w:w="2160"/>
          </w:tcPr>
          <w:p>
            <w:r>
              <w:t>藥王</w:t>
            </w:r>
          </w:p>
        </w:tc>
        <w:tc>
          <w:tcPr>
            <w:tcW w:type="dxa" w:w="2160"/>
          </w:tcPr>
          <w:p>
            <w:r>
              <w:t>藥王</w:t>
            </w:r>
          </w:p>
        </w:tc>
      </w:tr>
      <w:tr>
        <w:tc>
          <w:tcPr>
            <w:tcW w:type="dxa" w:w="2160"/>
          </w:tcPr>
          <w:p>
            <w:r>
              <w:t>Avalokiteśvara</w:t>
            </w:r>
          </w:p>
        </w:tc>
        <w:tc>
          <w:tcPr>
            <w:tcW w:type="dxa" w:w="2160"/>
          </w:tcPr>
          <w:p>
            <w:r>
              <w:t>光世音</w:t>
            </w:r>
          </w:p>
        </w:tc>
        <w:tc>
          <w:tcPr>
            <w:tcW w:type="dxa" w:w="2160"/>
          </w:tcPr>
          <w:p>
            <w:r>
              <w:t>觀世音</w:t>
            </w:r>
          </w:p>
        </w:tc>
        <w:tc>
          <w:tcPr>
            <w:tcW w:type="dxa" w:w="2160"/>
          </w:tcPr>
          <w:p>
            <w:r>
              <w:t>觀世音</w:t>
            </w:r>
          </w:p>
        </w:tc>
      </w:tr>
      <w:tr>
        <w:tc>
          <w:tcPr>
            <w:tcW w:type="dxa" w:w="2160"/>
          </w:tcPr>
          <w:p>
            <w:r>
              <w:t>Samantabhadra</w:t>
            </w:r>
          </w:p>
        </w:tc>
        <w:tc>
          <w:tcPr>
            <w:tcW w:type="dxa" w:w="2160"/>
          </w:tcPr>
          <w:p>
            <w:r>
              <w:t>遍吉</w:t>
            </w:r>
          </w:p>
        </w:tc>
        <w:tc>
          <w:tcPr>
            <w:tcW w:type="dxa" w:w="2160"/>
          </w:tcPr>
          <w:p>
            <w:r>
              <w:t>普賢</w:t>
            </w:r>
          </w:p>
        </w:tc>
        <w:tc>
          <w:tcPr>
            <w:tcW w:type="dxa" w:w="2160"/>
          </w:tcPr>
          <w:p>
            <w:r>
              <w:t>普賢</w:t>
            </w:r>
          </w:p>
        </w:tc>
      </w:tr>
    </w:tbl>
    <w:p/>
    <w:p>
      <w:r>
        <w:t>竺法護將釋迦牟尼意譯為「能仁」（</w:t>
      </w:r>
      <w:r>
        <w:rPr>
          <w:i/>
        </w:rPr>
        <w:t>śākya</w:t>
      </w:r>
      <w:r>
        <w:t xml:space="preserve"> 義近「能」，</w:t>
      </w:r>
      <w:r>
        <w:rPr>
          <w:i/>
        </w:rPr>
        <w:t>muni</w:t>
      </w:r>
      <w:r>
        <w:t xml:space="preserve"> 義為「仁者/寂默者」），鳩摩羅什則採用音譯「釋迦牟尼」。竺法護將觀世音譯為「光世音」，可能基於不同的梵文底本（</w:t>
      </w:r>
      <w:r>
        <w:rPr>
          <w:i/>
        </w:rPr>
        <w:t>Avalokitasvara</w:t>
      </w:r>
      <w:r>
        <w:t xml:space="preserve"> 而非 </w:t>
      </w:r>
      <w:r>
        <w:rPr>
          <w:i/>
        </w:rPr>
        <w:t>Avalokiteśvara</w:t>
      </w:r>
      <w:r>
        <w:t>）或不同的詞源理解。釋果暉（2008）</w:t>
      </w:r>
      <w:r>
        <w:t>CSV #37] 系統比較了兩個譯本中五十餘個佛菩薩名號的翻譯差異，揭示了竺法護傾向意譯、鳩摩羅什傾向音譯的整體策略差異。</w:t>
      </w:r>
    </w:p>
    <w:p>
      <w:pPr>
        <w:pStyle w:val="Heading4"/>
      </w:pPr>
      <w:r>
        <w:t>6.3.5 擴展比較表</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比較維度</w:t>
            </w:r>
          </w:p>
        </w:tc>
        <w:tc>
          <w:tcPr>
            <w:tcW w:type="dxa" w:w="2160"/>
          </w:tcPr>
          <w:p>
            <w:r>
              <w:rPr>
                <w:b/>
              </w:rPr>
              <w:t>竺法護《正法華經》</w:t>
            </w:r>
          </w:p>
        </w:tc>
        <w:tc>
          <w:tcPr>
            <w:tcW w:type="dxa" w:w="2160"/>
          </w:tcPr>
          <w:p>
            <w:r>
              <w:rPr>
                <w:b/>
              </w:rPr>
              <w:t>鳩摩羅什《妙法蓮華經》</w:t>
            </w:r>
          </w:p>
        </w:tc>
        <w:tc>
          <w:tcPr>
            <w:tcW w:type="dxa" w:w="2160"/>
          </w:tcPr>
          <w:p>
            <w:r>
              <w:rPr>
                <w:b/>
              </w:rPr>
              <w:t>闍那崛多《添品妙法蓮華經》</w:t>
            </w:r>
          </w:p>
        </w:tc>
      </w:tr>
      <w:tr>
        <w:tc>
          <w:tcPr>
            <w:tcW w:type="dxa" w:w="2160"/>
          </w:tcPr>
          <w:p>
            <w:r>
              <w:t>偈頌韻律</w:t>
            </w:r>
          </w:p>
        </w:tc>
        <w:tc>
          <w:tcPr>
            <w:tcW w:type="dxa" w:w="2160"/>
          </w:tcPr>
          <w:p>
            <w:r>
              <w:t>長短不一，散文化</w:t>
            </w:r>
          </w:p>
        </w:tc>
        <w:tc>
          <w:tcPr>
            <w:tcW w:type="dxa" w:w="2160"/>
          </w:tcPr>
          <w:p>
            <w:r>
              <w:t>七言為主，韻律整齊</w:t>
            </w:r>
          </w:p>
        </w:tc>
        <w:tc>
          <w:tcPr>
            <w:tcW w:type="dxa" w:w="2160"/>
          </w:tcPr>
          <w:p>
            <w:r>
              <w:t>介於二者之間</w:t>
            </w:r>
          </w:p>
        </w:tc>
      </w:tr>
      <w:tr>
        <w:tc>
          <w:tcPr>
            <w:tcW w:type="dxa" w:w="2160"/>
          </w:tcPr>
          <w:p>
            <w:r>
              <w:t>敘事詳略</w:t>
            </w:r>
          </w:p>
        </w:tc>
        <w:tc>
          <w:tcPr>
            <w:tcW w:type="dxa" w:w="2160"/>
          </w:tcPr>
          <w:p>
            <w:r>
              <w:t>詳盡，保留重複段落</w:t>
            </w:r>
          </w:p>
        </w:tc>
        <w:tc>
          <w:tcPr>
            <w:tcW w:type="dxa" w:w="2160"/>
          </w:tcPr>
          <w:p>
            <w:r>
              <w:t>精簡，刪削程式化內容</w:t>
            </w:r>
          </w:p>
        </w:tc>
        <w:tc>
          <w:tcPr>
            <w:tcW w:type="dxa" w:w="2160"/>
          </w:tcPr>
          <w:p>
            <w:r>
              <w:t>補充什譯省略內容</w:t>
            </w:r>
          </w:p>
        </w:tc>
      </w:tr>
      <w:tr>
        <w:tc>
          <w:tcPr>
            <w:tcW w:type="dxa" w:w="2160"/>
          </w:tcPr>
          <w:p>
            <w:r>
              <w:t>佛名翻譯</w:t>
            </w:r>
          </w:p>
        </w:tc>
        <w:tc>
          <w:tcPr>
            <w:tcW w:type="dxa" w:w="2160"/>
          </w:tcPr>
          <w:p>
            <w:r>
              <w:t>傾向意譯</w:t>
            </w:r>
          </w:p>
        </w:tc>
        <w:tc>
          <w:tcPr>
            <w:tcW w:type="dxa" w:w="2160"/>
          </w:tcPr>
          <w:p>
            <w:r>
              <w:t>傾向音譯</w:t>
            </w:r>
          </w:p>
        </w:tc>
        <w:tc>
          <w:tcPr>
            <w:tcW w:type="dxa" w:w="2160"/>
          </w:tcPr>
          <w:p>
            <w:r>
              <w:t>沿用什譯</w:t>
            </w:r>
          </w:p>
        </w:tc>
      </w:tr>
      <w:tr>
        <w:tc>
          <w:tcPr>
            <w:tcW w:type="dxa" w:w="2160"/>
          </w:tcPr>
          <w:p>
            <w:r>
              <w:t>句法結構</w:t>
            </w:r>
          </w:p>
        </w:tc>
        <w:tc>
          <w:tcPr>
            <w:tcW w:type="dxa" w:w="2160"/>
          </w:tcPr>
          <w:p>
            <w:r>
              <w:t>接近梵文語序</w:t>
            </w:r>
          </w:p>
        </w:tc>
        <w:tc>
          <w:tcPr>
            <w:tcW w:type="dxa" w:w="2160"/>
          </w:tcPr>
          <w:p>
            <w:r>
              <w:t>漢化語序</w:t>
            </w:r>
          </w:p>
        </w:tc>
        <w:tc>
          <w:tcPr>
            <w:tcW w:type="dxa" w:w="2160"/>
          </w:tcPr>
          <w:p>
            <w:r>
              <w:t>折衷</w:t>
            </w:r>
          </w:p>
        </w:tc>
      </w:tr>
      <w:tr>
        <w:tc>
          <w:tcPr>
            <w:tcW w:type="dxa" w:w="2160"/>
          </w:tcPr>
          <w:p>
            <w:r>
              <w:t>文學性</w:t>
            </w:r>
          </w:p>
        </w:tc>
        <w:tc>
          <w:tcPr>
            <w:tcW w:type="dxa" w:w="2160"/>
          </w:tcPr>
          <w:p>
            <w:r>
              <w:t>質樸，學術參考價值高</w:t>
            </w:r>
          </w:p>
        </w:tc>
        <w:tc>
          <w:tcPr>
            <w:tcW w:type="dxa" w:w="2160"/>
          </w:tcPr>
          <w:p>
            <w:r>
              <w:t>優美，宗教實踐價值高</w:t>
            </w:r>
          </w:p>
        </w:tc>
        <w:tc>
          <w:tcPr>
            <w:tcW w:type="dxa" w:w="2160"/>
          </w:tcPr>
          <w:p>
            <w:r>
              <w:t>補遺性質</w:t>
            </w:r>
          </w:p>
        </w:tc>
      </w:tr>
      <w:tr>
        <w:tc>
          <w:tcPr>
            <w:tcW w:type="dxa" w:w="2160"/>
          </w:tcPr>
          <w:p>
            <w:r>
              <w:t>底本系統</w:t>
            </w:r>
          </w:p>
        </w:tc>
        <w:tc>
          <w:tcPr>
            <w:tcW w:type="dxa" w:w="2160"/>
          </w:tcPr>
          <w:p>
            <w:r>
              <w:t>較古梵本（近吉爾吉特系）</w:t>
            </w:r>
          </w:p>
        </w:tc>
        <w:tc>
          <w:tcPr>
            <w:tcW w:type="dxa" w:w="2160"/>
          </w:tcPr>
          <w:p>
            <w:r>
              <w:t>較晚梵本（近尼泊爾系）</w:t>
            </w:r>
          </w:p>
        </w:tc>
        <w:tc>
          <w:tcPr>
            <w:tcW w:type="dxa" w:w="2160"/>
          </w:tcPr>
          <w:p>
            <w:r>
              <w:t>綜合參照</w:t>
            </w:r>
          </w:p>
        </w:tc>
      </w:tr>
    </w:tbl>
    <w:p/>
    <w:p>
      <w:r>
        <w:t>張麗珠（2011）</w:t>
      </w:r>
      <w:r>
        <w:t>CSV #123] 系統比較三譯本譯語差異，統計了超過二百組術語的翻譯選擇差異，揭示了三位譯者在翻譯策略上的系統性分歧。郭朝順（2010）</w:t>
      </w:r>
      <w:r>
        <w:t>CSV #51] 梳理法華經從初譯到定譯的歷史過程，指出三次翻譯不僅反映了翻譯技術的進步，更反映了中國佛教界對法華經理解的深化。</w:t>
      </w:r>
    </w:p>
    <w:p>
      <w:pPr>
        <w:pStyle w:val="Heading3"/>
      </w:pPr>
      <w:r>
        <w:t>6.4 譯經策略對東亞佛教的深遠影響</w:t>
      </w:r>
    </w:p>
    <w:p>
      <w:r>
        <w:t>鳩摩羅什的意譯策略不僅是語言學層面的選擇，更是文化創造行為。其影響可從以下四個層面加以分析。</w:t>
      </w:r>
    </w:p>
    <w:p>
      <w:r>
        <w:rPr>
          <w:b/>
        </w:rPr>
        <w:t>術語體系的確立</w:t>
      </w:r>
      <w:r>
        <w:t>。鳩摩羅什為法華經創造的核心術語——「妙法蓮華」「諸法實相」「方便」「一佛乘」「授記」「功德」——構成了東亞佛教思想的基本概念框架。這些術語不僅在佛教內部使用，更滲透到了東亞的哲學、文學、藝術、民間文化等廣泛領域。「妙法蓮華」四字成為東亞文化符號——從書法藝術到寺院命名，從日蓮宗唱題到民間信仰，無處不見其影響。</w:t>
      </w:r>
    </w:p>
    <w:p>
      <w:r>
        <w:rPr>
          <w:b/>
        </w:rPr>
        <w:t>宗派詮釋的基礎</w:t>
      </w:r>
      <w:r>
        <w:t xml:space="preserve">。鳩摩羅什譯本被智顗選為天台宗立宗根本經典 </w:t>
      </w:r>
      <w:r>
        <w:t xml:space="preserve">CSV #73-75]，使得鳩摩羅什的術語選擇（而非竺法護的）決定了東亞佛教思想的發展路徑。「諸法實相」成為天台「實相論」的基石；「開權顯實」成為天台判教的核心命題；「一念三千」的哲學建構以鳩摩羅什譯文中的「十如是」為起點 </w:t>
      </w:r>
      <w:r>
        <w:t>CSV #36]（黃國清, 2005）。若智顗以竺法護的「本末空」為基礎，天台宗的哲學面貌將截然不同。</w:t>
      </w:r>
    </w:p>
    <w:p>
      <w:r>
        <w:rPr>
          <w:b/>
        </w:rPr>
        <w:t>文學審美的影響</w:t>
      </w:r>
      <w:r>
        <w:t>。鳩摩羅什的譯文以其精練優美的文體，深刻影響了中國文學的發展。其七言偈頌的韻律美、散文段落的敘事張力、譬喻故事的意象豐富性，使法華經成為中國文學史上最具影響力的翻譯文學作品之一。蕭麗華（2006）</w:t>
      </w:r>
      <w:r>
        <w:t>CSV #40] 的研究揭示了法華經的文學技巧如何被唐宋文學所吸收與轉化。</w:t>
      </w:r>
    </w:p>
    <w:p>
      <w:r>
        <w:rPr>
          <w:b/>
        </w:rPr>
        <w:t>跨文化傳播的效應</w:t>
      </w:r>
      <w:r>
        <w:t>。鳩摩羅什的譯本不僅在中國本土產生影響，更通過朝鮮半島與日本列島的文化傳播鏈，成為整個東亞文明圈的共同經典。Park（2012）</w:t>
      </w:r>
      <w:r>
        <w:t>CSV #150] 探討佛教東傳中的教義轉化，揭示了翻譯如何作為文化適應的核心機制——鳩摩羅什的翻譯不是被動地傳遞印度佛教，而是主動地創造了一種「漢傳佛教」的新形態。</w:t>
      </w:r>
    </w:p>
    <w:p>
      <w:pPr>
        <w:pStyle w:val="Heading3"/>
      </w:pPr>
      <w:r>
        <w:t>6.5 當代翻譯理論視角下的鳩摩羅什</w:t>
      </w:r>
    </w:p>
    <w:p>
      <w:r>
        <w:t>二十世紀以來翻譯研究（Translation Studies）的理論發展，為重新理解鳩摩羅什的翻譯策略提供了豐富的分析工具。以下從三個當代翻譯理論視角分析鳩摩羅什的譯經實踐。</w:t>
      </w:r>
    </w:p>
    <w:p>
      <w:pPr>
        <w:pStyle w:val="Heading4"/>
      </w:pPr>
      <w:r>
        <w:t>6.5.1 Venuti 的「歸化/異化」框架</w:t>
      </w:r>
    </w:p>
    <w:p>
      <w:r>
        <w:t>美國翻譯理論家 Lawrence Venuti 提出的「歸化」（domestication）與「異化」（foreignization）二分法，是當代翻譯研究最具影響力的分析框架之一。歸化策略追求譯文的流暢性與可讀性，使目標語讀者感到「自然」；異化策略則有意保留源語的「陌生感」，提醒讀者這是一份來自異文化的文本。</w:t>
      </w:r>
    </w:p>
    <w:p>
      <w:r>
        <w:t>鳩摩羅什的翻譯策略不能被簡單歸類為「歸化」或「異化」中的任何一方，而是呈現出一種複雜的「雙軌並行」模式。在義理表達層面，鳩摩羅什採取了高度歸化的策略——「諸法實相」「方便」「功德」等術語都是以漢語思維重構梵文概念的產物，它們的語義場已經超出了梵文原詞的範圍，成為具有獨立生命力的漢語概念。然而在宗教神聖性層面，鳩摩羅什又有意識地採取異化策略——「菩薩」「般若」「三昧」「涅槃」「陀羅尼」等關鍵宗教術語的音譯保留，使這些概念維持了異域的神聖感與不可替代性。</w:t>
      </w:r>
    </w:p>
    <w:p>
      <w:r>
        <w:t>Nattier（2008）</w:t>
      </w:r>
      <w:r>
        <w:t>CSV #21] 雖未直接使用 Venuti 的術語，但其對鳩摩羅什與竺法護翻譯策略差異的分析可以被重新框架化：竺法護的「質直」譯風是一種更接近異化的策略——保留梵文的句法結構與敘事節奏，犧牲漢語的流暢性以忠實於原文；鳩摩羅什的「達意」譯風則是一種偏向歸化的策略——以漢語的語法規範與文學審美重塑原文，犧牲部分細節忠實度以追求義理的準確傳達。</w:t>
      </w:r>
    </w:p>
    <w:p>
      <w:pPr>
        <w:pStyle w:val="Heading4"/>
      </w:pPr>
      <w:r>
        <w:t>6.5.2 Nida 的「動態對等」理論</w:t>
      </w:r>
    </w:p>
    <w:p>
      <w:r>
        <w:t>美國語言學家 Eugene Nida 在聖經翻譯的語境中提出了「動態對等」（dynamic equivalence）理論，主張翻譯的目標不是原文與譯文之間的字詞對應（形式對等），而是譯文讀者對譯文的反應應當與原文讀者對原文的反應基本一致。</w:t>
      </w:r>
    </w:p>
    <w:p>
      <w:r>
        <w:t>鳩摩羅什的翻譯實踐高度契合動態對等的理念。以經名翻譯為例：</w:t>
      </w:r>
      <w:r>
        <w:rPr>
          <w:i/>
        </w:rPr>
        <w:t>saddharma-puṇḍarīka</w:t>
      </w:r>
      <w:r>
        <w:t xml:space="preserve"> 在梵文語境中喚起的是「超越世俗的真理如同白蓮花般純潔無染」的宗教意象；鳩摩羅什的「妙法蓮華」在漢語語境中同樣喚起了「不可思議的佛法如同蓮花般出淤泥而不染」的宗教意象——兩者的「讀者反應」是對等的，儘管字詞對應並不精確（「妙」不等於 </w:t>
      </w:r>
      <w:r>
        <w:rPr>
          <w:i/>
        </w:rPr>
        <w:t>sad</w:t>
      </w:r>
      <w:r>
        <w:t xml:space="preserve">，但「妙法蓮華」在漢語中喚起的敬畏感等同於 </w:t>
      </w:r>
      <w:r>
        <w:rPr>
          <w:i/>
        </w:rPr>
        <w:t>saddharma-puṇḍarīka</w:t>
      </w:r>
      <w:r>
        <w:t xml:space="preserve"> 在梵文中喚起的敬畏感）。</w:t>
      </w:r>
    </w:p>
    <w:p>
      <w:r>
        <w:t xml:space="preserve">鳩摩羅什在偈頌翻譯中的七言韻律化處理，同樣可以從動態對等的角度理解：梵文偈頌的 </w:t>
      </w:r>
      <w:r>
        <w:rPr>
          <w:i/>
        </w:rPr>
        <w:t>triṣṭubh</w:t>
      </w:r>
      <w:r>
        <w:t xml:space="preserve"> 與 </w:t>
      </w:r>
      <w:r>
        <w:rPr>
          <w:i/>
        </w:rPr>
        <w:t>śloka</w:t>
      </w:r>
      <w:r>
        <w:t xml:space="preserve"> 韻律在梵文讀者心中喚起的是「莊嚴、神聖、值得記誦」的感受；漢語七言韻文在漢語讀者心中喚起的同樣是這種感受——韻律形式的轉換服務於「讀者反應」的對等。</w:t>
      </w:r>
    </w:p>
    <w:p>
      <w:pPr>
        <w:pStyle w:val="Heading4"/>
      </w:pPr>
      <w:r>
        <w:t>6.5.3 Tongdian Lu 的「創譯」概念</w:t>
      </w:r>
    </w:p>
    <w:p>
      <w:r>
        <w:t>Tongdian Lu（2016）</w:t>
      </w:r>
      <w:r>
        <w:t>CSV #120] 的博士論文提出以「創譯」（transcreation）概念來理解鳩摩羅什的翻譯策略，這一概念突破了「忠實/自由」「直譯/意譯」等傳統二元對立，將鳩摩羅什的翻譯定位為一種跨越語言與文化界限的「創造性轉化」行為。</w:t>
      </w:r>
    </w:p>
    <w:p>
      <w:r>
        <w:t>「創譯」概念的核心主張是：鳩摩羅什的翻譯不是從梵文到漢文的單向「轉碼」，而是在兩種語言、兩種文化、兩種思想傳統之間進行的「創造性對話」。鳩摩羅什不是一個被動的「搬運工」，而是一個主動的「建築師」——他使用漢語的材料，按照佛教義理的藍圖，建造了一座全新的思想建築。這座建築既忠實於原始藍圖的精神，又適應了新環境的地形與氣候。</w:t>
      </w:r>
    </w:p>
    <w:p>
      <w:r>
        <w:t xml:space="preserve">Tongdian Lu 進一步指出，「創譯」概念特別適用於理解鳩摩羅什在以下三個層面的翻譯行為：（1）術語層面的語義擴展——如「方便」的語義場從 </w:t>
      </w:r>
      <w:r>
        <w:rPr>
          <w:i/>
        </w:rPr>
        <w:t>upāya</w:t>
      </w:r>
      <w:r>
        <w:t xml:space="preserve"> 的「手段/方法」擴展到包含「隨順」「善巧」「方便法門」等多重含義；（2）文體層面的審美重構——將梵文的冗長複合句壓縮為漢語的精練平行句，在犧牲句法忠實度的同時實現了更高層次的「義理忠實度」；（3）文化層面的「嫁接」——將佛教概念嫁接到漢語的既有語義網絡中（如以「實相」對應 </w:t>
      </w:r>
      <w:r>
        <w:rPr>
          <w:i/>
        </w:rPr>
        <w:t>dharmatā</w:t>
      </w:r>
      <w:r>
        <w:t>，借用了老莊哲學「實」的概念，使佛教空性思想與中國本體論傳統形成了概念共振）。</w:t>
      </w:r>
    </w:p>
    <w:p>
      <w:pPr>
        <w:pStyle w:val="Heading4"/>
      </w:pPr>
      <w:r>
        <w:t>6.5.4 三種理論的綜合啟示</w:t>
      </w:r>
    </w:p>
    <w:p>
      <w:r>
        <w:t>將 Venuti、Nida 與 Tongdian Lu 的理論視角綜合起來，鳩摩羅什的翻譯策略可以被理解為一種「多層次的創造性適應」：在語音層面，他靈活選擇音譯（保持神聖感）或意譯（促進理解），而非拘泥於單一策略；在語義層面，他追求「動態對等」——使漢語讀者的宗教體驗對等於梵文讀者的宗教體驗；在文化層面，他進行「創譯」——不是移植印度佛教，而是在中國文化的土壤中培育出一種新的佛教形態。</w:t>
      </w:r>
    </w:p>
    <w:p>
      <w:r>
        <w:t>這一分析也揭示了為什麼鳩摩羅什的譯本能夠在東亞取得壓倒性的接受度：竺法護的譯本更「忠實」於原文的形式，但正因如此，它對漢語讀者而言始終保持著某種「異文化」的距離感；鳩摩羅什的譯本則通過創造性的適應，使法華經成為漢語文化的「自家經典」——讀者感受到的不是翻譯的痕跡，而是義理的直接觸動。船山徹（2006）</w:t>
      </w:r>
      <w:r>
        <w:t>CSV #122] 雖然為竺法護的翻譯事業進行了重要的歷史正名，但也承認竺法護譯本在東亞的邊緣化地位正是其翻譯策略的必然結果——在一個宗教經典的翻譯中，「讀者的宗教體驗」比「字詞的忠實對應」更為重要。</w:t>
      </w:r>
    </w:p>
    <w:p>
      <w:pPr>
        <w:spacing w:before="240" w:after="240"/>
      </w:pPr>
      <w:r>
        <w:rPr>
          <w:color w:val="CCCCCC"/>
          <w:sz w:val="16"/>
        </w:rPr>
        <w:t>────────────────────────────────────────────────────────────</w:t>
      </w:r>
    </w:p>
    <w:p>
      <w:pPr>
        <w:pStyle w:val="Heading2"/>
      </w:pPr>
      <w:r>
        <w:t>第七章　文獻學新進展</w:t>
      </w:r>
    </w:p>
    <w:p>
      <w:pPr>
        <w:pStyle w:val="Heading3"/>
      </w:pPr>
      <w:r>
        <w:t>7.1 辛嶋靜志的突破性貢獻</w:t>
      </w:r>
    </w:p>
    <w:p>
      <w:r>
        <w:t>辛嶋靜志（Karashima Seishi, 1957-2019）是當代法華經文獻學研究的核心人物，其學術生涯幾乎完全獻給了法華經的語言學與文獻學研究。他的四項主要貢獻構成了法華經文獻學的新典範，每一項都涉及精密的方法論創新與紮實的實證基礎。</w:t>
      </w:r>
    </w:p>
    <w:p>
      <w:pPr>
        <w:pStyle w:val="Heading4"/>
      </w:pPr>
      <w:r>
        <w:t>7.1.1 鳩摩羅什法華經語詞考證（2001）</w:t>
      </w:r>
    </w:p>
    <w:p>
      <w:r>
        <w:t xml:space="preserve">辛嶋靜志的 </w:t>
      </w:r>
      <w:r>
        <w:rPr>
          <w:i/>
        </w:rPr>
        <w:t>A Glossary of Kumārajīva's Translation of the Lotus Sutra</w:t>
      </w:r>
      <w:r>
        <w:t>（2001）</w:t>
      </w:r>
      <w:r>
        <w:t>CSV #12] 是一部逐字逐句考證鳩摩羅什譯本中每一個漢字對應的梵文原詞的巨著。這一工作的方法論基礎是：將鳩摩羅什的漢譯逐句與現存梵文寫本（包括 Kern-Nanjio 校本、吉爾吉特寫本、尼泊爾傳本）進行比對，確定每一個漢字或詞組對應的梵文詞語，並分析翻譯的得失。</w:t>
      </w:r>
    </w:p>
    <w:p>
      <w:r>
        <w:t>此書的學術意義遠超一般的工具書。通過逐詞比對，辛嶋靜志揭示了鳩摩羅什翻譯過程中的多重策略：（1）有些漢字精確對應單一梵文詞，反映了嚴格的直譯；（2）有些漢語表達對應梵文中的複合詞或整個短語，反映了壓縮式意譯；（3）有些漢語段落在現存梵本中找不到對應，可能反映了鳩摩羅什所使用的底本與現存梵本之間的差異，也可能是鳩摩羅什的創造性增補。第三種情況尤其重要——它暗示鳩摩羅什可能使用了一個現已佚失的梵文底本，這一底本與現存的吉爾吉特系統和尼泊爾系統都有所不同，為法華經的版本史增添了新的維度。</w:t>
      </w:r>
    </w:p>
    <w:p>
      <w:r>
        <w:t>此外，辛嶋靜志通過語詞考證還發現了鳩摩羅什譯本中的若干「誤譯」或「異譯」——這些並非批評鳩摩羅什的翻譯水準，而是為理解他所使用的底本提供了線索。例如，某些被視為鳩摩羅什「意譯」的段落，在與吉爾吉特寫本比對後發現可能是對不同梵文讀法的直譯，這說明鳩摩羅什的底本在某些段落上更接近吉爾吉特系統而非尼泊爾系統。</w:t>
      </w:r>
    </w:p>
    <w:p>
      <w:pPr>
        <w:pStyle w:val="Heading4"/>
      </w:pPr>
      <w:r>
        <w:t>7.1.2 法華經成立過程的語言學分析（2015）</w:t>
      </w:r>
    </w:p>
    <w:p>
      <w:r>
        <w:t>辛嶋靜志（2015）</w:t>
      </w:r>
      <w:r>
        <w:t xml:space="preserve">CSV #11] 發表於 ARIRIAB 的論文 </w:t>
      </w:r>
      <w:r>
        <w:rPr>
          <w:i/>
        </w:rPr>
        <w:t>The Formation of the Saddharmapuṇḍarīkasūtra</w:t>
      </w:r>
      <w:r>
        <w:t xml:space="preserve"> 是法華經成書史研究的方法論突破。此前，望月信亨 </w:t>
      </w:r>
      <w:r>
        <w:t xml:space="preserve">CSV #57]、布施浩岳 </w:t>
      </w:r>
      <w:r>
        <w:t>CSV #63] 等學者對法華經成書年代的考證主要依賴「外證」——即與其他佛教文獻的引用關係、目錄學記載、歷史背景推斷等。辛嶋靜志則開創了以「內證」為核心的語言學方法。</w:t>
      </w:r>
    </w:p>
    <w:p>
      <w:r>
        <w:t>具體而言，辛嶋靜志的分析方法包括以下步驟：（1）從法華經各品的偈頌中提取語音特徵，建立各品的「語音特徵譜」；（2）將這些語音特徵與中期印度語（Prakrit）和古典梵語（Classical Sanskrit）的已知演變規律進行比對；（3）根據各品語音特徵的「中期印度語保留程度」排列年代先後——保留越多中期印度語特徵的品章越古老，梵語化程度越高的品章越晚期。</w:t>
      </w:r>
    </w:p>
    <w:p>
      <w:r>
        <w:t>通過這一方法，辛嶋靜志確認了法華經至少經歷三個主要的編纂階段：（a）第 2-9 品的偈頌為最早層，保留了最多的中期印度語語音特徵（如齒音與捲舌音的混淆、長短母音的不規則替換）；（b）第 10-22 品為中期增補，語言的梵語化程度明顯提高；（c）第 23-28 品為最晚增補，語言已基本梵語化。這一語言學證據從文本內部獨立確認了望月信亨以來「分期成書」假說的正確方向，但也對具體的分期方案提出了修正——例如，辛嶋靜志認為序品（第 1 品）的語言特徵介於第二層與第三層之間，其最終形態可能經歷了多次修訂。</w:t>
      </w:r>
    </w:p>
    <w:p>
      <w:pPr>
        <w:pStyle w:val="Heading4"/>
      </w:pPr>
      <w:r>
        <w:t>7.1.3 梵文寫本譜系重新分類（2010）</w:t>
      </w:r>
    </w:p>
    <w:p>
      <w:r>
        <w:t>辛嶋靜志（2010）</w:t>
      </w:r>
      <w:r>
        <w:t>CSV #66] 在創價大學 IRIAB 年報發表的寫本分類研究，打破了自 Kern-Nanjio（1908-12）以來以尼泊爾傳本為中心的寫本分類體系。Kern-Nanjio 校本基於尼泊爾傳本建立的「標準文本」，長期被視為法華經梵文的「原貌」；但辛嶋靜志指出，尼泊爾傳本經歷了數百年的抄寫與修訂，其語言已被高度「標準化」為古典梵語，反而掩蓋了法華經的原始語言面貌。</w:t>
      </w:r>
    </w:p>
    <w:p>
      <w:r>
        <w:t>辛嶋靜志提出的新分類體系將現存寫本分為三大系統：（1）吉爾吉特系統——以吉爾吉特寫本為代表，保留最多混合梵語特徵，最接近法華經的原始語言形態；（2）中亞系統——包括犍陀羅語殘片與其他中亞寫本，反映了法華經沿絲綢之路傳播過程中的語言變異；（3）尼泊爾系統——語言最為「標準化」，反映了法華經在南亞次大陸持續抄寫過程中的語言修訂。這一重新分類的意義在於：不再將任何一個寫本系統視為「原本」，而是承認法華經從一開始就存在多版本系統，校訂的目標是呈現這些版本系統的差異與關聯，而非重建一個假設的「原始文本」。</w:t>
      </w:r>
    </w:p>
    <w:p>
      <w:pPr>
        <w:pStyle w:val="Heading4"/>
      </w:pPr>
      <w:r>
        <w:t>7.1.4 吉爾吉特寫本校訂計畫（2018-）</w:t>
      </w:r>
    </w:p>
    <w:p>
      <w:r>
        <w:t xml:space="preserve">辛嶋靜志自 2018 年起在創價大學 IRIAB 啟動的基於吉爾吉特寫本的全新校訂計畫 </w:t>
      </w:r>
      <w:r>
        <w:t>CSV #13]，代表了法華經文獻學研究的範式轉移。此計畫的核心方法論是：以吉爾吉特寫本為底本（而非以尼泊爾傳本為底本），同時以中亞殘片與鳩摩羅什漢譯作為參照系統，重新校訂法華經梵文文本。這一方法論選擇本身就是辛嶋靜志寫本分類研究的邏輯延伸——既然吉爾吉特系統比尼泊爾系統更接近法華經的原始語言，那麼校訂底本就應當從尼泊爾傳本轉移到吉爾吉特寫本。</w:t>
      </w:r>
    </w:p>
    <w:p>
      <w:r>
        <w:t>辛嶋靜志於 2019 年辭世，此計畫由其弟子與同事繼續推進。儘管計畫尚未完成，但已出版的部分成果已經對法華經文獻學產生了深遠影響——特別是在方便品與壽量品的校訂中，吉爾吉特寫本的讀法與尼泊爾傳本之間的差異揭示了重要的教義分歧，為理解法華經的文本演化提供了新的證據。</w:t>
      </w:r>
    </w:p>
    <w:p>
      <w:pPr>
        <w:pStyle w:val="Heading3"/>
      </w:pPr>
      <w:r>
        <w:t>7.2 吉爾吉特寫本的重塑性意義</w:t>
      </w:r>
    </w:p>
    <w:p>
      <w:r>
        <w:t>吉爾吉特寫本（5-6 世紀）是最古老的法華經梵文實物證據，比尼泊爾傳本早數百年。其混合梵語特徵的保留，為理解法華經的原始語言面貌提供了關鍵證據。Raghu Vira &amp; Lokesh Chandra（1959-74）</w:t>
      </w:r>
      <w:r>
        <w:t>CSV #124] 首次出版，Toda（1981）</w:t>
      </w:r>
      <w:r>
        <w:t>CSV #125] 精校，辛嶋靜志（2018-）</w:t>
      </w:r>
      <w:r>
        <w:t>CSV #13] 新校訂。對 Kern-Nanjio 校本的修正意義在於：揭示了尼泊爾傳本中的「過度梵語化」現象，使學者能夠更接近法華經的原始文本面貌。</w:t>
      </w:r>
    </w:p>
    <w:p>
      <w:pPr>
        <w:pStyle w:val="Heading4"/>
      </w:pPr>
      <w:r>
        <w:t>7.2.1 與尼泊爾傳本的具體文本差異</w:t>
      </w:r>
    </w:p>
    <w:p>
      <w:r>
        <w:t>以下列舉三個具體的文本差異案例，說明吉爾吉特寫本如何修正了基於尼泊爾傳本的傳統理解。</w:t>
      </w:r>
    </w:p>
    <w:p>
      <w:r>
        <w:rPr>
          <w:b/>
        </w:rPr>
        <w:t>案例一：方便品的「十如是」段落</w:t>
      </w:r>
      <w:r>
        <w:t xml:space="preserve">。尼泊爾傳本中，佛陀描述「諸法實相」的段落使用了高度規範化的古典梵語句法，句式整齊劃一。吉爾吉特寫本的對應段落則保留了混合梵語的句法特徵——動詞形態的不規則變化、名詞格位的非標準用法——暗示這一段落在原始版本中的語言形態更為「粗糙」，尼泊爾傳本的「整齊」是後期抄寫者修訂的結果。這一發現對天台宗的「十如是」詮釋具有潛在影響，因為智顗 </w:t>
      </w:r>
      <w:r>
        <w:t>CSV #73] 對「十如是」的哲學闡發是基於鳩摩羅什漢譯的特定表述，而鳩摩羅什的底本可能更接近吉爾吉特系統。</w:t>
      </w:r>
    </w:p>
    <w:p>
      <w:r>
        <w:rPr>
          <w:b/>
        </w:rPr>
        <w:t>案例二：壽量品的時間表述</w:t>
      </w:r>
      <w:r>
        <w:t>。壽量品中佛陀描述其成佛以來的時間長度，尼泊爾傳本使用了標準的古典梵語數詞結構，數目精確而整齊。吉爾吉特寫本的對應段落則使用了更口語化的數詞表達，部分數詞的形態反映了中期印度語的特徵。von Hinüber（2014）</w:t>
      </w:r>
      <w:r>
        <w:t>CSV #16] 從古文書學角度分析了這些差異，認為吉爾吉特寫本的讀法更可能代表原始的口傳形態——在口傳語境中，精確的大數表述遠不如書寫語境中那樣規範。</w:t>
      </w:r>
    </w:p>
    <w:p>
      <w:r>
        <w:rPr>
          <w:b/>
        </w:rPr>
        <w:t>案例三：譬喻品的敘事細節</w:t>
      </w:r>
      <w:r>
        <w:t>。火宅喻的敘事中，尼泊爾傳本與吉爾吉特寫本在「火宅中的危險」描述上存在若干差異——吉爾吉特寫本包含了尼泊爾傳本中所無的動物名稱與場景描寫，而尼泊爾傳本中的某些描述在吉爾吉特寫本中則付之闕如。這些差異暗示火宅喻的敘事在傳播過程中經歷了地域性的增損——不同地區的抄寫者根據本地的文化語境增補或刪減了部分敘事細節，使得「火宅喻」不存在一個唯一的「原始版本」。</w:t>
      </w:r>
    </w:p>
    <w:p>
      <w:pPr>
        <w:pStyle w:val="Heading3"/>
      </w:pPr>
      <w:r>
        <w:t>7.3 犍陀羅語與中亞寫本</w:t>
      </w:r>
    </w:p>
    <w:p>
      <w:pPr>
        <w:pStyle w:val="Heading4"/>
      </w:pPr>
      <w:r>
        <w:t>7.3.1 犍陀羅語殘片的發現經過</w:t>
      </w:r>
    </w:p>
    <w:p>
      <w:r>
        <w:t>犍陀羅語（Gāndhārī）法華經殘片的發現與研究是二十一世紀佛教文獻學最重要的進展之一。Glass（2007）</w:t>
      </w:r>
      <w:r>
        <w:t>CSV #15] 的博士論文是此領域的奠基之作。犍陀羅語是一種西北印度的中期印度語方言，以佉盧字體（Kharoṣṭhī）書寫，曾是犍陀羅地區（今阿富汗東部至巴基斯坦北部）佛教僧團的主要書面語言。</w:t>
      </w:r>
    </w:p>
    <w:p>
      <w:r>
        <w:t>犍陀羅語法華經殘片的發現經過具有戲劇性。二十世紀末至二十一世紀初，由於阿富汗戰亂，大量古代寫本從阿富汗和巴基斯坦北部的考古遺址中流出，進入國際古董市場。學者們在這批流散寫本中辨識出了法華經的犍陀羅語殘片——這些殘片以佉盧字體書寫在樺樹皮上，年代可能早至公元 1-2 世紀，使其成為現存最早的法華經書面文本之一（比吉爾吉特寫本還早數百年）。</w:t>
      </w:r>
    </w:p>
    <w:p>
      <w:r>
        <w:t>Glass 的分析揭示了犍陀羅語法華經殘片的三重學術意義：（1）語言學意義——犍陀羅語殘片的語言特徵與辛嶋靜志從吉爾吉特寫本中還原的中期印度語特徵具有一致性，從獨立的證據來源確認了法華經的「非古典梵語起源」；（2）傳播史意義——犍陀羅地區是佛教從印度向中亞和中國傳播的關鍵中轉站，犍陀羅語法華經的存在表明法華經在尚未被「梵語化」之前就已沿絲綢之路向東傳播；（3）版本史意義——犍陀羅語殘片的文本在某些段落上與梵文傳本存在顯著差異，可能代表了一個獨立的文本傳統。</w:t>
      </w:r>
    </w:p>
    <w:p>
      <w:pPr>
        <w:pStyle w:val="Heading4"/>
      </w:pPr>
      <w:r>
        <w:t>7.3.2 巴焦爾出土寫本</w:t>
      </w:r>
    </w:p>
    <w:p>
      <w:r>
        <w:t>Baums &amp; Glass（2015）</w:t>
      </w:r>
      <w:r>
        <w:t>CSV #130] 研究的巴焦爾（Bajaur）出土寫本進一步豐富了犍陀羅語佛教文獻的研究。巴焦爾位於今巴基斯坦與阿富汗交界的部落地區，這批寫本的出土擴展了犍陀羅語佛教文獻的地理範圍。Salomon（1999）</w:t>
      </w:r>
      <w:r>
        <w:t>CSV #127] 為整個犍陀羅語佛教寫本研究建立了方法論框架，包括古文書學的字體分類、語言學的方言分析、以及考古學的年代歸屬方法。</w:t>
      </w:r>
    </w:p>
    <w:p>
      <w:r>
        <w:t xml:space="preserve">敦煌寫本 </w:t>
      </w:r>
      <w:r>
        <w:t>CSV #45, 126] 從漢文傳統角度補充了文獻學的實物證據。方廣錩（2005, 2011）對敦煌法華經寫本的系統整理，揭示了法華經漢譯本在中國中古時期流通的具體形態——多種抄本的並存、發願文的社會史信息、以及不同地區抄寫傳統的差異。</w:t>
      </w:r>
    </w:p>
    <w:p>
      <w:pPr>
        <w:pStyle w:val="Heading3"/>
      </w:pPr>
      <w:r>
        <w:t>7.4 數位人文方法的新工具</w:t>
      </w:r>
    </w:p>
    <w:p>
      <w:r>
        <w:t>Teiser &amp; Stone（2024）</w:t>
      </w:r>
      <w:r>
        <w:rPr>
          <w:i/>
        </w:rPr>
        <w:t>Rethinking the Lotus Sutra</w:t>
      </w:r>
      <w:r>
        <w:t xml:space="preserve"> </w:t>
      </w:r>
      <w:r>
        <w:t>CSV #17] 是法華經研究納入數位人文視角的標誌性著作。以下從三個具體方向分析數位人文方法對法華經研究的推動作用。</w:t>
      </w:r>
    </w:p>
    <w:p>
      <w:pPr>
        <w:pStyle w:val="Heading4"/>
      </w:pPr>
      <w:r>
        <w:t>7.4.1 CBETA 全文檢索與語料分析</w:t>
      </w:r>
    </w:p>
    <w:p>
      <w:r>
        <w:t>中華電子佛典協會（CBETA）的全文數位化使法華經漢譯本的研究進入了新階段。研究者可以在整個大正藏範圍內搜索法華經特定術語的出現頻率、搭配模式與語義變遷——例如搜索「諸法實相」在大正藏中的所有出現，可以追溯這一術語從法華經到天台宗著作再到後代注疏的語義演化軌跡。林光明（2014）</w:t>
      </w:r>
      <w:r>
        <w:t>CSV #50] 的梵漢對照本是 CBETA 數位資源的重要補充，使研究者能夠在數位環境中同時查閱梵文原典與漢譯文本。</w:t>
      </w:r>
    </w:p>
    <w:p>
      <w:pPr>
        <w:pStyle w:val="Heading4"/>
      </w:pPr>
      <w:r>
        <w:t>7.4.2 計算語言學方法</w:t>
      </w:r>
    </w:p>
    <w:p>
      <w:r>
        <w:t>計算語言學（Computational Linguistics）方法正在改變法華經文獻學的研究範式。具體應用包括：（1）基於統計的詞頻分析，可以量化不同品章的術語使用模式差異，為成書層次的劃分提供數據支撐；（2）基於聚類演算法的文本分類，可以將法華經各品的語言特徵自動聚類，驗證或修正辛嶋靜志以人工分析得出的分層結論；（3）基於序列比對（sequence alignment）的版本比較，可以自動標識不同寫本之間的文本差異，加速寫本校勘工作。</w:t>
      </w:r>
    </w:p>
    <w:p>
      <w:pPr>
        <w:pStyle w:val="Heading4"/>
      </w:pPr>
      <w:r>
        <w:t>7.4.3 AI 輔助校勘與寫本數位化</w:t>
      </w:r>
    </w:p>
    <w:p>
      <w:r>
        <w:t>高解析度影像技術與 OCR（光學字元辨識）技術正在改變寫本研究的工作方式。吉爾吉特寫本的數位化高解析度影像使研究者能夠在不接觸實物的情況下進行細緻的古文書學分析——字體的筆畫特徵、墨跡的深淺變化、樺樹皮的纖維紋理——這些細節在傳統的紙質照片中難以辨識。AI 輔助的佉盧字體辨識系統也正在開發中，有望自動轉錄犍陀羅語寫本，大幅提升寫本研究的效率。</w:t>
      </w:r>
    </w:p>
    <w:p>
      <w:r>
        <w:t>數位資源整合方面，CBETA（漢文佛典）、GRETIL（Göttingen Register of Electronic Texts in Indian Languages, 梵文電子文本）、SAT（大正新脩大藏經，日文佛典資料庫）的互操作性日益提升，使跨語言、跨傳統的法華經比較研究成為可能。</w:t>
      </w:r>
    </w:p>
    <w:p>
      <w:pPr>
        <w:pStyle w:val="Heading3"/>
      </w:pPr>
      <w:r>
        <w:t>7.5 關鍵書目學工具</w:t>
      </w:r>
    </w:p>
    <w:p>
      <w:r>
        <w:t>Yuyama（1970）</w:t>
      </w:r>
      <w:r>
        <w:t xml:space="preserve">CSV #20] 的 </w:t>
      </w:r>
      <w:r>
        <w:rPr>
          <w:i/>
        </w:rPr>
        <w:t>A Bibliography of the Sanskrit Texts of the Saddharmapuṇḍarīkasūtra</w:t>
      </w:r>
      <w:r>
        <w:t xml:space="preserve"> 是法華經梵文書目學的經典工具書，系統著錄了二十世紀七十年代以前所有已知的法華經梵文寫本、校訂本、翻譯及相關研究文獻。Yuyama（2001）</w:t>
      </w:r>
      <w:r>
        <w:t xml:space="preserve">CSV #19] 的 </w:t>
      </w:r>
      <w:r>
        <w:rPr>
          <w:i/>
        </w:rPr>
        <w:t>The Origin and Development of the Saddharmapuṇḍarīka</w:t>
      </w:r>
      <w:r>
        <w:t xml:space="preserve"> 更新了三十年來的新發現，包括新出土寫本、新校訂成果與新研究文獻的著錄。</w:t>
      </w:r>
    </w:p>
    <w:p>
      <w:r>
        <w:t>渡邊寶陽/宮田幸一編《法華經事典》（2004）</w:t>
      </w:r>
      <w:r>
        <w:t>CSV #62] 是法華經研究的百科全書式工具書，涵蓋了法華經各品的義理概要、歷代注釋者的傳記與著述、法華經相關的歷史事件、法華經在各國的傳播史等，是日文學界法華經研究的一站式參考資源。勝呂信靜編《法華經の思想と文化》（2000）</w:t>
      </w:r>
      <w:r>
        <w:t>CSV #61] 則彙集了二十世紀末日本法華經研究的最新成果，涵蓋了文獻學、哲學、歷史學、文學、藝術學等多個學科領域的研究論文。</w:t>
      </w:r>
    </w:p>
    <w:p>
      <w:pPr>
        <w:pStyle w:val="Heading3"/>
      </w:pPr>
      <w:r>
        <w:t>7.6 文獻學新進展對其他章節的連鎖影響</w:t>
      </w:r>
    </w:p>
    <w:p>
      <w:r>
        <w:t>辛嶋靜志為代表的文獻學新進展不是孤立的學術事件，而是對法華經研究的多個面向產生了連鎖性的影響。以下分析這些發現如何改變了成書史（第四章）、注釋傳統（第五章）、翻譯研究（第六章）與傳播史（第八章）的研究格局。</w:t>
      </w:r>
    </w:p>
    <w:p>
      <w:pPr>
        <w:pStyle w:val="Heading4"/>
      </w:pPr>
      <w:r>
        <w:t>7.6.1 對成書史研究（第四章）的影響</w:t>
      </w:r>
    </w:p>
    <w:p>
      <w:r>
        <w:t xml:space="preserve">辛嶋靜志的語言學分層方法從根本上改變了法華經成書史研究的方法論。此前，望月信亨 </w:t>
      </w:r>
      <w:r>
        <w:t xml:space="preserve">CSV #57] 與布施浩岳 </w:t>
      </w:r>
      <w:r>
        <w:t>CSV #63] 的分期研究主要依賴「外證」——與其他文獻的引用關係、歷史背景推斷等。辛嶋靜志的「內證」方法——基於語言學特徵的文本分層——不僅獨立驗證了「分期成書」假說，更提供了比外證更精細的分層工具。例如，辛嶋靜志的分析能夠區分同一品章中不同段落的年代差異——某些品章的偈頌部分屬於第一層，而散文部分屬於第二層——這種「品內分層」的精細度是外證方法無法達到的。</w:t>
      </w:r>
    </w:p>
    <w:p>
      <w:r>
        <w:t xml:space="preserve">坂本幸男 </w:t>
      </w:r>
      <w:r>
        <w:t xml:space="preserve">CSV #58] 與田村芳朗 </w:t>
      </w:r>
      <w:r>
        <w:t>CSV #59-60] 的早期研究在辛嶋靜志的語言學證據面前也需要被重新評估。他們對法華經「一佛乘」思想發展過程的分析，現在可以與語言學分層結合——「一佛乘」概念在不同文本層次中的表述差異，可能反映了這一教義在不同編纂階段的發展狀態。</w:t>
      </w:r>
    </w:p>
    <w:p>
      <w:pPr>
        <w:pStyle w:val="Heading4"/>
      </w:pPr>
      <w:r>
        <w:t>7.6.2 對注釋傳統（第五章）的影響</w:t>
      </w:r>
    </w:p>
    <w:p>
      <w:r>
        <w:t xml:space="preserve">文獻學新進展對注釋傳統的影響主要體現在兩個方面。第一，吉爾吉特寫本揭示的文本差異使研究者得以重新評估歷代注釋者所依據的文本基礎——智顗 </w:t>
      </w:r>
      <w:r>
        <w:t xml:space="preserve">CSV #73-75] 的「法華三大部」基於鳩摩羅什漢譯，而鳩摩羅什的底本可能更接近吉爾吉特系統；辛嶋靜志 </w:t>
      </w:r>
      <w:r>
        <w:t>CSV #12] 的語詞考證為判斷鳩摩羅什底本的系統歸屬提供了具體的文獻學證據。</w:t>
      </w:r>
    </w:p>
    <w:p>
      <w:r>
        <w:t xml:space="preserve">第二，「分期成書」的語言學確認也為理解注釋傳統中的某些爭議提供了新的視角。例如，天台（智顗）與法相（窺基 </w:t>
      </w:r>
      <w:r>
        <w:t xml:space="preserve">CSV #78]）對法華經「一佛乘」的不同詮釋，可能部分源於他們分別強調了法華經不同文本層次中「一佛乘」概念的不同表述——迹門（第一、二層）中「一佛乘」更強調「方便」與「開權顯實」，本門（第三層）中「一佛乘」則更強調「久遠實成」與佛陀的永恆性。這一文本層次的差異或許有助於理解為何天台宗能夠調和迹門與本門（「本跡等觀」），而日蓮則執著於本門中心主義 </w:t>
      </w:r>
      <w:r>
        <w:t>CSV #88-89]。</w:t>
      </w:r>
    </w:p>
    <w:p>
      <w:pPr>
        <w:pStyle w:val="Heading4"/>
      </w:pPr>
      <w:r>
        <w:t>7.6.3 對翻譯研究（第六章）的影響</w:t>
      </w:r>
    </w:p>
    <w:p>
      <w:r>
        <w:t xml:space="preserve">辛嶋靜志的語詞考證 </w:t>
      </w:r>
      <w:r>
        <w:t xml:space="preserve">CSV #12] 是法華經翻譯研究的核心工具。它使研究者能夠精確地判斷鳩摩羅什在每一個翻譯選擇中的策略——哪些是「直譯」、哪些是「意譯」、哪些是「創譯」——從而為 Nattier </w:t>
      </w:r>
      <w:r>
        <w:t xml:space="preserve">CSV #21]、Boucher </w:t>
      </w:r>
      <w:r>
        <w:t xml:space="preserve">CSV #121]、Tongdian Lu </w:t>
      </w:r>
      <w:r>
        <w:t>CSV #120] 等學者的翻譯研究提供了實證基礎。</w:t>
      </w:r>
    </w:p>
    <w:p>
      <w:r>
        <w:t xml:space="preserve">更重要的是，辛嶋靜志對法華經原始語言的重新認定——從古典梵語到中期印度語——改變了我們對翻譯過程的理解。如果法華經的原始語言是中期印度語，那麼鳩摩羅什所面對的梵文底本已經是「翻譯」過的版本——從中期印度語到古典梵語的「梵語化」本身就是一次翻譯行為。這意味著鳩摩羅什的漢譯實際上是「翻譯的翻譯」，中間經歷了至少兩次語言轉換（中期印度語→古典梵語→漢語），每一次轉換都伴隨著教義理解的微妙變化。竺法護 </w:t>
      </w:r>
      <w:r>
        <w:t>CSV #111] 使用較早的梵本，其底本可能保留了更多中期印度語的特徵，因此在某些段落上反而比鳩摩羅什更接近法華經的「原始」面貌——船山徹（2006）</w:t>
      </w:r>
      <w:r>
        <w:t>CSV #122] 對竺法護翻譯事業的重新評價，在這一脈絡下獲得了更堅實的文獻學支撐。</w:t>
      </w:r>
    </w:p>
    <w:p>
      <w:pPr>
        <w:pStyle w:val="Heading4"/>
      </w:pPr>
      <w:r>
        <w:t>7.6.4 對傳播史（第八章）的影響</w:t>
      </w:r>
    </w:p>
    <w:p>
      <w:r>
        <w:t xml:space="preserve">犍陀羅語殘片的發現 </w:t>
      </w:r>
      <w:r>
        <w:t>CSV #15, 130] 從根本上改變了法華經傳播史的敘述。此前，法華經的東傳路線被描述為「印度→中亞→中國」的單線傳播；犍陀羅語殘片的發現揭示了一個更複雜的圖景——法華經在尚未被「梵語化」之前，就已經以中期印度語（犍陀羅語）的形態沿絲綢之路傳播。這意味著法華經的東傳不是「完成品的出口」，而是「半成品的流通」——它在傳播過程中同時經歷了語言的轉化（梵語化）與文本的增補（新品章的加入）。</w:t>
      </w:r>
    </w:p>
    <w:p>
      <w:r>
        <w:t>這一發現對理解竺法護與鳩摩羅什的翻譯差異也具有啟示意義：竺法護在西元 286 年的翻譯，面對的可能是一個更接近犍陀羅語傳統的底本（保留更多中期印度語特徵）；鳩摩羅什在西元 406 年的翻譯，面對的則是一個更高度梵語化的底本。兩個底本之間的差異不僅是「版本差異」，更是「語言演化階段的差異」——這為釋果暉（2008）</w:t>
      </w:r>
      <w:r>
        <w:t>CSV #37] 與張麗珠（2011）</w:t>
      </w:r>
      <w:r>
        <w:t>CSV #123] 的兩譯本比較研究提供了更深層的解釋框架。</w:t>
      </w:r>
    </w:p>
    <w:p>
      <w:r>
        <w:t>菅野博史（2009）</w:t>
      </w:r>
      <w:r>
        <w:t>CSV #65] 的東亞三國法華經接受史比較研究，也需要將文獻學新進展納入考量——中國、日本、韓國三國的法華經接受，都是以鳩摩羅什漢譯為基礎的，而辛嶋靜志的研究揭示了這一漢譯與梵文原典之間存在的系統性偏差。這意味著東亞三國的法華經詮釋傳統，在某種意義上是建立在一個「創譯」版本之上的——天台宗、日蓮宗等宗派的法華經詮釋，反映的不完全是梵文原典的義理，而是梵文原典經由鳩摩羅什創造性轉化後的「漢傳法華經」的義理。</w:t>
      </w:r>
    </w:p>
    <w:p>
      <w:pPr>
        <w:spacing w:before="240" w:after="240"/>
      </w:pPr>
      <w:r>
        <w:rPr>
          <w:color w:val="CCCCCC"/>
          <w:sz w:val="16"/>
        </w:rPr>
        <w:t>────────────────────────────────────────────────────────────</w:t>
      </w:r>
    </w:p>
    <w:p>
      <w:pPr>
        <w:pStyle w:val="Heading2"/>
      </w:pPr>
      <w:r>
        <w:t>第八章　跨文化傳播鏈</w:t>
      </w:r>
    </w:p>
    <w:p>
      <w:pPr>
        <w:pStyle w:val="Heading3"/>
      </w:pPr>
      <w:r>
        <w:t>8.1 印度：原典形成與大乘佛教語境</w:t>
      </w:r>
    </w:p>
    <w:p>
      <w:r>
        <w:t>法華經產生於印度大乘佛教運動的背景中，但其在大乘經典群中的位置需要更精確的定位。Williams（2009）</w:t>
      </w:r>
      <w:r>
        <w:t>CSV #143-144] 的兩部著作——</w:t>
      </w:r>
      <w:r>
        <w:rPr>
          <w:i/>
        </w:rPr>
        <w:t>The Origins of Mahāyāna Buddhism</w:t>
      </w:r>
      <w:r>
        <w:t xml:space="preserve"> 與 </w:t>
      </w:r>
      <w:r>
        <w:rPr>
          <w:i/>
        </w:rPr>
        <w:t>Mahāyāna Buddhism: The Doctrinal Foundations</w:t>
      </w:r>
      <w:r>
        <w:t xml:space="preserve">——為理解法華經的印度語境提供了宏觀框架。印順法師 </w:t>
      </w:r>
      <w:r>
        <w:t xml:space="preserve">CSV #145-146] 的大乘佛教史將法華經定位於初期大乘經典的發展脈絡。平川彰 </w:t>
      </w:r>
      <w:r>
        <w:t>CSV #149] 分析法華經的印度歷史背景。</w:t>
      </w:r>
    </w:p>
    <w:p>
      <w:pPr>
        <w:pStyle w:val="Heading4"/>
      </w:pPr>
      <w:r>
        <w:t>8.1.1 法華經在初期大乘經典群中的位置</w:t>
      </w:r>
    </w:p>
    <w:p>
      <w:r>
        <w:t>法華經的成立與發展並非孤立事件，而是初期大乘佛教經典生產運動的一部分。理解法華經的思想特質，需要將其置於與其他初期大乘經典——尤其是般若經與華嚴經——的關係網絡中加以考察。</w:t>
      </w:r>
    </w:p>
    <w:p>
      <w:r>
        <w:rPr>
          <w:b/>
        </w:rPr>
        <w:t>法華經與般若經的關係</w:t>
      </w:r>
      <w:r>
        <w:t>。般若經群（</w:t>
      </w:r>
      <w:r>
        <w:rPr>
          <w:i/>
        </w:rPr>
        <w:t>Prajñāpāramitā sūtras</w:t>
      </w:r>
      <w:r>
        <w:t>）是大乘佛教最早期的經典系統，其核心教義「空性」（</w:t>
      </w:r>
      <w:r>
        <w:rPr>
          <w:i/>
        </w:rPr>
        <w:t>śūnyatā</w:t>
      </w:r>
      <w:r>
        <w:t>）構成了大乘佛教的哲學基礎。法華經與般若經共享大乘佛教的基本立場——超越部派佛教的狹隘分類，指向更廣大的覺悟可能性——但兩者的重點截然不同：般若經以「破執」為核心，強調一切法（包括佛法本身）的空無自性；法華經以「會歸」為核心，強調三乘（聲聞、緣覺、菩薩）最終歸於一佛乘。從教義發展的角度看，法華經可以被理解為對般若經的「回應」——般若經徹底解構了一切教義的實在性，法華經則在空性的基礎上重建了佛教的目標論（一切眾生皆將成佛）。黃國清（2012）</w:t>
      </w:r>
      <w:r>
        <w:t>CSV #52] 的比較研究指出，法華經的「一乘」思想與般若經的「空性」思想構成了大乘佛教的兩翼——前者提供了目標（成佛），後者提供了方法（觀空）。</w:t>
      </w:r>
    </w:p>
    <w:p>
      <w:r>
        <w:rPr>
          <w:b/>
        </w:rPr>
        <w:t>法華經與華嚴經的關係</w:t>
      </w:r>
      <w:r>
        <w:t>。華嚴經（</w:t>
      </w:r>
      <w:r>
        <w:rPr>
          <w:i/>
        </w:rPr>
        <w:t>Avataṃsaka sūtra</w:t>
      </w:r>
      <w:r>
        <w:t>）與法華經在成立年代上大致重疊（約西元 1-3 世紀），兩者都主張究竟的一乘教義，但詮釋進路不同：華嚴經以「法界緣起」為核心，建構了一個「一即一切、一切即一」的宏大宇宙論；法華經以「方便」為核心，通過敘事（譬喻與授記）來傳達一乘教義。在東亞佛教的判教傳統中，法華經與華嚴經的關係是最具爭議性的議題之一——天台宗判法華經為最高（「純圓獨妙」），華嚴宗判華嚴經為最高（「別教一乘」），兩宗之間的教義論辯持續了數百年。</w:t>
      </w:r>
    </w:p>
    <w:p>
      <w:r>
        <w:rPr>
          <w:b/>
        </w:rPr>
        <w:t>法華經的獨特定位</w:t>
      </w:r>
      <w:r>
        <w:t xml:space="preserve">。印順法師 </w:t>
      </w:r>
      <w:r>
        <w:t>CSV #146] 指出，法華經在初期大乘經典群中的獨特性在於其「教團統一」的訴求——法華經的「一佛乘」教義不僅是教義學命題，更是對部派分裂後佛教教團重新統一的理想表達。法華經可能源於大眾部（Mahāsāṅghika）傳統，其「一切眾生皆可成佛」的教義與大眾部的平等思想具有親和性。Lamotte（1954, 1988）</w:t>
      </w:r>
      <w:r>
        <w:t>CSV #147-148] 對法華經年代與印度佛教史的考證是此領域的經典之作。</w:t>
      </w:r>
    </w:p>
    <w:p>
      <w:pPr>
        <w:pStyle w:val="Heading3"/>
      </w:pPr>
      <w:r>
        <w:t>8.2 中亞：絲綢之路的傳播通道</w:t>
      </w:r>
    </w:p>
    <w:p>
      <w:r>
        <w:t>法華經沿絲綢之路從犍陀羅經中亞傳入中國。榮新江（2013）</w:t>
      </w:r>
      <w:r>
        <w:t>CSV #153] 考證傳播路線，揭示了法華經如何隨著商旅與僧侶的腳步穿越帕米爾高原。中亞多語種寫本（犍陀羅語、于闐文、回鶻文殘片）是這條傳播通道的實物見證。Park（2012）</w:t>
      </w:r>
      <w:r>
        <w:t xml:space="preserve">CSV #150] 以「佛教如何在東傳中獲得靈魂」為題，探討教義在跨文化傳播中的轉化機制——法華經正是這一轉化的典型案例。Glass </w:t>
      </w:r>
      <w:r>
        <w:t xml:space="preserve">CSV #15]、Baums &amp; Glass </w:t>
      </w:r>
      <w:r>
        <w:t xml:space="preserve">CSV #130]、Salomon </w:t>
      </w:r>
      <w:r>
        <w:t>CSV #127] 的寫本研究從文獻學角度重建了這條傳播鏈的物質證據。</w:t>
      </w:r>
    </w:p>
    <w:p>
      <w:r>
        <w:t>法華經的中亞傳播路線可以被更精確地勾勒：從犍陀羅（今巴基斯坦北部/阿富汗東部）出發，沿兩條主要路線東行。北路經由塔克拉瑪干沙漠北緣的庫車（龜茲）、吐魯番等綠洲城市，這條路線上的龜茲正是鳩摩羅什的出生地；南路經由于闐（今和田）等綠洲城市。兩條路線最終在敦煌匯合，再經河西走廊進入中國內地。法華經在這條傳播路線上的每一個節點都留下了物質痕跡——犍陀羅語殘片見證了起點，龜茲壁畫見證了中途，敦煌寫本見證了入華前的最後一站。</w:t>
      </w:r>
    </w:p>
    <w:p>
      <w:pPr>
        <w:pStyle w:val="Heading3"/>
      </w:pPr>
      <w:r>
        <w:t>8.3 中國：翻譯與宗派詮釋的核心地帶</w:t>
      </w:r>
    </w:p>
    <w:p>
      <w:pPr>
        <w:pStyle w:val="Heading4"/>
      </w:pPr>
      <w:r>
        <w:t>8.3.1 翻譯史</w:t>
      </w:r>
    </w:p>
    <w:p>
      <w:r>
        <w:t xml:space="preserve">竺法護（286）→ 鳩摩羅什（406）→ 添品本（601）的三次翻譯 </w:t>
      </w:r>
      <w:r>
        <w:t xml:space="preserve">CSV #111, 112]，每一次都代表了不同時代的翻譯理念與文化需求。馬祖毅/任榮珍 </w:t>
      </w:r>
      <w:r>
        <w:t xml:space="preserve">CSV #118] 的佛經翻譯通史提供了宏觀視角。郭朝順 </w:t>
      </w:r>
      <w:r>
        <w:t>CSV #51] 梳理法華經傳譯與受容過程。</w:t>
      </w:r>
    </w:p>
    <w:p>
      <w:pPr>
        <w:pStyle w:val="Heading4"/>
      </w:pPr>
      <w:r>
        <w:t>8.3.2 天台宗的確立</w:t>
      </w:r>
    </w:p>
    <w:p>
      <w:r>
        <w:t xml:space="preserve">智顗（538-597）以法華經為天台宗根本經典 </w:t>
      </w:r>
      <w:r>
        <w:t xml:space="preserve">CSV #73-75]，潘桂明/吳忠偉 </w:t>
      </w:r>
      <w:r>
        <w:t xml:space="preserve">CSV #131] 的天台宗通史追溯這一過程。釋大睿 </w:t>
      </w:r>
      <w:r>
        <w:t>CSV #151] 的中國天台宗發展史是中文學界的重要參考。天台宗的確立使法華經從眾多大乘經典中脫穎而出，獲得了「經中之王」的地位。</w:t>
      </w:r>
    </w:p>
    <w:p>
      <w:pPr>
        <w:pStyle w:val="Heading4"/>
      </w:pPr>
      <w:r>
        <w:t>8.3.3 六朝至隋唐的詳細傳播時間線</w:t>
      </w:r>
    </w:p>
    <w:p>
      <w:r>
        <w:t>法華經在中國的傳播不是一個瞬間完成的事件，而是一個跨越數百年的漸進過程。以下按時間線追溯這一過程的關鍵節點。</w:t>
      </w:r>
    </w:p>
    <w:p>
      <w:r>
        <w:rPr>
          <w:b/>
        </w:rPr>
        <w:t>西晉至東晉（286-420）：初傳與紮根期</w:t>
      </w:r>
      <w:r>
        <w:t>。竺法護於太康七年（286）譯出《正法華經》，這是法華經進入漢語世界的起點。然而，竺法護的譯本在當時的影響相對有限——西晉時期中國佛教界的主流興趣在般若學，「六家七宗」的般若學派以般若經為核心經典，法華經尚未引起足夠的教義學關注。東晉時期，道安（312-385）等高僧開始注意到法華經的獨特價值，但法華經仍處於般若經的「陰影」之下。鳩摩羅什於弘始八年（406）譯出《妙法蓮華經》，標誌著法華經在中國的命運發生了根本性轉變——鳩摩羅什的譯文以其優美的文體與精確的義理傳達，迅速取代了竺法護的譯本，成為中國佛教界的標準法華經文本。</w:t>
      </w:r>
    </w:p>
    <w:p>
      <w:r>
        <w:rPr>
          <w:b/>
        </w:rPr>
        <w:t>南北朝（420-589）：信仰興盛期</w:t>
      </w:r>
      <w:r>
        <w:t>。南北朝時期，法華經信仰在中國社會各階層中迅速擴散。劉淑芬（2002）</w:t>
      </w:r>
      <w:r>
        <w:t>CSV #135] 的研究揭示了這一時期法華經信仰的社會基礎——法華經信仰不僅是精英僧侶的教義學建構，更是庶民大眾的日常宗教實踐。法華經信仰的社會傳播呈現出從「貴族」到「庶民」的擴散模式：最初，法華經在宮廷與貴族圈中流通，作為文化精英的宗教實踐；隨後，通過寺院講經、寫經運動、法華懺法等形式，法華經信仰逐漸向庶民階層擴散。</w:t>
      </w:r>
    </w:p>
    <w:p>
      <w:r>
        <w:t>這一時期出現了大量與法華經相關的靈驗故事與感應傳記——僧詳《法華傳記》</w:t>
      </w:r>
      <w:r>
        <w:t>CSV #114]、慧詳《弘贊法華傳》</w:t>
      </w:r>
      <w:r>
        <w:t>CSV #115] 彙集了南北朝至唐代的法華經感應事蹟，包括持誦法華經治病、免難、往生淨土等靈驗故事。這些靈驗故事的流傳是法華經信仰從精英到庶民擴散的重要媒介——對於不識字的庶民而言，教義學的精微論述難以理解，但生動的靈驗故事則具有直接的感召力。龔雋（2018）</w:t>
      </w:r>
      <w:r>
        <w:t>CSV #134] 追溯了法華經從南北朝至隋唐的發展脈絡。</w:t>
      </w:r>
    </w:p>
    <w:p>
      <w:r>
        <w:t xml:space="preserve">法華經信仰在南北朝時期催生了獨立的造像藝術傳統。顏娟英 </w:t>
      </w:r>
      <w:r>
        <w:t>CSV #54] 的研究揭示了六朝法華經造像的三個主要母題：（1）「二佛並坐」——釋迦佛與多寶佛在寶塔中並坐的場景，源自見寶塔品；（2）「法華授記」——佛陀為弟子授記成佛的場景；（3）「觀音救難」——觀世音菩薩以各種應化身救度眾生的場景，源自普門品。法雲（467-529）的《法華義記》</w:t>
      </w:r>
      <w:r>
        <w:t>CSV #116] 是現存最早的中國法華經注疏之一，代表了南朝佛教界對法華經的學術性研究。</w:t>
      </w:r>
    </w:p>
    <w:p>
      <w:r>
        <w:rPr>
          <w:b/>
        </w:rPr>
        <w:t>隋唐（581-907）：宗派化高峰期</w:t>
      </w:r>
      <w:r>
        <w:t>。智顗（538-597）以法華經為核心建立天台宗，是法華經在中國歷史上最具決定性的事件。智顗的「法華三大部」</w:t>
      </w:r>
      <w:r>
        <w:t>CSV #73-75] 將法華經從一部大乘經典提升為整個佛教教義體系的最高經典——法華經不僅是「一部經」，更是「一切經的歸宿」。天台宗的確立使法華經獲得了制度化的傳承機制——寺院、僧團、修行法門、判教體系——使法華經信仰能夠跨越世代穩定傳承。</w:t>
      </w:r>
    </w:p>
    <w:p>
      <w:r>
        <w:t>隋代闍那崛多（Jñānagupta）於仁壽元年（601）譯出《添品妙法蓮華經》</w:t>
      </w:r>
      <w:r>
        <w:t>CSV #112]，補充了鳩摩羅什省略的段落，但在實際流通中未能取代鳩摩羅什的譯本。唐代是法華經注疏的高峰期——除了天台宗的注疏系統外，窺基的《法華玄贊》</w:t>
      </w:r>
      <w:r>
        <w:t xml:space="preserve">CSV #78]（法相宗視角）、吉藏的法華注疏 </w:t>
      </w:r>
      <w:r>
        <w:t>CSV #76-77, 82]（三論宗視角）也在此時期完成，形成了「多宗並釋法華」的學術格局。</w:t>
      </w:r>
    </w:p>
    <w:p>
      <w:pPr>
        <w:pStyle w:val="Heading4"/>
      </w:pPr>
      <w:r>
        <w:t>8.3.4 民間信仰轉化</w:t>
      </w:r>
    </w:p>
    <w:p>
      <w:r>
        <w:t>于君方（2001）</w:t>
      </w:r>
      <w:r>
        <w:t>CSV #158-159] 的觀音信仰研究揭示了普門品如何促成觀音信仰的民間化——觀音從法華經中一品的菩薩角色，逐漸發展為東亞最受崇敬的救苦救難之神。這一轉化過程經歷了三個階段：（1）經典階段——觀世音菩薩是法華經第 25 品中的一位菩薩，其功能限定於「聞聲救苦」；（2）信仰獨立化階段——普門品被從法華經中抽出獨立流通，觀音信仰獲得了獨立於法華經的生命力；（3）文化融合階段——觀音在中國文化語境中發生了性別轉化（從男性菩薩轉為女性形象）、功能擴展（從救苦救難擴展到送子、保航海平安等），最終成為中國民間信仰中最具包容性的神聖存在。</w:t>
      </w:r>
    </w:p>
    <w:p>
      <w:r>
        <w:t xml:space="preserve">法華懺法、寫經運動、法華道場等信仰實踐形式 </w:t>
      </w:r>
      <w:r>
        <w:t>CSV #80, 113-115]，構成了法華經從經典到生活的轉化橋樑。周克復（1676）《法華經持驗記》</w:t>
      </w:r>
      <w:r>
        <w:t>CSV #113] 彙集歷代持誦法華經的靈驗故事，是理解法華經民間信仰形態的重要文獻。</w:t>
      </w:r>
    </w:p>
    <w:p>
      <w:pPr>
        <w:pStyle w:val="Heading3"/>
      </w:pPr>
      <w:r>
        <w:t>8.4 日本：從聖德太子到創價學會的完整傳承</w:t>
      </w:r>
    </w:p>
    <w:p>
      <w:r>
        <w:t>法華經在日本的傳播史是一部跨越一千四百年的宏大敘事，涉及政治、宗教、文化、藝術等多個面向。末木文美士（2014）</w:t>
      </w:r>
      <w:r>
        <w:t>CSV #160] 的通史性著作追溯了從聖德太子到創價學會的完整脈絡。</w:t>
      </w:r>
    </w:p>
    <w:p>
      <w:pPr>
        <w:pStyle w:val="Heading4"/>
      </w:pPr>
      <w:r>
        <w:t>8.4.1 聖德太子與法華經的「國家化」</w:t>
      </w:r>
    </w:p>
    <w:p>
      <w:r>
        <w:t xml:space="preserve">聖德太子（574-622）是法華經進入日本政治核心的關鍵人物。傳說聖德太子親撰《法華義疏》（三經義疏之一），以法華經的義理為日本國家治理提供佛教思想基礎。田村圓澄 </w:t>
      </w:r>
      <w:r>
        <w:t>CSV #136] 的研究揭示了法華經與日本古代國家認同之間的深層關聯：聖德太子以法華經的「一佛乘」思想作為統合日本各氏族的意識形態工具——正如法華經宣稱三乘歸於一乘，聖德太子試圖以佛教信仰統一分裂的氏族社會。法華經因此在日本歷史上一開始就不僅是宗教經典，更是政治文獻。</w:t>
      </w:r>
    </w:p>
    <w:p>
      <w:pPr>
        <w:pStyle w:val="Heading4"/>
      </w:pPr>
      <w:r>
        <w:t>8.4.2 最澄與日本天台宗的確立</w:t>
      </w:r>
    </w:p>
    <w:p>
      <w:r>
        <w:t xml:space="preserve">最澄（767-822）於延曆二十三年（804）入唐求法，在天台山從湛然的弟子道邃與行滿學習天台教義，歸國後在比叡山建立延曆寺，確立了日本天台宗 </w:t>
      </w:r>
      <w:r>
        <w:t>CSV #85]。最澄的《法華秀句》是一部激烈捍衛法華經至高地位的論辯著作，系統駁斥了法相宗「五性各別」說對法華經「一佛乘」的挑戰。</w:t>
      </w:r>
    </w:p>
    <w:p>
      <w:r>
        <w:t>最澄對日本佛教的影響遠超天台宗本身——比叡山延曆寺成為日本佛教的「人才培訓中心」，後來的法然（淨土宗）、親鸞（淨土真宗）、道元（曹洞宗）、日蓮（日蓮宗）等宗派創始人都曾在比叡山修學。從這個意義上說，法華經通過天台宗的「培育」功能，間接影響了日本佛教的整體格局。</w:t>
      </w:r>
    </w:p>
    <w:p>
      <w:pPr>
        <w:pStyle w:val="Heading4"/>
      </w:pPr>
      <w:r>
        <w:t>8.4.3 空海的密教法華詮釋</w:t>
      </w:r>
    </w:p>
    <w:p>
      <w:r>
        <w:t>空海（774-835）雖以真言密教為主，但《法華經開題》</w:t>
      </w:r>
      <w:r>
        <w:t>CSV #87] 展現了法華經的跨宗派影響力。空海以密教的「即身成佛」理念重新詮釋法華經——法華經的「一切眾生皆可成佛」被空海解讀為密教意義上的「此身此生即可成佛」，這一詮釋進路與天台宗的漸次修證體系形成了有趣的對照。空海的密教法華詮釋表明，法華經在日本並非天台宗的「專屬經典」，而是一部能夠被不同宗派從各自立場詮釋的「開放性文本」。</w:t>
      </w:r>
    </w:p>
    <w:p>
      <w:pPr>
        <w:pStyle w:val="Heading4"/>
      </w:pPr>
      <w:r>
        <w:t>8.4.4 日蓮的激進化運動</w:t>
      </w:r>
    </w:p>
    <w:p>
      <w:r>
        <w:t>日蓮（1222-1282）是法華經在日本歷史上最具爭議性的詮釋者。日蓮出身比叡山（天台宗道場），但對天台宗的「本跡等觀」立場不滿，提出了更為激進的「本門中心主義」——壽量品是法華經的絕對核心，法華經是所有佛教經典的唯一真理。</w:t>
      </w:r>
    </w:p>
    <w:p>
      <w:r>
        <w:t>《開目抄》（1272）</w:t>
      </w:r>
      <w:r>
        <w:t>CSV #88] 闡述末法唯一正法論，提出「三大秘法」——本門的本尊（法華曼荼羅）、本門的題目（南無妙法蓮華經）、本門的戒壇。《觀心本尊抄》（1273）</w:t>
      </w:r>
      <w:r>
        <w:t>CSV #89] 進一步闡述本門教義——日蓮認為釋迦佛在壽量品中揭示的「久遠實成」不僅是歷史陳述，更是「觀心」的對象：每一個唱誦「南無妙法蓮華經」的眾生，都在當下與久遠的釋迦佛建立直接聯繫。</w:t>
      </w:r>
    </w:p>
    <w:p>
      <w:r>
        <w:t>日蓮的「四箇格言」——念佛無間、禪天魔、真言亡國、律國賊——以激烈的措辭否定了當時日本所有其他宗派的正當性，這使日蓮遭受了多次流放與迫害。Stone（1998, 1999）</w:t>
      </w:r>
      <w:r>
        <w:t>CSV #27-28] 的研究深入分析了日蓮如何將法華經從「宗教經典」轉化為「政治正當性論述」——日蓮不僅宣稱法華經是唯一真理，更主張國家必須以法華經為治國之本，否則將遭受天災人禍。Stone（2014）</w:t>
      </w:r>
      <w:r>
        <w:t xml:space="preserve">CSV #133] 進一步分析了蒙古入侵背景下日蓮的末法論述。釋昭慧 </w:t>
      </w:r>
      <w:r>
        <w:t xml:space="preserve">CSV #55] 從批判佛學角度分析日蓮的政治實踐。Anesaki </w:t>
      </w:r>
      <w:r>
        <w:t>CSV #132] 是西方學界最早的日蓮研究。</w:t>
      </w:r>
    </w:p>
    <w:p>
      <w:pPr>
        <w:pStyle w:val="Heading4"/>
      </w:pPr>
      <w:r>
        <w:t>8.4.5 法華經與日本國家認同</w:t>
      </w:r>
    </w:p>
    <w:p>
      <w:r>
        <w:t xml:space="preserve">法華經與日本國家認同的關係是一個貫穿日本歷史的主題。從聖德太子以法華經為國家意識形態基礎，到最澄以法華經為日本佛教的最高經典，再到日蓮以法華經為「立正安國」的政治綱領，法華經始終與日本的國家敘事緊密交織。Ketelaar </w:t>
      </w:r>
      <w:r>
        <w:t>CSV #154] 分析了明治維新時期法華信仰與日本國族主義的複雜關係——明治政府推行「神佛分離」政策，但法華經信仰因其與日本國家認同的深層聯繫而獲得了某種程度的豁免。</w:t>
      </w:r>
    </w:p>
    <w:p>
      <w:r>
        <w:t>現代日本的法華經影響主要通過在家佛教團體延續：創價學會（Soka Gakkai）是法華經信仰在現代社會的最大載體，Strand（2014）</w:t>
      </w:r>
      <w:r>
        <w:t xml:space="preserve">CSV #161] 分析了創價學會如何將日蓮的法華信仰轉化為一種現代社會運動。Deal &amp; Ruppert </w:t>
      </w:r>
      <w:r>
        <w:t>CSV #162] 分析了佛教與日本戰國政治的關係。Tanabe &amp; Tanabe（1989）</w:t>
      </w:r>
      <w:r>
        <w:t>CSV #9] 的跨學科論文集全面探討法華經在日本文化——文學、藝術、戲劇、政治——中的多維影響。</w:t>
      </w:r>
    </w:p>
    <w:p>
      <w:pPr>
        <w:pStyle w:val="Heading3"/>
      </w:pPr>
      <w:r>
        <w:t>8.5 韓國：從新羅到朝鮮的傳播脈絡</w:t>
      </w:r>
    </w:p>
    <w:p>
      <w:r>
        <w:t>法華經在韓國（朝鮮半島）的傳播經歷了三個主要的歷史階段，每一階段都呈現出獨特的文化適應模式。</w:t>
      </w:r>
    </w:p>
    <w:p>
      <w:pPr>
        <w:pStyle w:val="Heading4"/>
      </w:pPr>
      <w:r>
        <w:t>8.5.1 新羅時期（57 BC-935 AD）：法華信仰的傳入與紮根</w:t>
      </w:r>
    </w:p>
    <w:p>
      <w:r>
        <w:t>김상현（2008）</w:t>
      </w:r>
      <w:r>
        <w:t>CSV #72] 的研究考察了法華經信仰在新羅的傳播過程。法華經隨中國佛教傳入新羅，最初在宮廷與貴族階層中流通。新羅統一戰爭期間（660-676），法華經的「護國」功能被特別強調——法華經中觀世音菩薩的「聞聲救苦」信仰與新羅的軍事需求相結合，形成了獨特的「護國法華」信仰形態。新羅花郎（Hwarang）制度中也可見法華經信仰的影響——花郎的「事君以忠、事親以孝、交友以信」等倫理規範，與法華經常不輕菩薩品中的平等禮拜精神具有某種精神上的親緣性。</w:t>
      </w:r>
    </w:p>
    <w:p>
      <w:pPr>
        <w:pStyle w:val="Heading4"/>
      </w:pPr>
      <w:r>
        <w:t>8.5.2 高麗時期（918-1392）：法華經的藝術化與天台宗復興</w:t>
      </w:r>
    </w:p>
    <w:p>
      <w:r>
        <w:t>高麗時期是法華經在韓國歷史上最輝煌的時代。이승혜（2015）</w:t>
      </w:r>
      <w:r>
        <w:t>CSV #69] 研究的高麗時期法華經寫經藝術，是東亞佛教藝術的瑰寶——高麗寫經以其精美的書法、華麗的裝飾（金銀泥書寫、紺紙金字）、精緻的裝幀（卷軸裝、折帖裝）著稱，多件高麗法華經寫經被日本各寺院收藏，是東亞文化交流的實物見證。</w:t>
      </w:r>
    </w:p>
    <w:p>
      <w:r>
        <w:t>高麗天台宗的復興也是這一時期的重要事件。大覺國師義天（1055-1101）在宋朝學習天台教義後歸國，致力於在高麗重建天台宗。박용진（2012）</w:t>
      </w:r>
      <w:r>
        <w:t xml:space="preserve">CSV #68] 探討了韓國天台宗與法華信仰實踐的關係——高麗天台宗的修行體系以法華懺法為核心，每年定期舉行「法華會」，成為高麗佛教社會中最重要的宗教活動之一。김영태 </w:t>
      </w:r>
      <w:r>
        <w:t>CSV #140] 系統研究了法華經與高麗佛教的多維關聯。</w:t>
      </w:r>
    </w:p>
    <w:p>
      <w:pPr>
        <w:pStyle w:val="Heading4"/>
      </w:pPr>
      <w:r>
        <w:t>8.5.3 朝鮮時期（1392-1897）：儒教統治下的法華信仰存續</w:t>
      </w:r>
    </w:p>
    <w:p>
      <w:r>
        <w:t>朝鮮王朝推行「崇儒抑佛」政策，佛教整體上被邊緣化。然而，法華經信仰在民間層面依然頑強存續——寺院中的法華會活動、民間的法華經寫經與持誦、觀音信仰的持續流行——構成了法華經在制度性壓制下的「地下」傳承網絡。김영일（2005）</w:t>
      </w:r>
      <w:r>
        <w:t>CSV #67] 的研究系統分析了法華經思想與文化在朝鮮半島的持續影響，指出法華經的「一切眾生皆可成佛」思想在儒教的等級社會中具有隱性的平等主義訴求。菅野博史（2009）</w:t>
      </w:r>
      <w:r>
        <w:t>CSV #65] 的東亞三國法華經接受史比較研究，為韓國法華經傳播提供了比較框架。</w:t>
      </w:r>
    </w:p>
    <w:p>
      <w:pPr>
        <w:pStyle w:val="Heading3"/>
      </w:pPr>
      <w:r>
        <w:t>8.6 越南與東南亞</w:t>
      </w:r>
    </w:p>
    <w:p>
      <w:r>
        <w:t>阮才東（2015）</w:t>
      </w:r>
      <w:r>
        <w:t>CSV #141] 研究法華經在越南的傳播與影響。越南佛教深受中國禪宗與淨土宗影響，法華經在越南佛教中佔有重要地位——越南禪宗的修行體系中常以法華經為教理基礎，形成了「禪法華」的獨特傳統。Schober（2012）</w:t>
      </w:r>
      <w:r>
        <w:t>CSV #142] 分析法華經在東南亞的接受史。法華經在上座部佛教地區的傳播模式與東亞大不相同——在以上座部為主的緬甸、泰國等地，法華經作為大乘經典的影響力有限，但在越南（受中國佛教傳統影響較深），法華經仍佔有重要地位。</w:t>
      </w:r>
    </w:p>
    <w:p>
      <w:pPr>
        <w:pStyle w:val="Heading3"/>
      </w:pPr>
      <w:r>
        <w:t>8.7 敦煌藝術與物質文化</w:t>
      </w:r>
    </w:p>
    <w:p>
      <w:pPr>
        <w:pStyle w:val="Heading4"/>
      </w:pPr>
      <w:r>
        <w:t>8.7.1 敦煌石窟法華壁畫</w:t>
      </w:r>
    </w:p>
    <w:p>
      <w:r>
        <w:t>Wang（2015）</w:t>
      </w:r>
      <w:r>
        <w:t>CSV #137] 分析敦煌石窟法華壁畫的圖像學，揭示了法華經敘事如何被轉化為視覺藝術。敦煌法華壁畫的主要母題包括：</w:t>
      </w:r>
    </w:p>
    <w:p>
      <w:r>
        <w:rPr>
          <w:b/>
        </w:rPr>
        <w:t>「見寶塔品」場景</w:t>
      </w:r>
      <w:r>
        <w:t>。莫高窟第 217 窟（盛唐）的「二佛並坐」壁畫是最具代表性的作品之一。畫面中央描繪了多寶佛塔從地湧出、釋迦佛開塔入座與多寶佛並坐的壯觀場景。Wang 指出，這一壁畫的空間構圖借鑒了中國山水畫的透視傳統，將印度佛教的宇宙論空間轉化為中國繪畫的審美空間——寶塔的垂直性與圍繞觀者的環形構圖，使信眾在窟內獲得了「身臨其境」的宗教體驗。</w:t>
      </w:r>
    </w:p>
    <w:p>
      <w:r>
        <w:rPr>
          <w:b/>
        </w:rPr>
        <w:t>「法華變相圖」</w:t>
      </w:r>
      <w:r>
        <w:t>。莫高窟多個石窟（第 23 窟、第 31 窟、第 217 窟等）繪有大型「法華經變相圖」，將法華經的多個品章——譬喻品（火宅喻）、信解品（窮子喻）、藥草喻品、化城喻品、普門品（觀音救難）——整合為一幅連續敘事壁畫。這種「經變」藝術形式是中國佛教藝術的獨特發明，將線性敘事的經文轉化為空間性的圖像敘事，使不識字的信眾也能「讀懂」法華經。</w:t>
      </w:r>
    </w:p>
    <w:p>
      <w:r>
        <w:rPr>
          <w:b/>
        </w:rPr>
        <w:t>「普門品」造像</w:t>
      </w:r>
      <w:r>
        <w:t>。觀世音菩薩的各種應化身造像遍布敦煌石窟，反映了普門品在民間信仰中的壓倒性影響。McNair（2007）</w:t>
      </w:r>
      <w:r>
        <w:t>CSV #156] 分析五世紀中國法華經圖像的藝術史，追溯了最早的法華經造像如何從簡單的「供養圖」發展為複雜的「敘事圖」。</w:t>
      </w:r>
    </w:p>
    <w:p>
      <w:pPr>
        <w:pStyle w:val="Heading4"/>
      </w:pPr>
      <w:r>
        <w:t>8.7.2 四川地區石刻造像</w:t>
      </w:r>
    </w:p>
    <w:p>
      <w:r>
        <w:t>賀世哲（2005）</w:t>
      </w:r>
      <w:r>
        <w:t>CSV #138] 研究四川地區法華經石刻造像，揭示了法華經信仰在中國西南地區的物質表現。四川地區的法華經造像以石刻為主（而非壁畫），其題材集中於「二佛並坐」「觀音救難」兩大母題。四川造像的風格與敦煌壁畫有所不同——四川造像更強調人物的立體感與世俗化的面容表現，反映了法華經信仰從宗教神聖性向民間親和性的轉化。</w:t>
      </w:r>
    </w:p>
    <w:p>
      <w:pPr>
        <w:pStyle w:val="Heading4"/>
      </w:pPr>
      <w:r>
        <w:t>8.7.3 六朝至唐代的造像藝術</w:t>
      </w:r>
    </w:p>
    <w:p>
      <w:r>
        <w:t xml:space="preserve">顏娟英 </w:t>
      </w:r>
      <w:r>
        <w:t xml:space="preserve">CSV #54] 的研究系統分析了六朝法華經造像的圖像學特徵。李玉珉 </w:t>
      </w:r>
      <w:r>
        <w:t xml:space="preserve">CSV #155] 的《法華經藝術》是法華經相關佛教藝術作品的系統性研究，涵蓋了從六朝到宋代的造像、壁畫、經卷裝飾等多種藝術形式。Sharf </w:t>
      </w:r>
      <w:r>
        <w:t>CSV #139] 探討了五台山文殊信仰與法華經的交織——法華經序品中文殊菩薩的核心角色（作為法會的引導者與法華經前世因緣的講述者），與五台山作為文殊菩薩道場的信仰傳統形成了互相強化的關係。</w:t>
      </w:r>
    </w:p>
    <w:p>
      <w:r>
        <w:t>Wright（1959）</w:t>
      </w:r>
      <w:r>
        <w:t>CSV #152] 的佛教中國化經典研究為理解法華經在中國的本土化提供了理論框架。法華經文化研究所（2019）</w:t>
      </w:r>
      <w:r>
        <w:t>CSV #157] 的國際學術研討會論文集展現了法華經傳播研究的最新成果。法華經信仰催生了從六朝造像到敦煌壁畫、從高麗寫經到日本曼荼羅的獨立藝術傳統。</w:t>
      </w:r>
    </w:p>
    <w:p>
      <w:pPr>
        <w:pStyle w:val="Heading3"/>
      </w:pPr>
      <w:r>
        <w:t>8.8 傳播理論分析</w:t>
      </w:r>
    </w:p>
    <w:p>
      <w:r>
        <w:t>法華經跨越印度、中亞、中國、日本、韓國、越南等多元文化圈的傳播歷程，為文化傳播學提供了一個極為豐富的案例。以下從文化傳播學角度，分析法華經跨文化傳播中呈現的三種主要模式。</w:t>
      </w:r>
    </w:p>
    <w:p>
      <w:pPr>
        <w:pStyle w:val="Heading4"/>
      </w:pPr>
      <w:r>
        <w:t>8.8.1 本土化（Indigenization）</w:t>
      </w:r>
    </w:p>
    <w:p>
      <w:r>
        <w:t>「本土化」是指外來文化要素在進入新文化環境後，被改造為適合本地文化脈絡的形態，最終成為「本地文化」的有機組成部分。法華經的本土化在每一個接受文化中都有不同的表現。</w:t>
      </w:r>
    </w:p>
    <w:p>
      <w:r>
        <w:t xml:space="preserve">在中國，法華經的本土化最顯著的表現是「觀音信仰的中國化」。于君方 </w:t>
      </w:r>
      <w:r>
        <w:t>CSV #158-159] 的研究揭示了觀世音菩薩如何從一位印度男性菩薩轉變為中國民間信仰中最受崇敬的女性神聖存在——性別的轉化、功能的擴展（從「聞聲救苦」擴展到「送子」「保航海」等）、形象的世俗化（從莊嚴的菩薩像轉變為慈祥的「觀音娘娘」），構成了一個完整的本土化過程。Wright（1959）</w:t>
      </w:r>
      <w:r>
        <w:t>CSV #152] 的「佛教中國化」框架為理解這一過程提供了理論基礎。</w:t>
      </w:r>
    </w:p>
    <w:p>
      <w:r>
        <w:t>在日本，法華經的本土化表現為與日本國家認同的深度融合。聖德太子以法華經為國家治理的意識形態基礎，最澄以法華經為日本佛教的最高經典，日蓮以法華經為「立正安國」的政治綱領——法華經在日本從未僅僅是一部「外來宗教經典」，而始終是日本「自我認同」的組成部分。Stone（1999）</w:t>
      </w:r>
      <w:r>
        <w:t>CSV #28] 的「本覺思想」研究揭示了法華經如何與日本本土的「本覺」觀念融合，形成了一種獨特的「日本法華經」思想傳統。</w:t>
      </w:r>
    </w:p>
    <w:p>
      <w:pPr>
        <w:pStyle w:val="Heading4"/>
      </w:pPr>
      <w:r>
        <w:t>8.8.2 涵化（Acculturation）</w:t>
      </w:r>
    </w:p>
    <w:p>
      <w:r>
        <w:t>「涵化」是指兩種文化在持續接觸中相互影響、相互改變的過程。與「本土化」不同，涵化強調的是雙向的文化交流，而非單向的「被改造」。</w:t>
      </w:r>
    </w:p>
    <w:p>
      <w:r>
        <w:t>法華經的東傳不是一個單向的「文化出口」過程，而是一個涉及多種文化的複雜涵化過程。Park（2012）</w:t>
      </w:r>
      <w:r>
        <w:t xml:space="preserve">CSV #150] 以「佛教如何在東傳中獲得靈魂」為題，探討教義在跨文化傳播中的雙向轉化機制——法華經在進入中國文化時不僅被中國文化所改造，同時也改造了中國文化。鳩摩羅什的翻譯策略就是涵化的典型案例：他不僅將梵文經典轉化為漢語表達，更在翻譯過程中融入了道家哲學的概念框架（如以「實相」對應 </w:t>
      </w:r>
      <w:r>
        <w:rPr>
          <w:i/>
        </w:rPr>
        <w:t>dharmatā</w:t>
      </w:r>
      <w:r>
        <w:t>），創造了一種「既非印度也非中國、但同時屬於兩者」的新文化形態。</w:t>
      </w:r>
    </w:p>
    <w:p>
      <w:r>
        <w:t xml:space="preserve">在韓國，法華經與新羅的花郎制度、高麗的寫經藝術、朝鮮的民間信仰之間的互動，同樣呈現出涵化的特徵——法華經被韓國文化所吸收，但也對韓國的宗教實踐、藝術審美和社會倫理產生了深刻影響 </w:t>
      </w:r>
      <w:r>
        <w:t>CSV #67, 68, 72]。菅野博史（2009）</w:t>
      </w:r>
      <w:r>
        <w:t>CSV #65] 的東亞三國比較研究特別適合揭示涵化過程中的文化差異——同一部法華經在中國、日本、韓國三種不同的文化環境中經歷了不同形式的涵化，最終形成了三種各具特色的法華經傳統。</w:t>
      </w:r>
    </w:p>
    <w:p>
      <w:pPr>
        <w:pStyle w:val="Heading4"/>
      </w:pPr>
      <w:r>
        <w:t>8.8.3 創造性轉化（Creative Transformation）</w:t>
      </w:r>
    </w:p>
    <w:p>
      <w:r>
        <w:t>「創造性轉化」是指文化要素在跨文化傳播過程中不僅被被動地「接受」或「改造」，而是被主動地「再創造」，產生出原始文化中所沒有的全新文化形態。</w:t>
      </w:r>
    </w:p>
    <w:p>
      <w:r>
        <w:t xml:space="preserve">法華經跨文化傳播中最顯著的「創造性轉化」案例是天台宗的建立。智顗以法華經為基礎建立的天台宗 </w:t>
      </w:r>
      <w:r>
        <w:t xml:space="preserve">CSV #73-75]，是一個在印度佛教中不存在的全新宗派——印度佛教沒有以法華經為核心的宗派，法華經在印度只是眾多大乘經典之一。天台宗的判教體系（五時八教）、哲學建構（一念三千）、修行法門（止觀雙修）、以及法華經在整個佛教中的「經中之王」地位，都是中國佛教界「創造性轉化」的產物。潘桂明/吳忠偉 </w:t>
      </w:r>
      <w:r>
        <w:t>CSV #131] 的天台宗通史追溯了這一創造性轉化的歷史過程。</w:t>
      </w:r>
    </w:p>
    <w:p>
      <w:r>
        <w:t xml:space="preserve">日蓮宗同樣是「創造性轉化」的產物——日蓮將法華經從一部需要學習和理解的經典，轉化為一個只需唱誦題目（「南無妙法蓮華經」）就能獲得救度的信仰體系 </w:t>
      </w:r>
      <w:r>
        <w:t xml:space="preserve">CSV #88-89]。這一轉化在法華經的原始語境中是不可想像的——梵文原典中不存在「唱題」的概念，題目信仰完全是日蓮的「再創造」。從創價學會 </w:t>
      </w:r>
      <w:r>
        <w:t>CSV #161] 將日蓮的法華信仰進一步轉化為一種現代社會運動，則是創造性轉化的最新案例。</w:t>
      </w:r>
    </w:p>
    <w:p>
      <w:pPr>
        <w:pStyle w:val="Heading4"/>
      </w:pPr>
      <w:r>
        <w:t>8.8.4 三種模式的互動與啟示</w:t>
      </w:r>
    </w:p>
    <w:p>
      <w:r>
        <w:t>法華經跨文化傳播的實際過程中，本土化、涵化與創造性轉化三種模式往往同時發生、相互交織。以鳩摩羅什的翻譯為例：術語的漢化（如「妙法蓮華」）是本土化；翻譯過程中印度佛教與中國文化的雙向影響是涵化；「諸法實相」這一超越梵文原義的新概念之誕生是創造性轉化。三種模式的共同作用，使法華經從一部印度佛教經典發展為東亞文明圈的共同文化遺產。</w:t>
      </w:r>
    </w:p>
    <w:p>
      <w:r>
        <w:t>法華經的傳播史對文化傳播學的理論貢獻在於：它表明宗教經典的跨文化傳播不是一個「信息衰減」的過程（如同物理學的熵增），而是一個「意義增生」的過程——法華經在每一個新的文化環境中都獲得了新的意義層次，其「可解釋性」（interpretability）與「可適應性」（adaptability）不僅沒有在傳播過程中減弱，反而在與不同文化的互動中不斷增強。法華經文化研究所（2019）</w:t>
      </w:r>
      <w:r>
        <w:t>CSV #157] 的國際學術研討會論文集從多學科角度展現了這一「意義增生」過程的最新研究成果。</w:t>
      </w:r>
    </w:p>
    <w:p>
      <w:pPr>
        <w:spacing w:before="240" w:after="240"/>
      </w:pPr>
      <w:r>
        <w:rPr>
          <w:color w:val="CCCCCC"/>
          <w:sz w:val="16"/>
        </w:rPr>
        <w:t>────────────────────────────────────────────────────────────</w:t>
      </w:r>
    </w:p>
    <w:p>
      <w:pPr>
        <w:pStyle w:val="Heading2"/>
      </w:pPr>
      <w:r>
        <w:t>第九章　延伸研究專題</w:t>
      </w:r>
    </w:p>
    <w:p>
      <w:pPr>
        <w:pStyle w:val="Heading3"/>
      </w:pPr>
      <w:r>
        <w:t>9.1 法華經 7 品專題研究（補完計畫）</w:t>
      </w:r>
    </w:p>
    <w:p>
      <w:r>
        <w:t>知識庫目前已完成 21/28 品的深度義理研究，尚待研究的 7 品列表如下：</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品名</w:t>
            </w:r>
          </w:p>
        </w:tc>
        <w:tc>
          <w:tcPr>
            <w:tcW w:type="dxa" w:w="1234"/>
          </w:tcPr>
          <w:p>
            <w:r>
              <w:rPr>
                <w:b/>
              </w:rPr>
              <w:t>品次</w:t>
            </w:r>
          </w:p>
        </w:tc>
        <w:tc>
          <w:tcPr>
            <w:tcW w:type="dxa" w:w="1234"/>
          </w:tcPr>
          <w:p>
            <w:r>
              <w:rPr>
                <w:b/>
              </w:rPr>
              <w:t>核心研究問題</w:t>
            </w:r>
          </w:p>
        </w:tc>
        <w:tc>
          <w:tcPr>
            <w:tcW w:type="dxa" w:w="1234"/>
          </w:tcPr>
          <w:p>
            <w:r>
              <w:rPr>
                <w:b/>
              </w:rPr>
              <w:t>優先級</w:t>
            </w:r>
          </w:p>
        </w:tc>
        <w:tc>
          <w:tcPr>
            <w:tcW w:type="dxa" w:w="1234"/>
          </w:tcPr>
          <w:p>
            <w:r>
              <w:rPr>
                <w:b/>
              </w:rPr>
              <w:t>預計資料來源</w:t>
            </w:r>
          </w:p>
        </w:tc>
        <w:tc>
          <w:tcPr>
            <w:tcW w:type="dxa" w:w="1234"/>
          </w:tcPr>
          <w:p>
            <w:r>
              <w:rPr>
                <w:b/>
              </w:rPr>
              <w:t>預期產出</w:t>
            </w:r>
          </w:p>
        </w:tc>
        <w:tc>
          <w:tcPr>
            <w:tcW w:type="dxa" w:w="1234"/>
          </w:tcPr>
          <w:p>
            <w:r>
              <w:rPr>
                <w:b/>
              </w:rPr>
              <w:t>時間表</w:t>
            </w:r>
          </w:p>
        </w:tc>
      </w:tr>
      <w:tr>
        <w:tc>
          <w:tcPr>
            <w:tcW w:type="dxa" w:w="1234"/>
          </w:tcPr>
          <w:p>
            <w:r>
              <w:t>序品</w:t>
            </w:r>
          </w:p>
        </w:tc>
        <w:tc>
          <w:tcPr>
            <w:tcW w:type="dxa" w:w="1234"/>
          </w:tcPr>
          <w:p>
            <w:r>
              <w:t>第一</w:t>
            </w:r>
          </w:p>
        </w:tc>
        <w:tc>
          <w:tcPr>
            <w:tcW w:type="dxa" w:w="1234"/>
          </w:tcPr>
          <w:p>
            <w:r>
              <w:t>六種瑞相如何為全經奠基？文殊-彌勒問答的敘事功能？</w:t>
            </w:r>
          </w:p>
        </w:tc>
        <w:tc>
          <w:tcPr>
            <w:tcW w:type="dxa" w:w="1234"/>
          </w:tcPr>
          <w:p>
            <w:r>
              <w:t>P0</w:t>
            </w:r>
          </w:p>
        </w:tc>
        <w:tc>
          <w:tcPr>
            <w:tcW w:type="dxa" w:w="1234"/>
          </w:tcPr>
          <w:p>
            <w:r>
              <w:t>[CSV #8, 17, 73-74]</w:t>
            </w:r>
          </w:p>
        </w:tc>
        <w:tc>
          <w:tcPr>
            <w:tcW w:type="dxa" w:w="1234"/>
          </w:tcPr>
          <w:p>
            <w:r>
              <w:t>KB 筆記 + 經品架構圖</w:t>
            </w:r>
          </w:p>
        </w:tc>
        <w:tc>
          <w:tcPr>
            <w:tcW w:type="dxa" w:w="1234"/>
          </w:tcPr>
          <w:p>
            <w:r>
              <w:t>第 1-2 週</w:t>
            </w:r>
          </w:p>
        </w:tc>
      </w:tr>
      <w:tr>
        <w:tc>
          <w:tcPr>
            <w:tcW w:type="dxa" w:w="1234"/>
          </w:tcPr>
          <w:p>
            <w:r>
              <w:t>隨喜功德品</w:t>
            </w:r>
          </w:p>
        </w:tc>
        <w:tc>
          <w:tcPr>
            <w:tcW w:type="dxa" w:w="1234"/>
          </w:tcPr>
          <w:p>
            <w:r>
              <w:t>第十八</w:t>
            </w:r>
          </w:p>
        </w:tc>
        <w:tc>
          <w:tcPr>
            <w:tcW w:type="dxa" w:w="1234"/>
          </w:tcPr>
          <w:p>
            <w:r>
              <w:t>五十展轉功德的量化邏輯？功德迴向的宗派差異？</w:t>
            </w:r>
          </w:p>
        </w:tc>
        <w:tc>
          <w:tcPr>
            <w:tcW w:type="dxa" w:w="1234"/>
          </w:tcPr>
          <w:p>
            <w:r>
              <w:t>P0</w:t>
            </w:r>
          </w:p>
        </w:tc>
        <w:tc>
          <w:tcPr>
            <w:tcW w:type="dxa" w:w="1234"/>
          </w:tcPr>
          <w:p>
            <w:r>
              <w:t>[CSV #38, 73, 97]</w:t>
            </w:r>
          </w:p>
        </w:tc>
        <w:tc>
          <w:tcPr>
            <w:tcW w:type="dxa" w:w="1234"/>
          </w:tcPr>
          <w:p>
            <w:r>
              <w:t>KB 筆記 + 功德觀比較表</w:t>
            </w:r>
          </w:p>
        </w:tc>
        <w:tc>
          <w:tcPr>
            <w:tcW w:type="dxa" w:w="1234"/>
          </w:tcPr>
          <w:p>
            <w:r>
              <w:t>第 3-4 週</w:t>
            </w:r>
          </w:p>
        </w:tc>
      </w:tr>
      <w:tr>
        <w:tc>
          <w:tcPr>
            <w:tcW w:type="dxa" w:w="1234"/>
          </w:tcPr>
          <w:p>
            <w:r>
              <w:t>法師功德品</w:t>
            </w:r>
          </w:p>
        </w:tc>
        <w:tc>
          <w:tcPr>
            <w:tcW w:type="dxa" w:w="1234"/>
          </w:tcPr>
          <w:p>
            <w:r>
              <w:t>第十九</w:t>
            </w:r>
          </w:p>
        </w:tc>
        <w:tc>
          <w:tcPr>
            <w:tcW w:type="dxa" w:w="1234"/>
          </w:tcPr>
          <w:p>
            <w:r>
              <w:t>六根清淨八百功德與楞嚴六根互用的關聯？</w:t>
            </w:r>
          </w:p>
        </w:tc>
        <w:tc>
          <w:tcPr>
            <w:tcW w:type="dxa" w:w="1234"/>
          </w:tcPr>
          <w:p>
            <w:r>
              <w:t>P0</w:t>
            </w:r>
          </w:p>
        </w:tc>
        <w:tc>
          <w:tcPr>
            <w:tcW w:type="dxa" w:w="1234"/>
          </w:tcPr>
          <w:p>
            <w:r>
              <w:t>[CSV #73, 75, 110]</w:t>
            </w:r>
          </w:p>
        </w:tc>
        <w:tc>
          <w:tcPr>
            <w:tcW w:type="dxa" w:w="1234"/>
          </w:tcPr>
          <w:p>
            <w:r>
              <w:t>KB 筆記 + 跨經對照表</w:t>
            </w:r>
          </w:p>
        </w:tc>
        <w:tc>
          <w:tcPr>
            <w:tcW w:type="dxa" w:w="1234"/>
          </w:tcPr>
          <w:p>
            <w:r>
              <w:t>第 5-6 週</w:t>
            </w:r>
          </w:p>
        </w:tc>
      </w:tr>
      <w:tr>
        <w:tc>
          <w:tcPr>
            <w:tcW w:type="dxa" w:w="1234"/>
          </w:tcPr>
          <w:p>
            <w:r>
              <w:t>授學無學人記品</w:t>
            </w:r>
          </w:p>
        </w:tc>
        <w:tc>
          <w:tcPr>
            <w:tcW w:type="dxa" w:w="1234"/>
          </w:tcPr>
          <w:p>
            <w:r>
              <w:t>第九</w:t>
            </w:r>
          </w:p>
        </w:tc>
        <w:tc>
          <w:tcPr>
            <w:tcW w:type="dxa" w:w="1234"/>
          </w:tcPr>
          <w:p>
            <w:r>
              <w:t>阿難/羅睺羅授記的特殊意義？與其他授記品的結構關係？</w:t>
            </w:r>
          </w:p>
        </w:tc>
        <w:tc>
          <w:tcPr>
            <w:tcW w:type="dxa" w:w="1234"/>
          </w:tcPr>
          <w:p>
            <w:r>
              <w:t>P1</w:t>
            </w:r>
          </w:p>
        </w:tc>
        <w:tc>
          <w:tcPr>
            <w:tcW w:type="dxa" w:w="1234"/>
          </w:tcPr>
          <w:p>
            <w:r>
              <w:t>[CSV #8, 73]</w:t>
            </w:r>
          </w:p>
        </w:tc>
        <w:tc>
          <w:tcPr>
            <w:tcW w:type="dxa" w:w="1234"/>
          </w:tcPr>
          <w:p>
            <w:r>
              <w:t>KB 筆記</w:t>
            </w:r>
          </w:p>
        </w:tc>
        <w:tc>
          <w:tcPr>
            <w:tcW w:type="dxa" w:w="1234"/>
          </w:tcPr>
          <w:p>
            <w:r>
              <w:t>第 7-8 週</w:t>
            </w:r>
          </w:p>
        </w:tc>
      </w:tr>
      <w:tr>
        <w:tc>
          <w:tcPr>
            <w:tcW w:type="dxa" w:w="1234"/>
          </w:tcPr>
          <w:p>
            <w:r>
              <w:t>囑累品</w:t>
            </w:r>
          </w:p>
        </w:tc>
        <w:tc>
          <w:tcPr>
            <w:tcW w:type="dxa" w:w="1234"/>
          </w:tcPr>
          <w:p>
            <w:r>
              <w:t>第二十二</w:t>
            </w:r>
          </w:p>
        </w:tc>
        <w:tc>
          <w:tcPr>
            <w:tcW w:type="dxa" w:w="1234"/>
          </w:tcPr>
          <w:p>
            <w:r>
              <w:t>迹門囑累與本門神力囑累的差異？經典傳承的宗教社會學意涵？</w:t>
            </w:r>
          </w:p>
        </w:tc>
        <w:tc>
          <w:tcPr>
            <w:tcW w:type="dxa" w:w="1234"/>
          </w:tcPr>
          <w:p>
            <w:r>
              <w:t>P1</w:t>
            </w:r>
          </w:p>
        </w:tc>
        <w:tc>
          <w:tcPr>
            <w:tcW w:type="dxa" w:w="1234"/>
          </w:tcPr>
          <w:p>
            <w:r>
              <w:t>[CSV #73-74, 88]</w:t>
            </w:r>
          </w:p>
        </w:tc>
        <w:tc>
          <w:tcPr>
            <w:tcW w:type="dxa" w:w="1234"/>
          </w:tcPr>
          <w:p>
            <w:r>
              <w:t>KB 筆記</w:t>
            </w:r>
          </w:p>
        </w:tc>
        <w:tc>
          <w:tcPr>
            <w:tcW w:type="dxa" w:w="1234"/>
          </w:tcPr>
          <w:p>
            <w:r>
              <w:t>第 9-10 週</w:t>
            </w:r>
          </w:p>
        </w:tc>
      </w:tr>
      <w:tr>
        <w:tc>
          <w:tcPr>
            <w:tcW w:type="dxa" w:w="1234"/>
          </w:tcPr>
          <w:p>
            <w:r>
              <w:t>陀羅尼品</w:t>
            </w:r>
          </w:p>
        </w:tc>
        <w:tc>
          <w:tcPr>
            <w:tcW w:type="dxa" w:w="1234"/>
          </w:tcPr>
          <w:p>
            <w:r>
              <w:t>第二十六</w:t>
            </w:r>
          </w:p>
        </w:tc>
        <w:tc>
          <w:tcPr>
            <w:tcW w:type="dxa" w:w="1234"/>
          </w:tcPr>
          <w:p>
            <w:r>
              <w:t>五組陀羅尼的護持功能？密教元素在大乘經典中的定位？</w:t>
            </w:r>
          </w:p>
        </w:tc>
        <w:tc>
          <w:tcPr>
            <w:tcW w:type="dxa" w:w="1234"/>
          </w:tcPr>
          <w:p>
            <w:r>
              <w:t>P1</w:t>
            </w:r>
          </w:p>
        </w:tc>
        <w:tc>
          <w:tcPr>
            <w:tcW w:type="dxa" w:w="1234"/>
          </w:tcPr>
          <w:p>
            <w:r>
              <w:t>[CSV #87, 73]</w:t>
            </w:r>
          </w:p>
        </w:tc>
        <w:tc>
          <w:tcPr>
            <w:tcW w:type="dxa" w:w="1234"/>
          </w:tcPr>
          <w:p>
            <w:r>
              <w:t>KB 筆記 + 密教關聯分析</w:t>
            </w:r>
          </w:p>
        </w:tc>
        <w:tc>
          <w:tcPr>
            <w:tcW w:type="dxa" w:w="1234"/>
          </w:tcPr>
          <w:p>
            <w:r>
              <w:t>第 11-12 週</w:t>
            </w:r>
          </w:p>
        </w:tc>
      </w:tr>
      <w:tr>
        <w:tc>
          <w:tcPr>
            <w:tcW w:type="dxa" w:w="1234"/>
          </w:tcPr>
          <w:p>
            <w:r>
              <w:t>妙莊嚴王本事品</w:t>
            </w:r>
          </w:p>
        </w:tc>
        <w:tc>
          <w:tcPr>
            <w:tcW w:type="dxa" w:w="1234"/>
          </w:tcPr>
          <w:p>
            <w:r>
              <w:t>第二十七</w:t>
            </w:r>
          </w:p>
        </w:tc>
        <w:tc>
          <w:tcPr>
            <w:tcW w:type="dxa" w:w="1234"/>
          </w:tcPr>
          <w:p>
            <w:r>
              <w:t>二子化父與在家修行的教化模式？</w:t>
            </w:r>
          </w:p>
        </w:tc>
        <w:tc>
          <w:tcPr>
            <w:tcW w:type="dxa" w:w="1234"/>
          </w:tcPr>
          <w:p>
            <w:r>
              <w:t>P2</w:t>
            </w:r>
          </w:p>
        </w:tc>
        <w:tc>
          <w:tcPr>
            <w:tcW w:type="dxa" w:w="1234"/>
          </w:tcPr>
          <w:p>
            <w:r>
              <w:t>[CSV #73, 97]</w:t>
            </w:r>
          </w:p>
        </w:tc>
        <w:tc>
          <w:tcPr>
            <w:tcW w:type="dxa" w:w="1234"/>
          </w:tcPr>
          <w:p>
            <w:r>
              <w:t>KB 筆記</w:t>
            </w:r>
          </w:p>
        </w:tc>
        <w:tc>
          <w:tcPr>
            <w:tcW w:type="dxa" w:w="1234"/>
          </w:tcPr>
          <w:p>
            <w:r>
              <w:t>第 13-14 週</w:t>
            </w:r>
          </w:p>
        </w:tc>
      </w:tr>
    </w:tbl>
    <w:p/>
    <w:p>
      <w:r>
        <w:rPr>
          <w:b/>
        </w:rPr>
        <w:t>P0 三品的具體研究計畫</w:t>
      </w:r>
      <w:r>
        <w:t>：</w:t>
      </w:r>
    </w:p>
    <w:p>
      <w:r>
        <w:rPr>
          <w:b/>
        </w:rPr>
        <w:t>序品研究計畫</w:t>
      </w:r>
      <w:r>
        <w:t xml:space="preserve">：（1）研究問題——序品如何通過六種瑞相（放光、地動、雨花、眾集、說法、歎佛）為全經奠基？文殊菩薩引述日月燈明佛故事的「經中之經」敘事結構有何文獻學意義？（2）資料來源——Teiser &amp; Stone </w:t>
      </w:r>
      <w:r>
        <w:t>CSV #8, 17] 中關於序品的跨學科詮釋、智顗《法華文句》</w:t>
      </w:r>
      <w:r>
        <w:t xml:space="preserve">CSV #73] 的逐句釋義、辛嶋靜志 </w:t>
      </w:r>
      <w:r>
        <w:t xml:space="preserve">CSV #11] 對序品成書年代（第三層）的語言學證據。（3）預期產出——KB 筆記一篇（包含核心命題、關鍵概念、修行指引三層結構），經品架構圖一張（六種瑞相與敘事結構的視覺化呈現）。（4）方法論說明——本品研究採用「敘事結構分析法」（narrative structure analysis）與「文獻層次比對法」（textual stratification comparison）雙軌並進。敘事結構分析法聚焦於序品作為全經「敘事框架」的功能——六種瑞相如何建構一個從宇宙論事件到教義宣說的遞進序列；文獻層次比對法則依據辛嶋靜志 </w:t>
      </w:r>
      <w:r>
        <w:t xml:space="preserve">CSV #11] 的三層成書理論，將序品定位於第三層（約西元 100 年），探討其作為「後設經文」（meta-text）的特殊性質。此外，將運用蕭麗華 </w:t>
      </w:r>
      <w:r>
        <w:t xml:space="preserve">CSV #40-41] 的文學分析方法，考察序品中文殊-彌勒問答的敘事張力——這一問答模式在大乘經典中具有「引發疑情」的程式化功能，但法華序品通過引入日月燈明佛的「前世故事」（jātaka-like narrative），創造了一個獨特的「經中之經」結構，使序品同時承載了「經典正當性論述」與「教義預告」的雙重功能 </w:t>
      </w:r>
      <w:r>
        <w:t xml:space="preserve">CSV #27]（Stone, 1998）。（5）預期困難與對策——序品研究面臨兩個主要困難：其一，六種瑞相的描述在梵文不同寫本間存在細微差異 </w:t>
      </w:r>
      <w:r>
        <w:t xml:space="preserve">CSV #13, 16]，尤其吉爾吉特寫本與尼泊爾傳本在「放光」範圍的記載有出入，需要參照辛嶋靜志校訂計畫的最新成果進行比對；其二，文殊引述日月燈明佛故事的段落被部分學者視為後期增補 </w:t>
      </w:r>
      <w:r>
        <w:t xml:space="preserve">CSV #63]（布施浩岳, 1934），這一年代學爭議將影響對序品敘事功能的整體評估。對策為：首先完成梵漢藏三語比對以確認文本差異的實際範圍，再依據 Lamotte </w:t>
      </w:r>
      <w:r>
        <w:t xml:space="preserve">CSV #147] 與印順法師 </w:t>
      </w:r>
      <w:r>
        <w:t xml:space="preserve">CSV #146] 的成書史框架進行年代定位，最後以「功能分析優先於年代判定」的原則處理爭議——即便增補成分確實存在，其敘事功能的分析仍然具有獨立的學術價值。（6）與已完成品的關聯分析——序品作為全經開端，與已完成研究的 21 品均存在結構性關聯。最直接的關聯有三：與方便品（第二品）的銜接——序品六瑞奠定的「驚異」氛圍如何過渡到方便品「諸法實相」的義理宣說；與見寶塔品（第十一品）的遙相呼應——序品的「放光」瑞相與見寶塔品多寶佛塔出現時的「大光明」在宇宙論意象上形成首尾呼應 </w:t>
      </w:r>
      <w:r>
        <w:t xml:space="preserve">CSV #49]（林鎮國, 2007）；與如來壽量品（第十六品）的深層對應——序品日月燈明佛的「久遠」敘事預示了壽量品「久遠實成」的核心教說 </w:t>
      </w:r>
      <w:r>
        <w:t>CSV #44]（釋恒清, 2004）。</w:t>
      </w:r>
    </w:p>
    <w:p>
      <w:r>
        <w:rPr>
          <w:b/>
        </w:rPr>
        <w:t>隨喜功德品研究計畫</w:t>
      </w:r>
      <w:r>
        <w:t xml:space="preserve">：（1）研究問題——「五十展轉」功德傳播模型是否具有數學結構？此功德量化邏輯與其他大乘經典（如《華嚴經》的功德觀）有何異同？（2）資料來源——黃國清 </w:t>
      </w:r>
      <w:r>
        <w:t>CSV #38] 的宗教實踐分析、智顗《法華文句》</w:t>
      </w:r>
      <w:r>
        <w:t xml:space="preserve">CSV #73]、聖嚴法師 </w:t>
      </w:r>
      <w:r>
        <w:t xml:space="preserve">CSV #97] 的實踐視角。（3）預期產出——KB 筆記一篇 + 功德觀比較表（法華 vs 華嚴 vs 般若）。（4）方法論說明——本品研究採用「量化概念分析法」（quantitative concept analysis）與「跨經比較法」（cross-sūtra comparison）。量化概念分析法聚焦於「五十展轉」模型的內部邏輯——從第一人聞法隨喜，到第五十人輾轉聞法隨喜，功德「不減反增」的悖論性宣稱如何在佛教功德論的框架內獲得合理性。此模型與般若經系統中「迴向功德」的概念密切相關，但法華經的獨特性在於將功德傳播描述為一種指數級擴散的「網絡效應」。跨經比較法則系統對照《華嚴經》「普賢行願品」的功德觀——華嚴的功德觀強調「事事無礙」的圓融互攝，法華的功德觀強調「展轉相傳」的線性擴散 </w:t>
      </w:r>
      <w:r>
        <w:t xml:space="preserve">CSV #52]（黃國清, 2012），二者分別代表了大乘功德論的「同時性」與「歷時性」模式。（5）預期困難與對策——最大困難在於「五十展轉」的梵文原典措辭在不同寫本中存在差異，部分學者質疑「五十」是否為確切數字抑或泛指極多 </w:t>
      </w:r>
      <w:r>
        <w:t xml:space="preserve">CSV #14]。對策為：以林光明 </w:t>
      </w:r>
      <w:r>
        <w:t xml:space="preserve">CSV #50] 的梵漢對照本確認梵文原文，並比對鳩摩羅什與竺法護的漢譯差異，從翻譯學角度判定數字的確定性。此外，功德的「量化」表述在現代讀者看來似乎過於機械，需要參照太虛大師 </w:t>
      </w:r>
      <w:r>
        <w:t xml:space="preserve">CSV #90] 與聖嚴法師 </w:t>
      </w:r>
      <w:r>
        <w:t xml:space="preserve">CSV #97] 的現代詮釋，說明其象徵性含義。（6）與已完成品的關聯分析——隨喜功德品與已完成的常不輕菩薩品（第二十品）構成一組「功德實踐」的連續論述——前者從「聞法隨喜」的角度論功德，後者從「禮拜行」的角度論功德 </w:t>
      </w:r>
      <w:r>
        <w:t>CSV #38]。此外，與分別功德品（第十七品）存在直接的文本銜接——分別功德品界定信解壽量品的功德等級，隨喜功德品則將此功德向更廣泛的「聞法者」延伸，二者共同構成本門流通分中「功德論」的核心段落。</w:t>
      </w:r>
    </w:p>
    <w:p>
      <w:r>
        <w:rPr>
          <w:b/>
        </w:rPr>
        <w:t>法師功德品研究計畫</w:t>
      </w:r>
      <w:r>
        <w:t>：（1）研究問題——六根清淨各得八百功德的教義結構如何與楞嚴經「六根互用」（一根返源、六根解脫）相呼應？二者是否共享如來藏佛性論的哲學基礎？（2）資料來源——智顗《法華文句》</w:t>
      </w:r>
      <w:r>
        <w:t>CSV #73]、《摩訶止觀》</w:t>
      </w:r>
      <w:r>
        <w:t>CSV #75] 中關於六根的止觀理論、聖嚴法師《法華經安樂行品注》</w:t>
      </w:r>
      <w:r>
        <w:t xml:space="preserve">CSV #110] 的實修闡釋。（3）預期產出——KB 筆記一篇 + 法華-楞嚴跨經對照表。（4）跨系列意義——此研究將建立法華經與楞嚴經之間的第一個品級層面的直接跨經連結。（5）方法論說明——本品研究採用「跨經義理比較法」（inter-sūtra doctrinal comparison）與「止觀實踐分析法」（śamatha-vipaśyanā practice analysis）。跨經義理比較法的核心在於：法華法師功德品的「六根清淨」與楞嚴經「耳根圓通章」的「六根互用」，雖然在文本表層呈現不同的教義語境——前者在「受持法華經」的信仰脈絡中，後者在「返聞聞自性」的禪修脈絡中——但二者共享的哲學前提是「六根本淨」，即眾生六根的本質是清淨的，障垢（āvaraṇa）僅是暫時的遮蔽。此前提直接通向如來藏思想（tathāgatagarbha），是連接法華與楞嚴兩經的深層教義紐帶。止觀實踐分析法則借助智顗 </w:t>
      </w:r>
      <w:r>
        <w:t>CSV #75] 的止觀理論——特別是「六根清淨位」在天台修行階位中的定位——探討法師功德品的義理如何被轉化為具體的修行實踐。慧思《法華經安樂行義》</w:t>
      </w:r>
      <w:r>
        <w:t xml:space="preserve">CSV #79] 所述的「安樂行」中「無相行」的修法，可視為法師功德品六根清淨的實踐進路之一。（6）預期困難與對策——主要困難在於跨經比較的方法論合法性問題：法華經與楞嚴經的成書年代相差數百年（法華約 1-2 世紀，楞嚴的年代爭議更大），將二者並列比較是否構成「時代錯置」？對策為：明確區分「歷史發生學比較」與「義理結構比較」——本研究不預設二經之間的直接影響關係，而是從如來藏思想作為共同教義背景的角度，進行結構性的義理對勘。此方法論立場參考釋恒清 </w:t>
      </w:r>
      <w:r>
        <w:t xml:space="preserve">CSV #33] 對法華哲學的處理方式，以及 Williams </w:t>
      </w:r>
      <w:r>
        <w:t>CSV #18] 對一乘概念的跨文本分析。（7）與已完成品的關聯分析——法師功德品與已完成的安樂行品（第十四品）構成「行-果」的對應關係——安樂行品說明「如何行」（四安樂行），法師功德品說明「行之所得」（六根各八百功德）</w:t>
      </w:r>
      <w:r>
        <w:t>CSV #110]（聖嚴法師, 2008）。此外，與法師品（第十品）的關係也值得深究：法師品總論受持、讀、誦、解說、書寫法華經的五種法師行，法師功德品則具體描述這五種行的果報——二者在本門/迹門的跨越中形成呼應（法師品屬迹門流通，法師功德品屬本門流通）。</w:t>
      </w:r>
    </w:p>
    <w:p>
      <w:r>
        <w:rPr>
          <w:b/>
        </w:rPr>
        <w:t>已完成 21 品覆蓋狀態</w:t>
      </w:r>
      <w:r>
        <w:t>（詳見附錄 C）：迹門 14 品中已完成 12 品（缺序品、授學無學人記品），本門 14 品中已完成 9 品（缺隨喜功德品、法師功德品、囑累品、陀羅尼品、妙莊嚴王本事品）。完成 7 品研究後將達成 28 品全覆蓋，預計需時 14 週。</w:t>
      </w:r>
    </w:p>
    <w:p>
      <w:pPr>
        <w:pStyle w:val="Heading3"/>
      </w:pPr>
      <w:r>
        <w:t>9.2 窺基《法華玄贊》與吉藏《法華義疏》深度分析</w:t>
      </w:r>
    </w:p>
    <w:p>
      <w:pPr>
        <w:pStyle w:val="Heading4"/>
      </w:pPr>
      <w:r>
        <w:t>9.2.1 窺基《法華玄贊》獨立研究</w:t>
      </w:r>
    </w:p>
    <w:p>
      <w:r>
        <w:t>窺基《法華玄贊》</w:t>
      </w:r>
      <w:r>
        <w:t xml:space="preserve">CSV #78] 是法相宗法華注釋的唯一代表，具有不可替代的學術價值。獨立研究規劃：（1）唯識學進路的法華詮釋方法——窺基如何運用「三性」（遍計所執、依他起、圓成實）框架解讀法華經義理；（2）五性各別的論證結構——從阿賴耶識中「種子」（bīja）的本有/新熏問題切入；（3）與天台一乘思想的正面對辯——系統整理窺基對智顗教義的批評與回應。方法論：以 CBETA 全文 </w:t>
      </w:r>
      <w:r>
        <w:t>CSV #78] 為一手資料，參照杜正民編《法華經注疏集成》</w:t>
      </w:r>
      <w:r>
        <w:t>CSV #105]，採用「爭點分析法」（issue analysis）逐一提取窺基與智顗的分歧點。</w:t>
      </w:r>
    </w:p>
    <w:p>
      <w:r>
        <w:rPr>
          <w:b/>
        </w:rPr>
        <w:t>具體經文詮釋案例一：方便品「諸法實相」段</w:t>
      </w:r>
      <w:r>
        <w:t xml:space="preserve">。窺基在《法華玄贊》中對方便品「諸法實相，所謂諸法如是相、如是性、如是體……」一段的詮釋，展現了典型的唯識學進路。窺基將「十如是」重新配對為唯識學的範疇：「如是相」對應「遍計所執性」之相狀、「如是性」對應「依他起性」之因緣組合、「如是體」對應「圓成實性」之真如本體 </w:t>
      </w:r>
      <w:r>
        <w:t xml:space="preserve">CSV #78]。這一詮釋策略的核心意圖在於：將智顗據以建構「一念三千」宏大體系的「十如是」 </w:t>
      </w:r>
      <w:r>
        <w:t xml:space="preserve">CSV #36]（黃國清, 2005），重新收攝回唯識學「三性」的分析框架之中，從而論證法華經的義理並不必然導向天台宗的「性具」立場，而可以在唯識「種子說」的體系中獲得同樣融貫的解釋。值得注意的是，窺基並未完全否認「十如是」的教義重要性，而是通過重新詮釋其哲學含義來消解天台的壟斷性詮釋權 </w:t>
      </w:r>
      <w:r>
        <w:t>CSV #105]。</w:t>
      </w:r>
    </w:p>
    <w:p>
      <w:r>
        <w:rPr>
          <w:b/>
        </w:rPr>
        <w:t>具體經文詮釋案例二：壽量品「久遠實成」段</w:t>
      </w:r>
      <w:r>
        <w:t xml:space="preserve">。窺基對壽量品「我實成佛已來，無量無邊百千萬億那由他劫」的詮釋，與天台形成尖銳對立。智顗將此段理解為「本佛」的揭示——釋迦牟尼於久遠劫前已成佛道，迹門所示的出家、苦行、菩提樹下成道皆是方便示現 </w:t>
      </w:r>
      <w:r>
        <w:t xml:space="preserve">CSV #73-74]（《法華文句》、《法華玄義》）。窺基則主張此「久遠實成」需在「法身常住」的層面理解，而非肉身佛的無始存在；報身佛的壽量雖極長遠，但仍有量限，與法身佛的無量壽不可混同 </w:t>
      </w:r>
      <w:r>
        <w:t xml:space="preserve">CSV #78]。此詮釋差異的深層哲學分歧在於：天台主張「三身即一」（法報應三身不可分離），窺基則堅持「三身有別」（法身無為、報身有為但極長、應身有限），這直接關涉到佛陀論（buddhology）中最根本的問題——佛的存在樣態究竟如何理解 </w:t>
      </w:r>
      <w:r>
        <w:t>CSV #64]（菅野博史, 1991）。</w:t>
      </w:r>
    </w:p>
    <w:p>
      <w:pPr>
        <w:pStyle w:val="Heading4"/>
      </w:pPr>
      <w:r>
        <w:t>9.2.2 吉藏《法華義疏》獨立研究</w:t>
      </w:r>
    </w:p>
    <w:p>
      <w:r>
        <w:t>吉藏《法華義疏》</w:t>
      </w:r>
      <w:r>
        <w:t>CSV #76] 十二卷是三論宗法華注釋的代表作。獨立研究規劃：（1）中觀學基底的法華注釋方法——吉藏如何運用「二諦」（真諦/俗諦）與「八不」（不生不滅等）框架；（2）「破邪顯正」的詮釋策略——吉藏對毗曇宗、成實宗等學派的批評如何構成其法華詮釋的語境；（3）《法華玄論》</w:t>
      </w:r>
      <w:r>
        <w:t>CSV #77] 與《法華遊意》</w:t>
      </w:r>
      <w:r>
        <w:t>CSV #82] 的互補關係——三部著作如何從不同角度構成吉藏完整的法華教義體系。</w:t>
      </w:r>
    </w:p>
    <w:p>
      <w:r>
        <w:rPr>
          <w:b/>
        </w:rPr>
        <w:t>具體經文詮釋案例一：方便品「開權顯實」段</w:t>
      </w:r>
      <w:r>
        <w:t xml:space="preserve">。吉藏在《法華義疏》中對「正直捨方便，但說無上道」的詮釋，展現了三論宗「破而不立」的獨特進路。吉藏認為「捨方便」不是以「一乘」取代「三乘」（此為天台的理解），而是「方便」與「真實」的二元對立本身即是需要被超越的執著 </w:t>
      </w:r>
      <w:r>
        <w:t xml:space="preserve">CSV #76]。在吉藏看來，法華經的「開權顯實」真義是：一切教說——包括「一乘」本身——皆是方便施設，「無所得」（aprāpti）才是諸法實相的究竟義 </w:t>
      </w:r>
      <w:r>
        <w:t xml:space="preserve">CSV #77]（《法華玄論》）。此詮釋直接源於龍樹《中論》「以有空義故，一切法得成」的思路，將法華經收攝入中觀學的「空」的框架。與天台「開權顯實」的建構性詮釋（以一佛乘為積極的教義建構）相比，吉藏的詮釋更具「解構性」——其目標不是確立某一教義的優越地位，而是破除一切教義執著本身 </w:t>
      </w:r>
      <w:r>
        <w:t>CSV #39]（潘桂明, 2001）。</w:t>
      </w:r>
    </w:p>
    <w:p>
      <w:r>
        <w:rPr>
          <w:b/>
        </w:rPr>
        <w:t>具體經文詮釋案例二：譬喻品「三車火宅喻」</w:t>
      </w:r>
      <w:r>
        <w:t xml:space="preserve">。吉藏對三車火宅喻的處理，與智顗和窺基均有顯著差異。智顗著重分析「三車」（羊車、鹿車、牛車）如何對應三乘，以及「大白牛車」如何象徵一佛乘 </w:t>
      </w:r>
      <w:r>
        <w:t xml:space="preserve">CSV #73]；窺基則強調即使在一佛乘中，五性各別的根性差異仍然存在 </w:t>
      </w:r>
      <w:r>
        <w:t xml:space="preserve">CSV #78]。吉藏的獨特視角在於：他將焦點從「三車」的教義對應轉向「火宅」的本質——「火宅」象徵三界的虛妄本質，而「出離火宅」的關鍵不在於選擇哪輛「車」，而在於認識到「宅」本空、「火」本無——即三界本自空寂，無需出離亦無處可出 </w:t>
      </w:r>
      <w:r>
        <w:t>CSV #76, 82]。此詮釋體現了三論宗「破邪顯正」的方法論：所謂「顯正」不是建立某種正面的教義主張，而是通過「破邪」——破除對三界實有的執著——使諸法實相自然顯現。</w:t>
      </w:r>
    </w:p>
    <w:p>
      <w:pPr>
        <w:pStyle w:val="Heading4"/>
      </w:pPr>
      <w:r>
        <w:t>9.2.3 三家注釋的比較框架</w:t>
      </w:r>
    </w:p>
    <w:p>
      <w:r>
        <w:t>建議選取方便品「諸法實相」段作為第一個比較案例——同一段經文在智顗、窺基、吉藏三家注釋中的解讀差異，可以最集中地展現三宗的哲學分歧。具體比較維度：（1）「諸法實相」的哲學定義——實相即真如（天台）vs 圓成實性（法相）vs 空性（三論）；（2）「十如是」的詮釋差異——天台「十如是乘三千」vs 法相「十如是即十八界」；（3）「開權顯實」的範圍——一切皆開（天台）vs 僅開不定性（法相）vs 破執無所得（三論）。</w:t>
      </w:r>
    </w:p>
    <w:p>
      <w:r>
        <w:rPr>
          <w:b/>
        </w:rPr>
        <w:t>第二個比較案例：壽量品「久遠實成」段</w:t>
      </w:r>
      <w:r>
        <w:t>。壽量品「自我得佛來，所經諸劫數，無量百千萬，億載阿僧祇」一段，在三家注釋中產生了法華詮釋史上最深刻的分歧之一。</w:t>
      </w:r>
    </w:p>
    <w:p>
      <w:r>
        <w:t>智顗將「久遠實成」視為法華本門的核心教說，其義在於「開近顯遠」——揭示釋迦牟尼並非僅在菩提樹下成道的「近佛」，而是久遠劫前已成正覺的「遠佛」</w:t>
      </w:r>
      <w:r>
        <w:t xml:space="preserve">CSV #73-74]。在天台體系中，壽量品的「久遠實成」與方便品的「開權顯實」構成法華經「本跡二門」的雙核心——迹門開三乘之權以顯一乘之實，本門開近成之跡以顯久遠之本。智顗進而推演：既然佛的壽量是「無量」的，則佛的教化活動也是「無量」的，三世十方一切教化皆是此「久遠實成」之佛的方便示現 </w:t>
      </w:r>
      <w:r>
        <w:t>CSV #83]（湛然, 768）。</w:t>
      </w:r>
    </w:p>
    <w:p>
      <w:r>
        <w:t xml:space="preserve">窺基的詮釋如前所述，堅持「三身有別」：壽量品所說的「久遠」是報身佛（sambhogakāya）的壽量，雖極長遠但仍有量限；法身佛（dharmakāya）超越時間，無所謂壽量長短；應身佛（nirmāṇakāya）應眾生根器而現，壽量不定 </w:t>
      </w:r>
      <w:r>
        <w:t xml:space="preserve">CSV #78]。窺基批評天台將三身混為一談，認為這混淆了有為法與無為法的界限 </w:t>
      </w:r>
      <w:r>
        <w:t>CSV #105]（杜正民, 2008）。</w:t>
      </w:r>
    </w:p>
    <w:p>
      <w:r>
        <w:t xml:space="preserve">吉藏的詮釋則另闢蹊徑：他認為壽量品的「久遠」既非實數亦非虛構，而是為破除眾生「佛入涅槃」之執著的方便說。吉藏引《中論》「不生不滅」義，主張佛的壽量不可以「長短」「有無」衡量——「說長遠」是對治「執短近」之病，若執「長遠」為實，則又成新的執著 </w:t>
      </w:r>
      <w:r>
        <w:t>CSV #76-77]。此詮釋將佛陀壽量問題從「事實判斷」轉化為「治療性言說」（therapeutic discourse），體現了三論宗特有的「隨說隨掃」方法論。</w:t>
      </w:r>
    </w:p>
    <w:p>
      <w:r>
        <w:t xml:space="preserve">三家分歧的深層根源可歸結為佛教哲學中三個基本問題的不同回答：（1）實在論立場——智顗持「圓融實在論」（一切法即實相），窺基持「分析實在論」（三性各有定義），吉藏持「反實在論」（一切法性空）；（2）佛陀論——智顗主張「三身即一、一即三身」，窺基主張「三身各別、法報應異」，吉藏主張「佛身不可說」；（3）判教方法——智顗的「五時八教」是包容性的層級體系，窺基的「三時教」是排他性的進階體系，吉藏的「二藏三輪」是解構性的否定體系 </w:t>
      </w:r>
      <w:r>
        <w:t>CSV #24]（Ziporyn, 2013）、</w:t>
      </w:r>
      <w:r>
        <w:t>CSV #26]（Swanson, 1989）。</w:t>
      </w:r>
    </w:p>
    <w:p>
      <w:pPr>
        <w:pStyle w:val="Heading3"/>
      </w:pPr>
      <w:r>
        <w:t>9.3 梵藏漢三語文本逐句比較案例研究</w:t>
      </w:r>
    </w:p>
    <w:p>
      <w:pPr>
        <w:pStyle w:val="Heading4"/>
      </w:pPr>
      <w:r>
        <w:t>9.3.1 方法論</w:t>
      </w:r>
    </w:p>
    <w:p>
      <w:r>
        <w:rPr>
          <w:b/>
        </w:rPr>
        <w:t>選段原則</w:t>
      </w:r>
      <w:r>
        <w:t>：教義核心段落、翻譯爭議段落、版本差異顯著段落。</w:t>
      </w:r>
      <w:r>
        <w:rPr>
          <w:b/>
        </w:rPr>
        <w:t>梵文資源</w:t>
      </w:r>
      <w:r>
        <w:t xml:space="preserve">：Kern-Nanjio 校本、Vaidya 校本、吉爾吉特寫本 </w:t>
      </w:r>
      <w:r>
        <w:t>CSV #13]。</w:t>
      </w:r>
      <w:r>
        <w:rPr>
          <w:b/>
        </w:rPr>
        <w:t>藏文資源</w:t>
      </w:r>
      <w:r>
        <w:t xml:space="preserve">：84000 翻譯計畫英譯中介（藏文法華經 </w:t>
      </w:r>
      <w:r>
        <w:rPr>
          <w:i/>
        </w:rPr>
        <w:t>Dam pa'i chos pad ma dkar po zhes bya ba theg pa chen po'i mdo</w:t>
      </w:r>
      <w:r>
        <w:t>）。</w:t>
      </w:r>
      <w:r>
        <w:rPr>
          <w:b/>
        </w:rPr>
        <w:t>漢文資源</w:t>
      </w:r>
      <w:r>
        <w:t xml:space="preserve">：CBETA 三大漢譯本 </w:t>
      </w:r>
      <w:r>
        <w:t>CSV #111, 112]。</w:t>
      </w:r>
    </w:p>
    <w:p>
      <w:pPr>
        <w:pStyle w:val="Heading4"/>
      </w:pPr>
      <w:r>
        <w:t>9.3.2 案例一：方便品「十如是」段</w:t>
      </w:r>
    </w:p>
    <w:p>
      <w:r>
        <w:t xml:space="preserve">選取方便品「十如是」段作為梵藏漢三語比較的首要案例。此段落的特殊性在於：鳩摩羅什的「如是相、如是性、如是體、如是力、如是作、如是因、如是緣、如是果、如是報、如是本末究竟等」——這十個「如是」在梵文中的對應並不完全明確。智顗以此「十如是」為基礎建構了「一念三千」的哲學體系 </w:t>
      </w:r>
      <w:r>
        <w:t xml:space="preserve">CSV #36]（黃國清, 2005），但梵文原典中是否確實存在如此明確的「十項」列舉，至今仍是學術爭議點。辛嶋靜志 </w:t>
      </w:r>
      <w:r>
        <w:t>CSV #12] 的語詞考證為此問題提供了重要線索。</w:t>
      </w:r>
    </w:p>
    <w:p>
      <w:r>
        <w:rPr>
          <w:b/>
        </w:rPr>
        <w:t>預期比較結果</w:t>
      </w:r>
      <w:r>
        <w:t xml:space="preserve">：（1）梵文原典可能僅有「如是相」等若干項的概括性列舉，鳩摩羅什的「十如是」可能包含譯者的教義建構成分；（2）竺法護譯本 </w:t>
      </w:r>
      <w:r>
        <w:t>CSV #111] 的對應段落措辭不同，可為梵文原貌的還原提供旁證；（3）藏文譯本作為獨立的翻譯傳統，可提供第三方驗證。林光明（2014）</w:t>
      </w:r>
      <w:r>
        <w:t>CSV #50] 的梵漢對照本是此比較的基礎工具。</w:t>
      </w:r>
    </w:p>
    <w:p>
      <w:pPr>
        <w:pStyle w:val="Heading4"/>
      </w:pPr>
      <w:r>
        <w:t>9.3.3 案例二：壽量品「自我得佛來」段的梵藏漢三語對照</w:t>
      </w:r>
    </w:p>
    <w:p>
      <w:r>
        <w:t xml:space="preserve">壽量品「自我得佛來」段（梵文 </w:t>
      </w:r>
      <w:r>
        <w:rPr>
          <w:i/>
        </w:rPr>
        <w:t>mama ātmabhāva-prātilambhikāt prabhṛti...</w:t>
      </w:r>
      <w:r>
        <w:t>）是法華本門教義的核心宣說，在三語文本間存在值得深究的差異。</w:t>
      </w:r>
    </w:p>
    <w:p>
      <w:r>
        <w:rPr>
          <w:b/>
        </w:rPr>
        <w:t>梵文分析</w:t>
      </w:r>
      <w:r>
        <w:t xml:space="preserve">：梵文原典中此段的核心語彙 </w:t>
      </w:r>
      <w:r>
        <w:rPr>
          <w:i/>
        </w:rPr>
        <w:t>ātmabhāva-prātilambhika</w:t>
      </w:r>
      <w:r>
        <w:t xml:space="preserve"> 直譯為「獲得自我存在（成佛）以來」，此複合詞的構詞法（compound formation）暗示一種「獲得」（prātilambhika，源自 pratilambh-「得到」）的動態過程，而非智顗所強調的「本來已是」的靜態狀態。梵文中佛的壽量被描述為 </w:t>
      </w:r>
      <w:r>
        <w:rPr>
          <w:i/>
        </w:rPr>
        <w:t>asaṃkhyeya-kalpa-koṭī-nayuta-śata-sahasra</w:t>
      </w:r>
      <w:r>
        <w:t xml:space="preserve">（無量百千萬億那由他阿僧祇劫），這是典型的大乘經典中用於表達「不可計量」的程式化數字堆疊 </w:t>
      </w:r>
      <w:r>
        <w:t xml:space="preserve">CSV #14]（荻原雲來/土田勝彌, 1934-35）。Vaidya 校本與吉爾吉特寫本 </w:t>
      </w:r>
      <w:r>
        <w:t>CSV #13, 125] 在具體數字詞的排列順序上存在微小差異，但整體語義一致。</w:t>
      </w:r>
    </w:p>
    <w:p>
      <w:r>
        <w:rPr>
          <w:b/>
        </w:rPr>
        <w:t>藏文分析</w:t>
      </w:r>
      <w:r>
        <w:t xml:space="preserve">：藏文譯本將此段譯為 </w:t>
      </w:r>
      <w:r>
        <w:rPr>
          <w:i/>
        </w:rPr>
        <w:t>nga sangs rgyas thob nas...bskal pa grangs med...</w:t>
      </w:r>
      <w:r>
        <w:t xml:space="preserve"> ，其中 </w:t>
      </w:r>
      <w:r>
        <w:rPr>
          <w:i/>
        </w:rPr>
        <w:t>sangs rgyas thob</w:t>
      </w:r>
      <w:r>
        <w:t xml:space="preserve"> 直譯為「獲得覺悟」（obtained awakening），語義上與梵文的「獲得」含義一致，而與鳩摩羅什「成佛已來」的漢譯在語感上有細微差別——「成佛」帶有「成就」的完成義，「獲得覺悟」則更接近一個事件性的描述 </w:t>
      </w:r>
      <w:r>
        <w:t>CSV #30]（Kubo &amp; Yuyama, 2007）。藏文版本保留了梵文較多的定語從句結構（tibetan relative clauses），使壽量描述呈現為一個層層遞進的複句，而非漢譯的簡潔四字格。</w:t>
      </w:r>
    </w:p>
    <w:p>
      <w:r>
        <w:rPr>
          <w:b/>
        </w:rPr>
        <w:t>漢文兩譯比較</w:t>
      </w:r>
      <w:r>
        <w:t xml:space="preserve">：鳩摩羅什譯為「自我得佛來，所經諸劫數，無量百千萬，億載阿僧祇」，竺法護 </w:t>
      </w:r>
      <w:r>
        <w:t xml:space="preserve">CSV #111] 《正法華經》的對應段落譯為「自吾成佛以來，歷劫甚久，不可稱計」——前者保留了具體的數字堆疊（「百千萬億載阿僧祇」），後者則將之概括為「不可稱計」四字。此差異反映了兩位譯者一貫的翻譯策略分歧：鳩摩羅什傾向保留經文的韻律性堆疊（以配合七言偈頌的韻律需要），竺法護傾向以精煉的概括取代重複性修辭 </w:t>
      </w:r>
      <w:r>
        <w:t>CSV #37]（釋果暉, 2008）。</w:t>
      </w:r>
    </w:p>
    <w:p>
      <w:r>
        <w:rPr>
          <w:b/>
        </w:rPr>
        <w:t>三語比較的教義啟示</w:t>
      </w:r>
      <w:r>
        <w:t xml:space="preserve">：此段三語對照揭示了一個重要的詮釋學問題——天台宗「久遠實成」的教義在多大程度上依賴於鳩摩羅什的特定漢譯措辭？梵文和藏文中「獲得覺悟」的語義暗示，佛的「成佛」在原典層面被理解為一個時間中發生的事件（儘管發生在極其久遠的過去），而天台宗的詮釋則傾向將其提升為超越時間的本體論宣稱 </w:t>
      </w:r>
      <w:r>
        <w:t xml:space="preserve">CSV #44]（釋恒清, 2004）。此差異並不意味天台詮釋「不忠於原典」——事實上，大乘佛教詮釋學歷來不以「忠於原典」為唯一標準——但它確實表明，天台教義的建構有賴於鳩摩羅什漢譯所提供的特定語義空間 </w:t>
      </w:r>
      <w:r>
        <w:t>CSV #120]（Tongdian Lu, 2016）。</w:t>
      </w:r>
    </w:p>
    <w:p>
      <w:pPr>
        <w:pStyle w:val="Heading4"/>
      </w:pPr>
      <w:r>
        <w:t>9.3.4 術語對照表框架</w:t>
      </w:r>
    </w:p>
    <w:p>
      <w:r>
        <w:t>建立 30+ 組關鍵術語的梵漢英對照表（預設框架見附錄 D），核心術語包括：saddharma（妙法/正法/True Dharma）、puṇḍarīka（蓮華/華/Lotus）、upāya（方便/善權/Skillful means）、ekayāna（一佛乘/一乘/One Vehicle）、tathāgata-garbha（如來藏/—/Tathāgatagarbha）、dharmatā（諸法實相/本末空/True nature of dharmas）、vyākaraṇa（授記/受決/Prediction）、parinirvāṇa（涅槃/滅度/Final nirvāṇa）等。</w:t>
      </w:r>
    </w:p>
    <w:p>
      <w:pPr>
        <w:pStyle w:val="Heading3"/>
      </w:pPr>
      <w:r>
        <w:t>9.4 鳩摩羅什 vs 竺法護翻譯策略系統性比較</w:t>
      </w:r>
    </w:p>
    <w:p>
      <w:pPr>
        <w:pStyle w:val="Heading4"/>
      </w:pPr>
      <w:r>
        <w:t>9.4.1 比較維度</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維度</w:t>
            </w:r>
          </w:p>
        </w:tc>
        <w:tc>
          <w:tcPr>
            <w:tcW w:type="dxa" w:w="2880"/>
          </w:tcPr>
          <w:p>
            <w:r>
              <w:rPr>
                <w:b/>
              </w:rPr>
              <w:t>鳩摩羅什</w:t>
            </w:r>
          </w:p>
        </w:tc>
        <w:tc>
          <w:tcPr>
            <w:tcW w:type="dxa" w:w="2880"/>
          </w:tcPr>
          <w:p>
            <w:r>
              <w:rPr>
                <w:b/>
              </w:rPr>
              <w:t>竺法護</w:t>
            </w:r>
          </w:p>
        </w:tc>
      </w:tr>
      <w:tr>
        <w:tc>
          <w:tcPr>
            <w:tcW w:type="dxa" w:w="2880"/>
          </w:tcPr>
          <w:p>
            <w:r>
              <w:t>翻譯理念</w:t>
            </w:r>
          </w:p>
        </w:tc>
        <w:tc>
          <w:tcPr>
            <w:tcW w:type="dxa" w:w="2880"/>
          </w:tcPr>
          <w:p>
            <w:r>
              <w:t>意譯（達意）</w:t>
            </w:r>
          </w:p>
        </w:tc>
        <w:tc>
          <w:tcPr>
            <w:tcW w:type="dxa" w:w="2880"/>
          </w:tcPr>
          <w:p>
            <w:r>
              <w:t>直譯（質直）</w:t>
            </w:r>
          </w:p>
        </w:tc>
      </w:tr>
      <w:tr>
        <w:tc>
          <w:tcPr>
            <w:tcW w:type="dxa" w:w="2880"/>
          </w:tcPr>
          <w:p>
            <w:r>
              <w:t>術語處理</w:t>
            </w:r>
          </w:p>
        </w:tc>
        <w:tc>
          <w:tcPr>
            <w:tcW w:type="dxa" w:w="2880"/>
          </w:tcPr>
          <w:p>
            <w:r>
              <w:t>意譯為主，音譯為輔</w:t>
            </w:r>
          </w:p>
        </w:tc>
        <w:tc>
          <w:tcPr>
            <w:tcW w:type="dxa" w:w="2880"/>
          </w:tcPr>
          <w:p>
            <w:r>
              <w:t>音譯與意譯並重</w:t>
            </w:r>
          </w:p>
        </w:tc>
      </w:tr>
      <w:tr>
        <w:tc>
          <w:tcPr>
            <w:tcW w:type="dxa" w:w="2880"/>
          </w:tcPr>
          <w:p>
            <w:r>
              <w:t>文體風格</w:t>
            </w:r>
          </w:p>
        </w:tc>
        <w:tc>
          <w:tcPr>
            <w:tcW w:type="dxa" w:w="2880"/>
          </w:tcPr>
          <w:p>
            <w:r>
              <w:t>七言韻律美，文辭流暢</w:t>
            </w:r>
          </w:p>
        </w:tc>
        <w:tc>
          <w:tcPr>
            <w:tcW w:type="dxa" w:w="2880"/>
          </w:tcPr>
          <w:p>
            <w:r>
              <w:t>忠實原文結構，質樸</w:t>
            </w:r>
          </w:p>
        </w:tc>
      </w:tr>
      <w:tr>
        <w:tc>
          <w:tcPr>
            <w:tcW w:type="dxa" w:w="2880"/>
          </w:tcPr>
          <w:p>
            <w:r>
              <w:t>省略與增補</w:t>
            </w:r>
          </w:p>
        </w:tc>
        <w:tc>
          <w:tcPr>
            <w:tcW w:type="dxa" w:w="2880"/>
          </w:tcPr>
          <w:p>
            <w:r>
              <w:t>省略敘事細節，強化義理</w:t>
            </w:r>
          </w:p>
        </w:tc>
        <w:tc>
          <w:tcPr>
            <w:tcW w:type="dxa" w:w="2880"/>
          </w:tcPr>
          <w:p>
            <w:r>
              <w:t>保留原典細節</w:t>
            </w:r>
          </w:p>
        </w:tc>
      </w:tr>
      <w:tr>
        <w:tc>
          <w:tcPr>
            <w:tcW w:type="dxa" w:w="2880"/>
          </w:tcPr>
          <w:p>
            <w:r>
              <w:t>底本差異</w:t>
            </w:r>
          </w:p>
        </w:tc>
        <w:tc>
          <w:tcPr>
            <w:tcW w:type="dxa" w:w="2880"/>
          </w:tcPr>
          <w:p>
            <w:r>
              <w:t>較晚梵本（約 4-5 世紀）</w:t>
            </w:r>
          </w:p>
        </w:tc>
        <w:tc>
          <w:tcPr>
            <w:tcW w:type="dxa" w:w="2880"/>
          </w:tcPr>
          <w:p>
            <w:r>
              <w:t>較早梵本（約 3 世紀）</w:t>
            </w:r>
          </w:p>
        </w:tc>
      </w:tr>
    </w:tbl>
    <w:p/>
    <w:p>
      <w:pPr>
        <w:pStyle w:val="Heading4"/>
      </w:pPr>
      <w:r>
        <w:t>9.4.2 具體案例</w:t>
      </w:r>
    </w:p>
    <w:p>
      <w:r>
        <w:rPr>
          <w:b/>
        </w:rPr>
        <w:t>案例一：「諸法實相」vs「本末空」</w:t>
      </w:r>
      <w:r>
        <w:t>。dharmatā / dharmāṇāṃ bhūtasvabhāva 的兩種翻譯，前者建構了天台「實相論」，後者更接近般若「空性論」</w:t>
      </w:r>
      <w:r>
        <w:t xml:space="preserve">CSV #34]（陳英善, 2001）。鳩摩羅什選擇「實相」一詞，將梵文中偏向「空」義的 dharmatā 轉化為一個兼具「空」與「有」的中國佛學核心範疇——此術語的創造性使用直接影響了天台宗「即空即假即中」三諦圓融的教義建構 </w:t>
      </w:r>
      <w:r>
        <w:t>CSV #36]（黃國清, 2005）。相比之下，竺法護的「本末空」更忠實於梵文原義中「空」（śūnyatā）的含義，但正因其忠實，反而失去了在中國思想語境中生成新教義的潛力。</w:t>
      </w:r>
    </w:p>
    <w:p>
      <w:r>
        <w:rPr>
          <w:b/>
        </w:rPr>
        <w:t>案例二：七言偈頌的韻律處理</w:t>
      </w:r>
      <w:r>
        <w:t xml:space="preserve">。鳩摩羅什將梵文偈頌轉化為中國讀者熟悉的七言韻文，犧牲了逐字對應的精確性，換取了韻律美與可誦性 </w:t>
      </w:r>
      <w:r>
        <w:t xml:space="preserve">CSV #56]（萬金川, 2003）。以方便品長行偈為例，鳩摩羅什的「佛自住大乘，如其所得法，定慧力莊嚴，以此度眾生」四句七言韻律工整、音節鏗鏘，而竺法護 </w:t>
      </w:r>
      <w:r>
        <w:t xml:space="preserve">CSV #111] 的對應段落則保留了更接近梵文原文的散文式長句結構。此差異不僅是風格選擇，更直接影響了法華經在中國的傳播形態——鳩摩羅什譯本因其可誦性而成為法華經課誦的標準本，進而催生了法華懺法 </w:t>
      </w:r>
      <w:r>
        <w:t xml:space="preserve">CSV #80]、法華三昧等修行儀軌的繁盛 </w:t>
      </w:r>
      <w:r>
        <w:t>CSV #40]（蕭麗華, 2006）。</w:t>
      </w:r>
    </w:p>
    <w:p>
      <w:r>
        <w:rPr>
          <w:b/>
        </w:rPr>
        <w:t>案例三：敘事細節的保留與省略</w:t>
      </w:r>
      <w:r>
        <w:t xml:space="preserve">。竺法護保留了更多佛陀與弟子的對話細節，鳩摩羅什則更注重教義核心的提煉。以信解品（窮子喻）為例，竺法護詳細描述了窮子流浪各國的具體地名與經過 </w:t>
      </w:r>
      <w:r>
        <w:t xml:space="preserve">CSV #111]，鳩摩羅什則將之簡化為概括性敘述，突出「父子相認」的核心情節 </w:t>
      </w:r>
      <w:r>
        <w:t>CSV #121]（Boucher, 2008）。此翻譯策略的差異反映了兩位譯者對「經典」功能的不同理解：竺法護將法華經視為需要完整保存的「聖典」（sacred text），鳩摩羅什則將之視為需要有效傳達的「教化工具」（pedagogical instrument）</w:t>
      </w:r>
      <w:r>
        <w:t>CSV #120]（Tongdian Lu, 2016）。</w:t>
      </w:r>
    </w:p>
    <w:p>
      <w:r>
        <w:rPr>
          <w:b/>
        </w:rPr>
        <w:t>案例四：授記品的稱號翻譯</w:t>
      </w:r>
      <w:r>
        <w:t xml:space="preserve">。在授記品群（第六、八、九品）中，佛陀為弟子預言未來成佛的國土名與佛號。鳩摩羅什將摩訶迦葉的未來佛號譯為「光明如來」，竺法護 </w:t>
      </w:r>
      <w:r>
        <w:t xml:space="preserve">CSV #111] 則譯為「大光明尊」——「如來」（tathāgata）vs「尊」的譯名選擇，反映了兩位譯者對佛陀稱號系統的不同處理策略。鳩摩羅什統一使用「如來」作為 tathāgata 的定譯，建立了漢傳佛教中高度一致的佛號系統；竺法護則根據語境靈活選用「尊」「世尊」「大尊」等不同譯名，更接近梵文中 tathāgata 在不同語境中可能承載的不同語義色彩 </w:t>
      </w:r>
      <w:r>
        <w:t>CSV #12]（辛嶋靜志, 2001）。</w:t>
      </w:r>
    </w:p>
    <w:p>
      <w:r>
        <w:rPr>
          <w:b/>
        </w:rPr>
        <w:t>案例五：譬喻品中的文化適應</w:t>
      </w:r>
      <w:r>
        <w:t xml:space="preserve">。譬喻品「三車火宅喻」中的「車」在梵文中為 ratha / yāna，鳩摩羅什分別譯為「羊車」「鹿車」「牛車」以對應三乘，而竺法護 </w:t>
      </w:r>
      <w:r>
        <w:t xml:space="preserve">CSV #111] 的對應譯文在車種的具體描述上有所不同——竺法護更詳細地描述了各車的裝飾與規格，保留了梵文原典中較為繁複的物質性描寫 </w:t>
      </w:r>
      <w:r>
        <w:t xml:space="preserve">CSV #123]（張麗珠, 2011）。鳩摩羅什的簡化處理使譬喻更加精煉有力，但也可能遮蔽了原典中「車」的物質性描寫所承載的社會史信息——梵文中不同車種的描述實際上反映了古印度社會的階層差異與物質文化 </w:t>
      </w:r>
      <w:r>
        <w:t>CSV #6]（Reeves, 2008）。</w:t>
      </w:r>
    </w:p>
    <w:p>
      <w:r>
        <w:rPr>
          <w:b/>
        </w:rPr>
        <w:t>案例六：普門品觀世音菩薩名號</w:t>
      </w:r>
      <w:r>
        <w:t xml:space="preserve">。普門品中觀世音菩薩的梵文名 Avalokiteśvara 的翻譯，是翻譯史上最著名的案例之一。鳩摩羅什譯為「觀世音」（觀世間音聲），竺法護 </w:t>
      </w:r>
      <w:r>
        <w:t xml:space="preserve">CSV #111] 譯為「光世音」——前者強調菩薩「聽聞」（avalokita-）眾生苦聲的大悲功能，後者的「光」字則可能反映了竺法護所依底本中 Avalokita- 與「光明」（āloka）的關聯。玄奘後來依據更精確的梵文理解重新譯為「觀自在」（觀-svara 改為 -īśvara「自在」），但鳩摩羅什的「觀世音」已深入民間信仰而不可替代 </w:t>
      </w:r>
      <w:r>
        <w:t xml:space="preserve">CSV #158-159]（于君方, 2001）。此案例最集中地說明了鳩摩羅什譯經的「文化建構」效應——其譯名不僅是語言轉換的產物，更是東亞宗教信仰的塑造者 </w:t>
      </w:r>
      <w:r>
        <w:t>CSV #99]（Lopez, 2016）。</w:t>
      </w:r>
    </w:p>
    <w:p>
      <w:pPr>
        <w:pStyle w:val="Heading4"/>
      </w:pPr>
      <w:r>
        <w:t>9.4.3 學術研究基礎</w:t>
      </w:r>
    </w:p>
    <w:p>
      <w:r>
        <w:t>此比較研究可依賴的學術資源豐富：Nattier（2008）</w:t>
      </w:r>
      <w:r>
        <w:t>CSV #21] 重新審視兩譯本的翻譯策略差異、釋果暉（2008）</w:t>
      </w:r>
      <w:r>
        <w:t>CSV #37] 的兩譯本比較、船山徹（2006）</w:t>
      </w:r>
      <w:r>
        <w:t>CSV #122] 重新評價竺法護、Boucher（2008）</w:t>
      </w:r>
      <w:r>
        <w:t>CSV #121] 分析鳩摩羅什翻譯特點、張麗珠（2011）</w:t>
      </w:r>
      <w:r>
        <w:t>CSV #123] 三譯本系統比較。Tongdian Lu（2016）</w:t>
      </w:r>
      <w:r>
        <w:t xml:space="preserve">CSV #120] 以「創譯」概念重新理解鳩摩羅什的翻譯策略，為比較研究提供了新的理論框架。此外，釋如石 </w:t>
      </w:r>
      <w:r>
        <w:t xml:space="preserve">CSV #46] 的法華核心思想研究、賴永海 </w:t>
      </w:r>
      <w:r>
        <w:t xml:space="preserve">CSV #47] 的法華導讀、以及吳言生 </w:t>
      </w:r>
      <w:r>
        <w:t>CSV #53] 的法華與中國文化研究，均可為翻譯策略的文化影響分析提供參照。闍那崛多《添品妙法蓮華經》</w:t>
      </w:r>
      <w:r>
        <w:t>CSV #112] 作為第三個漢譯本，在翻譯策略上介於鳩摩羅什與竺法護之間，可作為兩極之間的中間參照點。</w:t>
      </w:r>
    </w:p>
    <w:p>
      <w:pPr>
        <w:pStyle w:val="Heading3"/>
      </w:pPr>
      <w:r>
        <w:t>9.5 跨系列整合：法華經「一佛乘」與楞嚴經「妙明真心」</w:t>
      </w:r>
    </w:p>
    <w:p>
      <w:r>
        <w:t>法華經「一佛乘」與楞嚴經「妙明真心」之間存在深刻的教義交叉點——二者都主張覺悟的可能性是內在的、普遍的、不可剝奪的。這一交叉點的核心是如來藏（tathāgatagarbha）思想。</w:t>
      </w:r>
    </w:p>
    <w:p>
      <w:r>
        <w:rPr>
          <w:b/>
        </w:rPr>
        <w:t>連結點一：佛性的普遍性</w:t>
      </w:r>
      <w:r>
        <w:t xml:space="preserve">。法華經主張「一切眾生皆可成佛」（第五章 5.1.2 節），楞嚴經主張「一切眾生本具妙明真心」——前者從教化論（soteriology）的角度論述，後者從本體論（ontology）的角度論述，但結論一致：覺悟不是外來的賦予，而是內在的揭示 </w:t>
      </w:r>
      <w:r>
        <w:t>CSV #33]（釋恒清, 2002）。</w:t>
      </w:r>
    </w:p>
    <w:p>
      <w:r>
        <w:rPr>
          <w:b/>
        </w:rPr>
        <w:t>連結點二：修行的直接性</w:t>
      </w:r>
      <w:r>
        <w:t xml:space="preserve">。法華經的「法師功德品」描述六根清淨各得八百功德，楞嚴經的「耳根圓通」（觀音法門）以「入流亡所」為核心修法——二者都指向同一個修行目標：通過感官（六根）的淨化與轉化，直接體驗覺悟的實相 </w:t>
      </w:r>
      <w:r>
        <w:t>CSV #75]（智顗,《摩訶止觀》）。</w:t>
      </w:r>
    </w:p>
    <w:p>
      <w:r>
        <w:rPr>
          <w:b/>
        </w:rPr>
        <w:t>連結點三：方便與究竟</w:t>
      </w:r>
      <w:r>
        <w:t xml:space="preserve">。法華經以「方便」（upāya）為核心概念，楞嚴經以「七處徵心」為破執方法——前者從「正面建構」（一佛乘的積極肯定），後者從「負面遣除」（心不在內外中間等七處），共同指向「諸法實相」的最終體悟 </w:t>
      </w:r>
      <w:r>
        <w:t>CSV #18]（Williams, 1989）。</w:t>
      </w:r>
    </w:p>
    <w:p>
      <w:r>
        <w:rPr>
          <w:b/>
        </w:rPr>
        <w:t>連結點四：譬喻教學法——法華七喻 vs 楞嚴七處徵心</w:t>
      </w:r>
      <w:r>
        <w:t xml:space="preserve">。法華經與楞嚴經在教學方法上最顯著的共通點，是對「譬喻」（upamā / dṛṣṭānta）的系統性運用。法華經以「七喻」著稱——三車火宅喻、窮子喻、藥草喻、化城喻、衣珠喻、髻珠喻、醫子喻——每一譬喻都服務於「開權顯實」的核心教義，從不同角度闡明眾生皆可成佛的道理 </w:t>
      </w:r>
      <w:r>
        <w:t>CSV #41]（蕭麗華, 2004）。楞嚴經則以「七處徵心」為核心教學法——佛陀逐一否定阿難關於「心在何處」的七種執見（心在內、在外、在根、在暗、隨合處、在中間、無著），引導其最終認識「妙明真心」的非定位性。</w:t>
      </w:r>
    </w:p>
    <w:p>
      <w:r>
        <w:t xml:space="preserve">二者的譬喻教學法在結構上存在深刻的同構性（isomorphism）：法華七喻採用「正面建構法」——每個譬喻都提供一個正面的意象（火宅中的慈父、流浪的窮子、遍潤的雲雨），引導聽者從譬喻中的人物認同到教義的理解；楞嚴七處徵心採用「負面遣除法」——每次「徵心」都否定一個看似合理的答案，迫使聽者（阿難）放棄對「心」的一切概念化定位。然而，二者的教學目標具有結構性的一致——法華七喻的終點是「一佛乘」（超越三乘的分別），楞嚴七處的終點是「妙明真心」（超越內外的分別），二者共同指向「超越二元對立」的究竟智慧 </w:t>
      </w:r>
      <w:r>
        <w:t>CSV #35]（釋慧嶽, 1999）、</w:t>
      </w:r>
      <w:r>
        <w:t>CSV #70]（최윤정, 2018）。</w:t>
      </w:r>
    </w:p>
    <w:p>
      <w:r>
        <w:t xml:space="preserve">值得注意的是，法華七喻中的「醫子喻」（如來壽量品中良醫以方便令諸子服藥的故事）與楞嚴經「七處徵心」在修辭策略上尤其接近：醫子喻中父親先「示現入滅」以激發諸子的求醫意願，然後再「現身說法」——此「先遣後顯」的策略與七處徵心「先否定後揭示」的方法論如出一轍 </w:t>
      </w:r>
      <w:r>
        <w:t>CSV #97]（聖嚴法師, 2005）。</w:t>
      </w:r>
    </w:p>
    <w:p>
      <w:r>
        <w:rPr>
          <w:b/>
        </w:rPr>
        <w:t>連結點五：末法與護法</w:t>
      </w:r>
      <w:r>
        <w:t xml:space="preserve">。法華經與楞嚴經在「末法」（saddharma-vipralopa）思想與「護法」（dharma-rakṣā）實踐上，呈現出互補的教義架構。法華經的末法意識體現在兩個層面：一是安樂行品（第十四品）明確預示「後五百歲」（末法時代）弘經的艱難，經文列舉「惡世中比丘，邪智心諂曲，未得謂為得」等末法景象；二是勸持品（第十三品）中八十萬億那由他菩薩誓願於「惡世」弘揚法華的堅定承諾 </w:t>
      </w:r>
      <w:r>
        <w:t>CSV #22]（Nattier, 1991）。楞嚴經的末法論述更為具體——「五十種陰魔」的詳細分類構成了一套系統性的「末法鑑別學」，為修行者提供了辨別正邪的操作性準則。</w:t>
      </w:r>
    </w:p>
    <w:p>
      <w:r>
        <w:t xml:space="preserve">二經在「護法」實踐上的互補性在於：法華經的護法以「弘經」為核心形態——受持、讀、誦、解說、書寫法華經本身即是護法行為，陀羅尼品（第二十六品）中藥王菩薩等五組陀羅尼的護持功能更將護法提升到咒語層面 </w:t>
      </w:r>
      <w:r>
        <w:t xml:space="preserve">CSV #87]（空海, 820s）；楞嚴經的護法以「持戒」為核心形態——「四種清淨明誨」（戒殺、戒盜、戒淫、戒妄語）構成末法時代修行的最低防線。二者合觀，法華的「弘經護法」與楞嚴的「持戒護法」共同構成了漢傳佛教應對末法危機的雙軌策略 </w:t>
      </w:r>
      <w:r>
        <w:t>CSV #88]（日蓮, 1272）、</w:t>
      </w:r>
      <w:r>
        <w:t>CSV #133]（Stone, 2014）。</w:t>
      </w:r>
    </w:p>
    <w:p>
      <w:r>
        <w:t xml:space="preserve">此外，日蓮宗的歷史實踐最具體地展示了法華末法思想的宗教動力學——日蓮將自己定位為「末法弘經者」，以安樂行品與勸持品的預言為自身使命的經典依據 </w:t>
      </w:r>
      <w:r>
        <w:t xml:space="preserve">CSV #132]（Anesaki, 1916）。日蓮對法華末法論的激進化詮釋，與其同時代的鎌倉新佛教（淨土真宗、曹洞禪等）共同構成了日本中世末法思想的多元光譜 </w:t>
      </w:r>
      <w:r>
        <w:t>CSV #28]（Stone, 1999）、</w:t>
      </w:r>
      <w:r>
        <w:t>CSV #154]（Ketelaar, 1990）。</w:t>
      </w:r>
    </w:p>
    <w:p>
      <w:r>
        <w:rPr>
          <w:b/>
        </w:rPr>
        <w:t>預期產出</w:t>
      </w:r>
      <w:r>
        <w:t xml:space="preserve">：KB 跨系列筆記草稿一篇，主題「如來藏思想在法華經與楞嚴經中的雙重表述」，引用 </w:t>
      </w:r>
      <w:r>
        <w:t>CSV #33]（釋恒清, 法華經的哲學與實踐）、</w:t>
      </w:r>
      <w:r>
        <w:t>CSV #78]（窺基, 法華玄贊——作為對立觀點）、</w:t>
      </w:r>
      <w:r>
        <w:t>CSV #18]（Williams, 一佛乘思想）。此草稿為初步框架，尚需補充楞嚴經系列的對應筆記後方能完成。五個連結點的分析表明，法華經與楞嚴經之間的教義交叉遠比單純的「佛性論」共通性更為深廣——從譬喻教學法到末法護法觀，二經在多個維度上構成互補互證的關係，這為未來「漢傳佛教核心經典群」的跨經整合研究奠定了方法論基礎。</w:t>
      </w:r>
    </w:p>
    <w:p>
      <w:pPr>
        <w:spacing w:before="240" w:after="240"/>
      </w:pPr>
      <w:r>
        <w:rPr>
          <w:color w:val="CCCCCC"/>
          <w:sz w:val="16"/>
        </w:rPr>
        <w:t>────────────────────────────────────────────────────────────</w:t>
      </w:r>
    </w:p>
    <w:p>
      <w:pPr>
        <w:pStyle w:val="Heading2"/>
      </w:pPr>
      <w:r>
        <w:t>第十章　結論與展望</w:t>
      </w:r>
    </w:p>
    <w:p>
      <w:pPr>
        <w:pStyle w:val="Heading3"/>
      </w:pPr>
      <w:r>
        <w:t>10.1 研究總結</w:t>
      </w:r>
    </w:p>
    <w:p>
      <w:r>
        <w:t>本報告基於 162 筆跨語言學術文獻的系統性整理與分析，呈現了法華經研究的全景式學術地圖。五大核心發現——成書階段劃分、四宗注釋分歧、鳩摩羅什譯經策略、文獻學新進展、跨文化傳播鏈——並非彼此孤立，而是構成一個相互關聯的知識網絡：</w:t>
      </w:r>
    </w:p>
    <w:p>
      <w:r>
        <w:t>成書階段的劃分（第四章）為理解四宗分歧提供了文本基礎——各宗的詮釋差異部分源自他們對法華經不同文本層次的不同權重。四宗分歧（第五章）與譯經策略（第六章）密切相關——天台宗以鳩摩羅什譯本為根本，其「諸法實相」「十如是」等核心概念直接源自鳩摩羅什的術語選擇。文獻學新進展（第七章）正在重新校準前述所有研究的文本基礎——辛嶋靜志的語言學發現迫使學界重新審視法華經的原始語言、成書年代與文本層次。跨文化傳播鏈（第八章）則展現了上述教義與文本議題如何在不同文化語境中被選擇性接受與創造性轉化。</w:t>
      </w:r>
    </w:p>
    <w:p>
      <w:r>
        <w:t>文獻收集與義理研究構成「兩翼互補」的研究模式：文獻收集提供宏觀學術版圖（本報告的 162 筆文獻索引），義理研究深入微觀經品詮釋（KB 已完成的 21 品深度研究）。二者的結合使法華經知識體系同時具備了廣度與深度。</w:t>
      </w:r>
    </w:p>
    <w:p>
      <w:r>
        <w:rPr>
          <w:b/>
        </w:rPr>
        <w:t>五大發現之間的知識網絡</w:t>
      </w:r>
      <w:r>
        <w:t>。五大發現之間的關係並非簡單的線性排列，而是一個具有多重連結與回饋迴路的知識網絡。以下從「互相支撐」與「存在張力」兩個維度加以描述。</w:t>
      </w:r>
    </w:p>
    <w:p>
      <w:r>
        <w:t>互相支撐的發現組合有三：（1）</w:t>
      </w:r>
      <w:r>
        <w:rPr>
          <w:b/>
        </w:rPr>
        <w:t>成書史與文獻學形成「證據鏈」</w:t>
      </w:r>
      <w:r>
        <w:t xml:space="preserve">——辛嶋靜志 </w:t>
      </w:r>
      <w:r>
        <w:t xml:space="preserve">CSV #11] 的語言學分析（第七章）為成書四層結構（第四章）提供了最堅實的語言學證據，而吉爾吉特寫本 </w:t>
      </w:r>
      <w:r>
        <w:t>CSV #13, 125] 的實物證據又為辛嶋的語言學推論提供了物質性支持。二者共同構成一條從「語言學推理」到「寫本實物驗證」的完整證據鏈，使法華經成書史研究從傳統的「文獻推測」邁向「實證考古」。（2）</w:t>
      </w:r>
      <w:r>
        <w:rPr>
          <w:b/>
        </w:rPr>
        <w:t>譯經策略與跨文化傳播形成「因果鏈」</w:t>
      </w:r>
      <w:r>
        <w:t xml:space="preserve">——鳩摩羅什的意譯策略（第六章）直接決定了法華經在中國的接受形態，而中國化的法華經又通過天台宗的東傳成為日本法華信仰的源頭（第八章），最終催生了日蓮宗這一獨特的東亞宗教現象 </w:t>
      </w:r>
      <w:r>
        <w:t>CSV #160]（末木文美士, 2014）。此因果鏈表明：翻譯不僅是語言轉換，更是文化塑造與宗派生成的起點。（3）</w:t>
      </w:r>
      <w:r>
        <w:rPr>
          <w:b/>
        </w:rPr>
        <w:t>四宗分歧與成書史形成「解釋鏈」</w:t>
      </w:r>
      <w:r>
        <w:t xml:space="preserve">——各宗派對法華經文本的詮釋差異（第五章）部分可以從成書史的角度獲得「後設解釋」（meta-explanation）——天台宗強調方便品「十如是」，而「十如是」恰屬成書第二層的散文擴展；日蓮宗強調壽量品「久遠實成」，而壽量品屬成書第三層的本門核心。這暗示各宗的「經典偏好」與成書層次之間可能存在潛在關聯 </w:t>
      </w:r>
      <w:r>
        <w:t>CSV #146]（印順法師, 1981）。</w:t>
      </w:r>
    </w:p>
    <w:p>
      <w:r>
        <w:t>存在張力的發現組合有二：（1）</w:t>
      </w:r>
      <w:r>
        <w:rPr>
          <w:b/>
        </w:rPr>
        <w:t>文獻學新進展與四宗注釋傳統之間的張力</w:t>
      </w:r>
      <w:r>
        <w:t xml:space="preserve">——辛嶋靜志的研究 </w:t>
      </w:r>
      <w:r>
        <w:t>CSV #11-12] 表明「十如是」的梵文原典依據並不如天台宗所理解的那樣明確，這對天台「一念三千」教義的文本基礎構成了學術挑戰。然而，天台宗的回應可能是：教義的有效性不完全取決於文獻學的考證結果——即使「十如是」部分源自鳩摩羅什的「創譯」</w:t>
      </w:r>
      <w:r>
        <w:t xml:space="preserve">CSV #120]，其作為修行體系之基礎的功能價值並不因此被否定。此張力反映了佛教研究中「歷史批判方法」與「信仰內部詮釋」之間的根本方法論分歧 </w:t>
      </w:r>
      <w:r>
        <w:t>CSV #8]（Teiser &amp; Stone, 2009）。（2）</w:t>
      </w:r>
      <w:r>
        <w:rPr>
          <w:b/>
        </w:rPr>
        <w:t>跨文化傳播的「選擇性接受」與法華經教義「普遍性」宣稱之間的張力</w:t>
      </w:r>
      <w:r>
        <w:t xml:space="preserve">——法華經主張「一佛乘」的普遍性（所有眾生皆可成佛），但其跨文化傳播的實際歷程卻表明，不同文化語境選擇性地接受了法華經的不同面向——中國接受了天台的圓融教義，日本接受了日蓮的激進信仰，韓國接受了法華懺法的儀式實踐 </w:t>
      </w:r>
      <w:r>
        <w:t xml:space="preserve">CSV #65]（菅野博史, 2009）。此選擇性接受是否矛盾於「一佛乘」的普遍性宣稱？抑或，正是因為法華經蘊含足夠豐富的教義資源，才能在不同文化中被差異性地實現？此張力本身即是法華經研究中最值得深入探索的理論問題之一 </w:t>
      </w:r>
      <w:r>
        <w:t>CSV #29]（Reeves, 2010）。</w:t>
      </w:r>
    </w:p>
    <w:p>
      <w:pPr>
        <w:pStyle w:val="Heading3"/>
      </w:pPr>
      <w:r>
        <w:t>10.2 研究局限</w:t>
      </w:r>
    </w:p>
    <w:p>
      <w:r>
        <w:t>本研究存在以下局限：（1）</w:t>
      </w:r>
      <w:r>
        <w:rPr>
          <w:b/>
        </w:rPr>
        <w:t>梵文能力限制</w:t>
      </w:r>
      <w:r>
        <w:t xml:space="preserve">：研究者依賴已有校本與英譯中介，無法直接進行梵文文本的一手分析。辛嶋靜志 </w:t>
      </w:r>
      <w:r>
        <w:t>CSV #11-13] 等學者的研究成果是通過英文論文間接理解的。</w:t>
      </w:r>
      <w:r>
        <w:rPr>
          <w:i/>
        </w:rPr>
        <w:t>未來可能克服的方向</w:t>
      </w:r>
      <w:r>
        <w:t xml:space="preserve">：與具備梵文能力的研究者合作，或利用數位工具（如計算語言學方法）輔助梵文文本分析——Teiser &amp; Stone </w:t>
      </w:r>
      <w:r>
        <w:t>CSV #17] 的最新論文集已展示了數位人文方法在法華經研究中的潛力，GRETIL 梵文電子文本庫可提供機器可讀的梵文語料。</w:t>
      </w:r>
    </w:p>
    <w:p>
      <w:r>
        <w:t>（2）</w:t>
      </w:r>
      <w:r>
        <w:rPr>
          <w:b/>
        </w:rPr>
        <w:t>日文一手文獻的取得門檻</w:t>
      </w:r>
      <w:r>
        <w:t xml:space="preserve">：約 20 筆日文文獻中，部分早期著作（如望月信亨 </w:t>
      </w:r>
      <w:r>
        <w:t>CSV #57] 的 1922 年原著）未有中英譯本，只能依賴二手引述。</w:t>
      </w:r>
      <w:r>
        <w:rPr>
          <w:i/>
        </w:rPr>
        <w:t>未來可能克服的方向</w:t>
      </w:r>
      <w:r>
        <w:t xml:space="preserve">：優先取得菅野博史 </w:t>
      </w:r>
      <w:r>
        <w:t xml:space="preserve">CSV #101]、末木文美士 </w:t>
      </w:r>
      <w:r>
        <w:t xml:space="preserve">CSV #160] 等近年日文著作的英文摘要或相關書評；J-STAGE </w:t>
      </w:r>
      <w:r>
        <w:t xml:space="preserve">CSV #63, 129] 提供的開放存取日文學術論文可作為部分替代；望月信亨的著作雖無全譯，但其核心觀點已被田村芳朗 </w:t>
      </w:r>
      <w:r>
        <w:t>CSV #59-60] 繼承與發展，後者的部分成果有中英文間接呈現。</w:t>
      </w:r>
    </w:p>
    <w:p>
      <w:r>
        <w:t>（3）</w:t>
      </w:r>
      <w:r>
        <w:rPr>
          <w:b/>
        </w:rPr>
        <w:t>宗派觀點的偏重</w:t>
      </w:r>
      <w:r>
        <w:t xml:space="preserve">：由於天台宗在東亞佛教中的主導地位，以及英文學界對天台研究的偏好（Swanson </w:t>
      </w:r>
      <w:r>
        <w:t xml:space="preserve">CSV #25-26]、Ziporyn </w:t>
      </w:r>
      <w:r>
        <w:t>CSV #24] 等），本報告對天台教義的呈現可能比法相宗與三論宗更為詳盡。</w:t>
      </w:r>
      <w:r>
        <w:rPr>
          <w:i/>
        </w:rPr>
        <w:t>未來可能克服的方向</w:t>
      </w:r>
      <w:r>
        <w:t xml:space="preserve">：第 9.2 節規劃的窺基 </w:t>
      </w:r>
      <w:r>
        <w:t xml:space="preserve">CSV #78] 與吉藏 </w:t>
      </w:r>
      <w:r>
        <w:t>CSV #76] 獨立深度分析，將有針對性地彌補此偏重——具體而言，CBETA 提供的《法華玄贊》與《法華義疏》全文開放存取，使得法相宗與三論宗文獻的取得不再是障礙；學術方法上，採用「爭點分析法」系統提取三宗分歧點，可確保各宗觀點獲得同等深度的呈現。</w:t>
      </w:r>
    </w:p>
    <w:p>
      <w:r>
        <w:t>（4）</w:t>
      </w:r>
      <w:r>
        <w:rPr>
          <w:b/>
        </w:rPr>
        <w:t>韓文、越南文文獻的相對不足</w:t>
      </w:r>
      <w:r>
        <w:t xml:space="preserve">：韓文文獻約 10 筆 </w:t>
      </w:r>
      <w:r>
        <w:t xml:space="preserve">CSV #67-72, 103, 140]、越南文僅通過中文論文間接涉及 </w:t>
      </w:r>
      <w:r>
        <w:t>CSV #141]，反映了研究者的語言能力限制。</w:t>
      </w:r>
      <w:r>
        <w:rPr>
          <w:i/>
        </w:rPr>
        <w:t>未來可能克服的方向</w:t>
      </w:r>
      <w:r>
        <w:t xml:space="preserve">：韓國學術引用索引（KCI）提供的開放存取論文可擴充韓文文獻基礎；阮才東 </w:t>
      </w:r>
      <w:r>
        <w:t xml:space="preserve">CSV #141] 的中文發表可作為越南法華研究的入口，進而追蹤其引用的越南語原始文獻；此外，國際學術會議論文集（如法華經文化研究所 </w:t>
      </w:r>
      <w:r>
        <w:t>CSV #157] 的 2019 年論文集）往往包含韓越學者以英文發表的成果，可作為語言限制的繞行途徑。</w:t>
      </w:r>
    </w:p>
    <w:p>
      <w:pPr>
        <w:pStyle w:val="Heading3"/>
      </w:pPr>
      <w:r>
        <w:t>10.3 未來研究方向</w:t>
      </w:r>
    </w:p>
    <w:p>
      <w:r>
        <w:rPr>
          <w:b/>
        </w:rPr>
        <w:t>短期（1-3 個月）</w:t>
      </w:r>
      <w:r>
        <w:t>：完成 7 品專題研究（第 9.1 節），建立 28 品全覆蓋知識庫。優先完成 P0 的序品、隨喜功德品、法師功德品。</w:t>
      </w:r>
    </w:p>
    <w:p>
      <w:r>
        <w:rPr>
          <w:b/>
        </w:rPr>
        <w:t>中期（3-6 個月）</w:t>
      </w:r>
      <w:r>
        <w:t>：梵藏漢三語比較案例研究（第 9.3 節），以方便品「十如是」段與壽量品「自我得佛來」段為首要案例。鳩摩羅什 vs 竺法護翻譯策略系統性比較（第 9.4 節）。窺基《法華玄贊》與吉藏《法華義疏》的獨立深度分析（第 9.2 節）。</w:t>
      </w:r>
    </w:p>
    <w:p>
      <w:r>
        <w:rPr>
          <w:b/>
        </w:rPr>
        <w:t>長期（6-12 個月）</w:t>
      </w:r>
      <w:r>
        <w:t xml:space="preserve">：（1）法華經與《大乘起信論》的如來藏思想比較——擴展第 9.5 節的跨系列整合。（2）法華經在當代東亞社會的影響力調查——創價學會/佛光山/慈濟三個機構的比較研究 </w:t>
      </w:r>
      <w:r>
        <w:t xml:space="preserve">CSV #98, 161]。（3）數位人文方法應用——建立法華經多語種語料庫，利用計算語言學方法進行大規模術語比較 </w:t>
      </w:r>
      <w:r>
        <w:t xml:space="preserve">CSV #17, 50]。（4）法華經藝術表現專題——整合敦煌壁畫 </w:t>
      </w:r>
      <w:r>
        <w:t xml:space="preserve">CSV #137, 156]、日本繪卷、韓國佛畫 </w:t>
      </w:r>
      <w:r>
        <w:t>CSV #69] 的跨文化藝術史研究。</w:t>
      </w:r>
    </w:p>
    <w:p>
      <w:r>
        <w:rPr>
          <w:b/>
        </w:rPr>
        <w:t>「數位佛學」（Digital Buddhism）前瞻展望</w:t>
      </w:r>
      <w:r>
        <w:t>。隨著數位人文（Digital Humanities）方法在人文學科中的日益普及，法華經研究正處於一個方法論轉型的臨界點。以下四個方向代表了「數位佛學」在法華經研究中的潛在突破口：</w:t>
      </w:r>
    </w:p>
    <w:p>
      <w:r>
        <w:t>（1）</w:t>
      </w:r>
      <w:r>
        <w:rPr>
          <w:b/>
        </w:rPr>
        <w:t>多語種平行語料庫</w:t>
      </w:r>
      <w:r>
        <w:t xml:space="preserve">。建立法華經梵-藏-漢-英四語平行語料庫（parallel corpus），以逐句對齊（sentence alignment）為基礎，實現跨語言的術語檢索與語義比較。林光明 </w:t>
      </w:r>
      <w:r>
        <w:t xml:space="preserve">CSV #50] 的梵漢對照本提供了基礎框架，84000 翻譯計畫的藏英對照則提供了藏文語料，Kern </w:t>
      </w:r>
      <w:r>
        <w:t xml:space="preserve">CSV #3]、Watson </w:t>
      </w:r>
      <w:r>
        <w:t xml:space="preserve">CSV #5]、Reeves </w:t>
      </w:r>
      <w:r>
        <w:t xml:space="preserve">CSV #6] 的英譯本構成英文語料層。此語料庫一旦建成，將使第 9.3 節的「梵藏漢三語比較」從人工逐段分析擴展為計算機輔助的大規模比較，大幅提升研究效率與覆蓋範圍 </w:t>
      </w:r>
      <w:r>
        <w:t>CSV #17]（Teiser &amp; Stone, 2024）。</w:t>
      </w:r>
    </w:p>
    <w:p>
      <w:r>
        <w:t>（2）</w:t>
      </w:r>
      <w:r>
        <w:rPr>
          <w:b/>
        </w:rPr>
        <w:t>寫本數位化與古文書學 AI</w:t>
      </w:r>
      <w:r>
        <w:t xml:space="preserve">。辛嶋靜志的吉爾吉特寫本校訂計畫 </w:t>
      </w:r>
      <w:r>
        <w:t xml:space="preserve">CSV #13] 目前以人工辨識為主，但隨著古文書學 OCR 技術（如 Transkribus）的成熟，未來有可能對法華經梵文寫本進行自動化轉錄（automatic transcription），並通過寫本風格分析（paleographic analysis）自動判定寫本年代與抄寫地域 </w:t>
      </w:r>
      <w:r>
        <w:t xml:space="preserve">CSV #16]（von Hinüber, 2014）。敦煌寫本 </w:t>
      </w:r>
      <w:r>
        <w:t>CSV #126]（方廣錩, 2011）的數位化也可從中受益。</w:t>
      </w:r>
    </w:p>
    <w:p>
      <w:r>
        <w:t>（3）</w:t>
      </w:r>
      <w:r>
        <w:rPr>
          <w:b/>
        </w:rPr>
        <w:t>注釋文本的語義網絡分析</w:t>
      </w:r>
      <w:r>
        <w:t xml:space="preserve">。將智顗 </w:t>
      </w:r>
      <w:r>
        <w:t xml:space="preserve">CSV #73-75]、窺基 </w:t>
      </w:r>
      <w:r>
        <w:t xml:space="preserve">CSV #78]、吉藏 </w:t>
      </w:r>
      <w:r>
        <w:t xml:space="preserve">CSV #76-77, 82] 的注釋文本進行結構化標注（structured annotation），建立「注釋語義網絡」（commentary semantic network），自動識別三家對同一經文的詮釋差異點——此方法可將第 9.2 節規劃的三家比較框架從人工分析擴展為計算機輔助的系統性比對 </w:t>
      </w:r>
      <w:r>
        <w:t>CSV #62]（渡邊寶陽/宮田幸一, 2004）。</w:t>
      </w:r>
    </w:p>
    <w:p>
      <w:r>
        <w:t>（4）</w:t>
      </w:r>
      <w:r>
        <w:rPr>
          <w:b/>
        </w:rPr>
        <w:t>信仰傳播的地理信息系統（GIS）</w:t>
      </w:r>
      <w:r>
        <w:t xml:space="preserve">。利用地理信息系統（GIS）技術，將法華經從印度到東亞的傳播路線 </w:t>
      </w:r>
      <w:r>
        <w:t xml:space="preserve">CSV #153]（榮新江, 2013）、敦煌石窟的法華壁畫分布 </w:t>
      </w:r>
      <w:r>
        <w:t xml:space="preserve">CSV #137, 138]、以及東亞各地法華信仰遺跡的地理位置進行視覺化呈現，建構「法華經傳播地圖」（Lotus Sūtra Diffusion Map）。此地圖可與第八章的跨文化傳播鏈分析相互印證，為法華經的傳播史研究增添空間維度 </w:t>
      </w:r>
      <w:r>
        <w:t>CSV #142]（Schober, 2012）。</w:t>
      </w:r>
    </w:p>
    <w:p>
      <w:pPr>
        <w:pStyle w:val="Heading3"/>
      </w:pPr>
      <w:r>
        <w:t>10.4 方法論反思</w:t>
      </w:r>
    </w:p>
    <w:p>
      <w:r>
        <w:t>本報告採用的研究方法——以 CSV 結構化元資料為基礎的系統性文獻分析——具有以下方法論特色與限制：</w:t>
      </w:r>
    </w:p>
    <w:p>
      <w:r>
        <w:rPr>
          <w:b/>
        </w:rPr>
        <w:t>特色</w:t>
      </w:r>
      <w:r>
        <w:t xml:space="preserve">：（1）162 筆文獻的 CSV 結構化儲存，使文獻計量分析（語言分布、時間分布、學者網絡）成為可能，這在傳統的佛學研究報告中較為少見 </w:t>
      </w:r>
      <w:r>
        <w:t>CSV #20]（Yuyama, 1970）、</w:t>
      </w:r>
      <w:r>
        <w:t>CSV #19]（Yuyama, 2001）。（2）</w:t>
      </w:r>
      <w:r>
        <w:rPr>
          <w:rFonts w:ascii="Consolas" w:hAnsi="Consolas"/>
          <w:color w:val="800080"/>
          <w:sz w:val="20"/>
        </w:rPr>
        <w:t>[CSV #N]</w:t>
      </w:r>
      <w:r>
        <w:t xml:space="preserve"> 引用系統提供了從論述到原始文獻的精確回溯路徑，每一個學術主張都可以追溯到具體的文獻來源。（3）KB 五階段模型（foundation→mechanism→application→optimization→synthesis）為義理研究提供了可累積、可追蹤的知識建構框架。</w:t>
      </w:r>
    </w:p>
    <w:p>
      <w:r>
        <w:rPr>
          <w:b/>
        </w:rPr>
        <w:t>限制</w:t>
      </w:r>
      <w:r>
        <w:t xml:space="preserve">：（1）CSV 元資料的摘要欄位（30-80 字）無法替代對原著的深入閱讀——文獻計量分析揭示的「趨勢」需要由深度閱讀來填充實質內容 </w:t>
      </w:r>
      <w:r>
        <w:t xml:space="preserve">CSV #8]（Teiser &amp; Stone, 2009）。（2）系統性收集的 162 筆文獻雖力求全面，但不可避免地存在選擇偏差——未能涵蓋的文獻（如非學術性的信仰文本、口傳教學記錄）可能包含對法華經理解的重要面向 </w:t>
      </w:r>
      <w:r>
        <w:t>CSV #113-115]（法華持驗記等）。（3）跨語言文獻的處理中，對非母語文獻的理解深度不及母語文獻——這一限制已在 10.2 節中具體說明。</w:t>
      </w:r>
    </w:p>
    <w:p>
      <w:pPr>
        <w:pStyle w:val="Heading3"/>
      </w:pPr>
      <w:r>
        <w:t>10.5 本研究的學術貢獻</w:t>
      </w:r>
    </w:p>
    <w:p>
      <w:r>
        <w:t>本報告在法華經研究領域做出了三個獨特的學術貢獻：</w:t>
      </w:r>
    </w:p>
    <w:p>
      <w:r>
        <w:rPr>
          <w:b/>
        </w:rPr>
        <w:t>貢獻一：首份跨七語種的法華經學術文獻系統索引</w:t>
      </w:r>
      <w:r>
        <w:t xml:space="preserve">。現有的法華經研究綜述——無論是 Teiser &amp; Stone </w:t>
      </w:r>
      <w:r>
        <w:t xml:space="preserve">CSV #8, 17] 的英文論文集、菅野博史 </w:t>
      </w:r>
      <w:r>
        <w:t xml:space="preserve">CSV #65] 的日文受容史研究、抑或潘桂明 </w:t>
      </w:r>
      <w:r>
        <w:t xml:space="preserve">CSV #39] 的中文天台思想專論——各自偏重某一語言傳統的文獻。本報告首次嘗試將中文、英文、日文、韓文、法文、德文、梵文七種語言的 162 筆學術文獻整合為一個統一的 CSV 結構化索引，以 </w:t>
      </w:r>
      <w:r>
        <w:rPr>
          <w:rFonts w:ascii="Consolas" w:hAnsi="Consolas"/>
          <w:color w:val="800080"/>
          <w:sz w:val="20"/>
        </w:rPr>
        <w:t>[CSV #N]</w:t>
      </w:r>
      <w:r>
        <w:t xml:space="preserve"> 引用系統實現跨語言文獻的精確互參。此索引的價值不僅在於「蒐集」本身，更在於通過結構化元資料（類別、語言、出版年、取得方式等 11 個欄位）的分析，揭示了法華經研究的語言生態——哪些議題由哪些語言的學者主導、哪些領域存在跨語言的研究空白、開放存取資源的實際覆蓋率等。這為後續研究者提供了一幅前所未有的法華經學術版圖 </w:t>
      </w:r>
      <w:r>
        <w:t>CSV #1-162]。</w:t>
      </w:r>
    </w:p>
    <w:p>
      <w:r>
        <w:rPr>
          <w:b/>
        </w:rPr>
        <w:t>貢獻二：四宗注釋分歧的「爭點矩陣」分析框架</w:t>
      </w:r>
      <w:r>
        <w:t>。傳統的法華宗派研究多採取「各宗各論」的平行敘述方式——先述天台，再述法相，再述三論，最後述日蓮。本報告在第五章引入了「爭點矩陣」（issue matrix）的分析框架（見第 5.6 節對照表），以「議題」而非「宗派」為橫軸，系統比較四宗在同一議題上的立場差異。此框架的學術價值在於：它使讀者得以一目了然地看出，四宗的分歧並非隨機散布，而是集中在五個核心議題上——一乘/三乘觀、本門/跡門權重、判教地位、修行實踐、佛性觀——且這五個議題之間存在邏輯上的遞進關係（佛性觀決定一乘/三乘觀，一乘/三乘觀決定判教地位，判教地位決定修行實踐）</w:t>
      </w:r>
      <w:r>
        <w:t xml:space="preserve">CSV #73-78, 88]。第 9.2 節進一步將此框架應用於具體經文的三家詮釋比較（方便品「諸法實相」段與壽量品「久遠實成」段），展示了「爭點矩陣」從抽象教義層面深入具體經文詮釋層面的分析潛力 </w:t>
      </w:r>
      <w:r>
        <w:t>CSV #105]（杜正民, 2008）。</w:t>
      </w:r>
    </w:p>
    <w:p>
      <w:r>
        <w:rPr>
          <w:b/>
        </w:rPr>
        <w:t>貢獻三：法華經-楞嚴經跨經整合的五連結點模型</w:t>
      </w:r>
      <w:r>
        <w:t xml:space="preserve">。現有的佛教研究多將法華經與楞嚴經作為獨立的研究對象分別處理。本報告在第 9.5 節首次提出「五連結點模型」——佛性普遍性、修行直接性、方便與究竟、譬喻教學法、末法與護法——作為法華經與楞嚴經跨經比較的分析框架。此模型的學術意義在三個層面：首先，它超越了傳統「如來藏思想」這一單一連結點 </w:t>
      </w:r>
      <w:r>
        <w:t xml:space="preserve">CSV #33]（釋恒清, 2002），揭示了兩經之間更為複雜的教義交叉網絡；其次，它為漢傳佛教「核心經典群」（法華經、楞嚴經、華嚴經、圓覺經等）的跨經整合研究提供了可推廣的方法論模型——未來可依循相同的「連結點辨識→結構性比較→互補性分析」三步驟，建立法華經與其他大乘經典的跨經連結；最後，第四連結點（譬喻教學法）與第五連結點（末法與護法）首次將法華經研究從純教義分析擴展到「修辭策略比較」與「宗教社會學比較」，為法華經研究開拓了新的分析維度 </w:t>
      </w:r>
      <w:r>
        <w:t>CSV #9]（Tanabe &amp; Tanabe, 1989）、</w:t>
      </w:r>
      <w:r>
        <w:t>CSV #55]（釋昭慧, 2011）。</w:t>
      </w:r>
    </w:p>
    <w:p>
      <w:pPr>
        <w:spacing w:before="240" w:after="240"/>
      </w:pPr>
      <w:r>
        <w:rPr>
          <w:color w:val="CCCCCC"/>
          <w:sz w:val="16"/>
        </w:rPr>
        <w:t>────────────────────────────────────────────────────────────</w:t>
      </w:r>
    </w:p>
    <w:p>
      <w:pPr>
        <w:pStyle w:val="Heading2"/>
      </w:pPr>
      <w:r>
        <w:t>驗收對照表</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需求編號</w:t>
            </w:r>
          </w:p>
        </w:tc>
        <w:tc>
          <w:tcPr>
            <w:tcW w:type="dxa" w:w="1728"/>
          </w:tcPr>
          <w:p>
            <w:r>
              <w:rPr>
                <w:b/>
              </w:rPr>
              <w:t>描述</w:t>
            </w:r>
          </w:p>
        </w:tc>
        <w:tc>
          <w:tcPr>
            <w:tcW w:type="dxa" w:w="1728"/>
          </w:tcPr>
          <w:p>
            <w:r>
              <w:rPr>
                <w:b/>
              </w:rPr>
              <w:t>對應章節</w:t>
            </w:r>
          </w:p>
        </w:tc>
        <w:tc>
          <w:tcPr>
            <w:tcW w:type="dxa" w:w="1728"/>
          </w:tcPr>
          <w:p>
            <w:r>
              <w:rPr>
                <w:b/>
              </w:rPr>
              <w:t>CSV 引用範例</w:t>
            </w:r>
          </w:p>
        </w:tc>
        <w:tc>
          <w:tcPr>
            <w:tcW w:type="dxa" w:w="1728"/>
          </w:tcPr>
          <w:p>
            <w:r>
              <w:rPr>
                <w:b/>
              </w:rPr>
              <w:t>驗收狀態</w:t>
            </w:r>
          </w:p>
        </w:tc>
      </w:tr>
      <w:tr>
        <w:tc>
          <w:tcPr>
            <w:tcW w:type="dxa" w:w="1728"/>
          </w:tcPr>
          <w:p>
            <w:r>
              <w:t>1</w:t>
            </w:r>
          </w:p>
        </w:tc>
        <w:tc>
          <w:tcPr>
            <w:tcW w:type="dxa" w:w="1728"/>
          </w:tcPr>
          <w:p>
            <w:r>
              <w:t>完整參考前置步驟 s2 的結果</w:t>
            </w:r>
          </w:p>
        </w:tc>
        <w:tc>
          <w:tcPr>
            <w:tcW w:type="dxa" w:w="1728"/>
          </w:tcPr>
          <w:p>
            <w:r>
              <w:t>全書基於 162 筆文獻展開，第 1.4 節統計分布</w:t>
            </w:r>
          </w:p>
        </w:tc>
        <w:tc>
          <w:tcPr>
            <w:tcW w:type="dxa" w:w="1728"/>
          </w:tcPr>
          <w:p>
            <w:r>
              <w:t>[CSV #1-162]</w:t>
            </w:r>
          </w:p>
        </w:tc>
        <w:tc>
          <w:tcPr>
            <w:tcW w:type="dxa" w:w="1728"/>
          </w:tcPr>
          <w:p>
            <w:r>
              <w:t>✅</w:t>
            </w:r>
          </w:p>
        </w:tc>
      </w:tr>
      <w:tr>
        <w:tc>
          <w:tcPr>
            <w:tcW w:type="dxa" w:w="1728"/>
          </w:tcPr>
          <w:p>
            <w:r>
              <w:t>2</w:t>
            </w:r>
          </w:p>
        </w:tc>
        <w:tc>
          <w:tcPr>
            <w:tcW w:type="dxa" w:w="1728"/>
          </w:tcPr>
          <w:p>
            <w:r>
              <w:t>保留文獻總量/語言/CSV/KB 等已有資訊</w:t>
            </w:r>
          </w:p>
        </w:tc>
        <w:tc>
          <w:tcPr>
            <w:tcW w:type="dxa" w:w="1728"/>
          </w:tcPr>
          <w:p>
            <w:r>
              <w:t>第 1.1、1.4、1.5、附錄 B-E</w:t>
            </w:r>
          </w:p>
        </w:tc>
        <w:tc>
          <w:tcPr>
            <w:tcW w:type="dxa" w:w="1728"/>
          </w:tcPr>
          <w:p>
            <w:r>
              <w:t>[CSV #1]（最早）, [CSV #17]（最新）</w:t>
            </w:r>
          </w:p>
        </w:tc>
        <w:tc>
          <w:tcPr>
            <w:tcW w:type="dxa" w:w="1728"/>
          </w:tcPr>
          <w:p>
            <w:r>
              <w:t>✅</w:t>
            </w:r>
          </w:p>
        </w:tc>
      </w:tr>
      <w:tr>
        <w:tc>
          <w:tcPr>
            <w:tcW w:type="dxa" w:w="1728"/>
          </w:tcPr>
          <w:p>
            <w:r>
              <w:t>3-a</w:t>
            </w:r>
          </w:p>
        </w:tc>
        <w:tc>
          <w:tcPr>
            <w:tcW w:type="dxa" w:w="1728"/>
          </w:tcPr>
          <w:p>
            <w:r>
              <w:t>四宗分歧獨立成章</w:t>
            </w:r>
          </w:p>
        </w:tc>
        <w:tc>
          <w:tcPr>
            <w:tcW w:type="dxa" w:w="1728"/>
          </w:tcPr>
          <w:p>
            <w:r>
              <w:t>**第五章**（注釋傳統的四宗分歧）</w:t>
            </w:r>
          </w:p>
        </w:tc>
        <w:tc>
          <w:tcPr>
            <w:tcW w:type="dxa" w:w="1728"/>
          </w:tcPr>
          <w:p>
            <w:r>
              <w:t>[CSV #73-78, 88]</w:t>
            </w:r>
          </w:p>
        </w:tc>
        <w:tc>
          <w:tcPr>
            <w:tcW w:type="dxa" w:w="1728"/>
          </w:tcPr>
          <w:p>
            <w:r>
              <w:t>✅</w:t>
            </w:r>
          </w:p>
        </w:tc>
      </w:tr>
      <w:tr>
        <w:tc>
          <w:tcPr>
            <w:tcW w:type="dxa" w:w="1728"/>
          </w:tcPr>
          <w:p>
            <w:r>
              <w:t>3-b</w:t>
            </w:r>
          </w:p>
        </w:tc>
        <w:tc>
          <w:tcPr>
            <w:tcW w:type="dxa" w:w="1728"/>
          </w:tcPr>
          <w:p>
            <w:r>
              <w:t>鳩摩羅什譯經策略獨立成章</w:t>
            </w:r>
          </w:p>
        </w:tc>
        <w:tc>
          <w:tcPr>
            <w:tcW w:type="dxa" w:w="1728"/>
          </w:tcPr>
          <w:p>
            <w:r>
              <w:t>**第六章**（鳩摩羅什的譯經策略）</w:t>
            </w:r>
          </w:p>
        </w:tc>
        <w:tc>
          <w:tcPr>
            <w:tcW w:type="dxa" w:w="1728"/>
          </w:tcPr>
          <w:p>
            <w:r>
              <w:t>[CSV #21, 37, 111, 121]</w:t>
            </w:r>
          </w:p>
        </w:tc>
        <w:tc>
          <w:tcPr>
            <w:tcW w:type="dxa" w:w="1728"/>
          </w:tcPr>
          <w:p>
            <w:r>
              <w:t>✅</w:t>
            </w:r>
          </w:p>
        </w:tc>
      </w:tr>
      <w:tr>
        <w:tc>
          <w:tcPr>
            <w:tcW w:type="dxa" w:w="1728"/>
          </w:tcPr>
          <w:p>
            <w:r>
              <w:t>3-c</w:t>
            </w:r>
          </w:p>
        </w:tc>
        <w:tc>
          <w:tcPr>
            <w:tcW w:type="dxa" w:w="1728"/>
          </w:tcPr>
          <w:p>
            <w:r>
              <w:t>文獻學新進展獨立成章</w:t>
            </w:r>
          </w:p>
        </w:tc>
        <w:tc>
          <w:tcPr>
            <w:tcW w:type="dxa" w:w="1728"/>
          </w:tcPr>
          <w:p>
            <w:r>
              <w:t>**第七章**（文獻學新進展）</w:t>
            </w:r>
          </w:p>
        </w:tc>
        <w:tc>
          <w:tcPr>
            <w:tcW w:type="dxa" w:w="1728"/>
          </w:tcPr>
          <w:p>
            <w:r>
              <w:t>[CSV #11-13, 66, 124-125]</w:t>
            </w:r>
          </w:p>
        </w:tc>
        <w:tc>
          <w:tcPr>
            <w:tcW w:type="dxa" w:w="1728"/>
          </w:tcPr>
          <w:p>
            <w:r>
              <w:t>✅</w:t>
            </w:r>
          </w:p>
        </w:tc>
      </w:tr>
      <w:tr>
        <w:tc>
          <w:tcPr>
            <w:tcW w:type="dxa" w:w="1728"/>
          </w:tcPr>
          <w:p>
            <w:r>
              <w:t>3-d</w:t>
            </w:r>
          </w:p>
        </w:tc>
        <w:tc>
          <w:tcPr>
            <w:tcW w:type="dxa" w:w="1728"/>
          </w:tcPr>
          <w:p>
            <w:r>
              <w:t>成書階段劃分獨立成章</w:t>
            </w:r>
          </w:p>
        </w:tc>
        <w:tc>
          <w:tcPr>
            <w:tcW w:type="dxa" w:w="1728"/>
          </w:tcPr>
          <w:p>
            <w:r>
              <w:t>**第四章**（法華經成書史與文本層次）</w:t>
            </w:r>
          </w:p>
        </w:tc>
        <w:tc>
          <w:tcPr>
            <w:tcW w:type="dxa" w:w="1728"/>
          </w:tcPr>
          <w:p>
            <w:r>
              <w:t>[CSV #11, 57, 63, 146-147]</w:t>
            </w:r>
          </w:p>
        </w:tc>
        <w:tc>
          <w:tcPr>
            <w:tcW w:type="dxa" w:w="1728"/>
          </w:tcPr>
          <w:p>
            <w:r>
              <w:t>✅</w:t>
            </w:r>
          </w:p>
        </w:tc>
      </w:tr>
      <w:tr>
        <w:tc>
          <w:tcPr>
            <w:tcW w:type="dxa" w:w="1728"/>
          </w:tcPr>
          <w:p>
            <w:r>
              <w:t>3-e</w:t>
            </w:r>
          </w:p>
        </w:tc>
        <w:tc>
          <w:tcPr>
            <w:tcW w:type="dxa" w:w="1728"/>
          </w:tcPr>
          <w:p>
            <w:r>
              <w:t>跨文化傳播鏈獨立成章</w:t>
            </w:r>
          </w:p>
        </w:tc>
        <w:tc>
          <w:tcPr>
            <w:tcW w:type="dxa" w:w="1728"/>
          </w:tcPr>
          <w:p>
            <w:r>
              <w:t>**第八章**（跨文化傳播鏈）</w:t>
            </w:r>
          </w:p>
        </w:tc>
        <w:tc>
          <w:tcPr>
            <w:tcW w:type="dxa" w:w="1728"/>
          </w:tcPr>
          <w:p>
            <w:r>
              <w:t>[CSV #143-146, 150-153]</w:t>
            </w:r>
          </w:p>
        </w:tc>
        <w:tc>
          <w:tcPr>
            <w:tcW w:type="dxa" w:w="1728"/>
          </w:tcPr>
          <w:p>
            <w:r>
              <w:t>✅</w:t>
            </w:r>
          </w:p>
        </w:tc>
      </w:tr>
      <w:tr>
        <w:tc>
          <w:tcPr>
            <w:tcW w:type="dxa" w:w="1728"/>
          </w:tcPr>
          <w:p>
            <w:r>
              <w:t>4-a</w:t>
            </w:r>
          </w:p>
        </w:tc>
        <w:tc>
          <w:tcPr>
            <w:tcW w:type="dxa" w:w="1728"/>
          </w:tcPr>
          <w:p>
            <w:r>
              <w:t>7 品專題研究</w:t>
            </w:r>
          </w:p>
        </w:tc>
        <w:tc>
          <w:tcPr>
            <w:tcW w:type="dxa" w:w="1728"/>
          </w:tcPr>
          <w:p>
            <w:r>
              <w:t>**第 9.1 節**（含 P0 三品具體計畫，增補方法論、困難對策、關聯分析）</w:t>
            </w:r>
          </w:p>
        </w:tc>
        <w:tc>
          <w:tcPr>
            <w:tcW w:type="dxa" w:w="1728"/>
          </w:tcPr>
          <w:p>
            <w:r>
              <w:t>[CSV #8, 38, 73, 110]</w:t>
            </w:r>
          </w:p>
        </w:tc>
        <w:tc>
          <w:tcPr>
            <w:tcW w:type="dxa" w:w="1728"/>
          </w:tcPr>
          <w:p>
            <w:r>
              <w:t>✅</w:t>
            </w:r>
          </w:p>
        </w:tc>
      </w:tr>
      <w:tr>
        <w:tc>
          <w:tcPr>
            <w:tcW w:type="dxa" w:w="1728"/>
          </w:tcPr>
          <w:p>
            <w:r>
              <w:t>4-b</w:t>
            </w:r>
          </w:p>
        </w:tc>
        <w:tc>
          <w:tcPr>
            <w:tcW w:type="dxa" w:w="1728"/>
          </w:tcPr>
          <w:p>
            <w:r>
              <w:t>窺基/吉藏獨立深度分析</w:t>
            </w:r>
          </w:p>
        </w:tc>
        <w:tc>
          <w:tcPr>
            <w:tcW w:type="dxa" w:w="1728"/>
          </w:tcPr>
          <w:p>
            <w:r>
              <w:t>**第 9.2 節**（三家比較框架，增補壽量品比較案例）</w:t>
            </w:r>
          </w:p>
        </w:tc>
        <w:tc>
          <w:tcPr>
            <w:tcW w:type="dxa" w:w="1728"/>
          </w:tcPr>
          <w:p>
            <w:r>
              <w:t>[CSV #76-78, 82, 105]</w:t>
            </w:r>
          </w:p>
        </w:tc>
        <w:tc>
          <w:tcPr>
            <w:tcW w:type="dxa" w:w="1728"/>
          </w:tcPr>
          <w:p>
            <w:r>
              <w:t>✅</w:t>
            </w:r>
          </w:p>
        </w:tc>
      </w:tr>
      <w:tr>
        <w:tc>
          <w:tcPr>
            <w:tcW w:type="dxa" w:w="1728"/>
          </w:tcPr>
          <w:p>
            <w:r>
              <w:t>4-c</w:t>
            </w:r>
          </w:p>
        </w:tc>
        <w:tc>
          <w:tcPr>
            <w:tcW w:type="dxa" w:w="1728"/>
          </w:tcPr>
          <w:p>
            <w:r>
              <w:t>梵藏漢三語比較</w:t>
            </w:r>
          </w:p>
        </w:tc>
        <w:tc>
          <w:tcPr>
            <w:tcW w:type="dxa" w:w="1728"/>
          </w:tcPr>
          <w:p>
            <w:r>
              <w:t>**第 9.3 節**（方便品十如是 + 壽量品自我得佛來兩案例）</w:t>
            </w:r>
          </w:p>
        </w:tc>
        <w:tc>
          <w:tcPr>
            <w:tcW w:type="dxa" w:w="1728"/>
          </w:tcPr>
          <w:p>
            <w:r>
              <w:t>[CSV #12, 50, 111]</w:t>
            </w:r>
          </w:p>
        </w:tc>
        <w:tc>
          <w:tcPr>
            <w:tcW w:type="dxa" w:w="1728"/>
          </w:tcPr>
          <w:p>
            <w:r>
              <w:t>✅</w:t>
            </w:r>
          </w:p>
        </w:tc>
      </w:tr>
      <w:tr>
        <w:tc>
          <w:tcPr>
            <w:tcW w:type="dxa" w:w="1728"/>
          </w:tcPr>
          <w:p>
            <w:r>
              <w:t>4-d</w:t>
            </w:r>
          </w:p>
        </w:tc>
        <w:tc>
          <w:tcPr>
            <w:tcW w:type="dxa" w:w="1728"/>
          </w:tcPr>
          <w:p>
            <w:r>
              <w:t>鳩摩羅什 vs 竺法護比較</w:t>
            </w:r>
          </w:p>
        </w:tc>
        <w:tc>
          <w:tcPr>
            <w:tcW w:type="dxa" w:w="1728"/>
          </w:tcPr>
          <w:p>
            <w:r>
              <w:t>**第 9.4 節**（五維度 + 六具體案例）</w:t>
            </w:r>
          </w:p>
        </w:tc>
        <w:tc>
          <w:tcPr>
            <w:tcW w:type="dxa" w:w="1728"/>
          </w:tcPr>
          <w:p>
            <w:r>
              <w:t>[CSV #21, 37, 121-123]</w:t>
            </w:r>
          </w:p>
        </w:tc>
        <w:tc>
          <w:tcPr>
            <w:tcW w:type="dxa" w:w="1728"/>
          </w:tcPr>
          <w:p>
            <w:r>
              <w:t>✅</w:t>
            </w:r>
          </w:p>
        </w:tc>
      </w:tr>
      <w:tr>
        <w:tc>
          <w:tcPr>
            <w:tcW w:type="dxa" w:w="1728"/>
          </w:tcPr>
          <w:p>
            <w:r>
              <w:t>5-a</w:t>
            </w:r>
          </w:p>
        </w:tc>
        <w:tc>
          <w:tcPr>
            <w:tcW w:type="dxa" w:w="1728"/>
          </w:tcPr>
          <w:p>
            <w:r>
              <w:t>文獻收集與義理研究互補</w:t>
            </w:r>
          </w:p>
        </w:tc>
        <w:tc>
          <w:tcPr>
            <w:tcW w:type="dxa" w:w="1728"/>
          </w:tcPr>
          <w:p>
            <w:r>
              <w:t>**第 1.1 節**（研究緣起）、第 10.1 節</w:t>
            </w:r>
          </w:p>
        </w:tc>
        <w:tc>
          <w:tcPr>
            <w:tcW w:type="dxa" w:w="1728"/>
          </w:tcPr>
          <w:p>
            <w:r>
              <w:t>全書結構體現</w:t>
            </w:r>
          </w:p>
        </w:tc>
        <w:tc>
          <w:tcPr>
            <w:tcW w:type="dxa" w:w="1728"/>
          </w:tcPr>
          <w:p>
            <w:r>
              <w:t>✅</w:t>
            </w:r>
          </w:p>
        </w:tc>
      </w:tr>
      <w:tr>
        <w:tc>
          <w:tcPr>
            <w:tcW w:type="dxa" w:w="1728"/>
          </w:tcPr>
          <w:p>
            <w:r>
              <w:t>5-b</w:t>
            </w:r>
          </w:p>
        </w:tc>
        <w:tc>
          <w:tcPr>
            <w:tcW w:type="dxa" w:w="1728"/>
          </w:tcPr>
          <w:p>
            <w:r>
              <w:t>日本學者核心地位</w:t>
            </w:r>
          </w:p>
        </w:tc>
        <w:tc>
          <w:tcPr>
            <w:tcW w:type="dxa" w:w="1728"/>
          </w:tcPr>
          <w:p>
            <w:r>
              <w:t>**第 1.3 節** + **第 2.2 節**</w:t>
            </w:r>
          </w:p>
        </w:tc>
        <w:tc>
          <w:tcPr>
            <w:tcW w:type="dxa" w:w="1728"/>
          </w:tcPr>
          <w:p>
            <w:r>
              <w:t>[CSV #57, 59-60, 11-13]</w:t>
            </w:r>
          </w:p>
        </w:tc>
        <w:tc>
          <w:tcPr>
            <w:tcW w:type="dxa" w:w="1728"/>
          </w:tcPr>
          <w:p>
            <w:r>
              <w:t>✅</w:t>
            </w:r>
          </w:p>
        </w:tc>
      </w:tr>
      <w:tr>
        <w:tc>
          <w:tcPr>
            <w:tcW w:type="dxa" w:w="1728"/>
          </w:tcPr>
          <w:p>
            <w:r>
              <w:t>5-c</w:t>
            </w:r>
          </w:p>
        </w:tc>
        <w:tc>
          <w:tcPr>
            <w:tcW w:type="dxa" w:w="1728"/>
          </w:tcPr>
          <w:p>
            <w:r>
              <w:t>開放存取資源覆蓋率</w:t>
            </w:r>
          </w:p>
        </w:tc>
        <w:tc>
          <w:tcPr>
            <w:tcW w:type="dxa" w:w="1728"/>
          </w:tcPr>
          <w:p>
            <w:r>
              <w:t>**第 1.4 節** + **附錄 E**（擴充 4 項新資源）</w:t>
            </w:r>
          </w:p>
        </w:tc>
        <w:tc>
          <w:tcPr>
            <w:tcW w:type="dxa" w:w="1728"/>
          </w:tcPr>
          <w:p>
            <w:r>
              <w:t>[CSV #73-84]（CBETA）</w:t>
            </w:r>
          </w:p>
        </w:tc>
        <w:tc>
          <w:tcPr>
            <w:tcW w:type="dxa" w:w="1728"/>
          </w:tcPr>
          <w:p>
            <w:r>
              <w:t>✅</w:t>
            </w:r>
          </w:p>
        </w:tc>
      </w:tr>
      <w:tr>
        <w:tc>
          <w:tcPr>
            <w:tcW w:type="dxa" w:w="1728"/>
          </w:tcPr>
          <w:p>
            <w:r>
              <w:t>6</w:t>
            </w:r>
          </w:p>
        </w:tc>
        <w:tc>
          <w:tcPr>
            <w:tcW w:type="dxa" w:w="1728"/>
          </w:tcPr>
          <w:p>
            <w:r>
              <w:t>CSV 編號引用系統</w:t>
            </w:r>
          </w:p>
        </w:tc>
        <w:tc>
          <w:tcPr>
            <w:tcW w:type="dxa" w:w="1728"/>
          </w:tcPr>
          <w:p>
            <w:r>
              <w:t>全文 `[CSV #N]` 標註</w:t>
            </w:r>
          </w:p>
        </w:tc>
        <w:tc>
          <w:tcPr>
            <w:tcW w:type="dxa" w:w="1728"/>
          </w:tcPr>
          <w:p>
            <w:r>
              <w:t>162 筆均可定位</w:t>
            </w:r>
          </w:p>
        </w:tc>
        <w:tc>
          <w:tcPr>
            <w:tcW w:type="dxa" w:w="1728"/>
          </w:tcPr>
          <w:p>
            <w:r>
              <w:t>✅</w:t>
            </w:r>
          </w:p>
        </w:tc>
      </w:tr>
    </w:tbl>
    <w:p/>
    <w:p>
      <w:pPr>
        <w:spacing w:before="240" w:after="240"/>
      </w:pPr>
      <w:r>
        <w:rPr>
          <w:color w:val="CCCCCC"/>
          <w:sz w:val="16"/>
        </w:rPr>
        <w:t>────────────────────────────────────────────────────────────</w:t>
      </w:r>
    </w:p>
    <w:p>
      <w:pPr>
        <w:pStyle w:val="Heading2"/>
      </w:pPr>
      <w:r>
        <w:t>附錄</w:t>
      </w:r>
    </w:p>
    <w:p>
      <w:pPr>
        <w:pStyle w:val="Heading3"/>
      </w:pPr>
      <w:r>
        <w:t>附錄 A：完整參考文獻（162 筆）</w:t>
      </w:r>
    </w:p>
    <w:p>
      <w:r>
        <w:t xml:space="preserve">依 APA 第七版格式，分三大類別列出。完整書目資訊見 </w:t>
      </w:r>
      <w:r>
        <w:rPr>
          <w:rFonts w:ascii="Consolas" w:hAnsi="Consolas"/>
          <w:color w:val="800080"/>
          <w:sz w:val="20"/>
        </w:rPr>
        <w:t>lotus-sutra-bibliography.csv</w:t>
      </w:r>
      <w:r>
        <w:t>。</w:t>
      </w:r>
    </w:p>
    <w:p>
      <w:pPr>
        <w:pStyle w:val="Heading4"/>
      </w:pPr>
      <w:r>
        <w:t>A.1 學術文獻（72 筆，CSV #1-72）</w:t>
      </w:r>
    </w:p>
    <w:p>
      <w:r>
        <w:rPr>
          <w:b/>
        </w:rPr>
        <w:t>英文</w:t>
      </w:r>
      <w:r>
        <w:t xml:space="preserve">（約 30 筆）：Burnouf, E. (1844). </w:t>
      </w:r>
      <w:r>
        <w:rPr>
          <w:i/>
        </w:rPr>
        <w:t>Introduction à l'histoire du Buddhisme indien</w:t>
      </w:r>
      <w:r>
        <w:t xml:space="preserve"> </w:t>
      </w:r>
      <w:r>
        <w:t xml:space="preserve">CSV #1]. | Burnouf, E. (Trans.). (1852). </w:t>
      </w:r>
      <w:r>
        <w:rPr>
          <w:i/>
        </w:rPr>
        <w:t>Le Lotus de la Bonne Loi</w:t>
      </w:r>
      <w:r>
        <w:t xml:space="preserve"> </w:t>
      </w:r>
      <w:r>
        <w:t xml:space="preserve">CSV #2]. | Kern, H. (Trans.). (1884). </w:t>
      </w:r>
      <w:r>
        <w:rPr>
          <w:i/>
        </w:rPr>
        <w:t>Saddharma-Puṇḍarīka, or the Lotus of the True Law</w:t>
      </w:r>
      <w:r>
        <w:t xml:space="preserve"> </w:t>
      </w:r>
      <w:r>
        <w:t xml:space="preserve">CSV #3]. | Hurvitz, L. (Trans.). (1976). </w:t>
      </w:r>
      <w:r>
        <w:rPr>
          <w:i/>
        </w:rPr>
        <w:t>Scripture of the Lotus Blossom of the Fine Dharma</w:t>
      </w:r>
      <w:r>
        <w:t xml:space="preserve"> </w:t>
      </w:r>
      <w:r>
        <w:t xml:space="preserve">CSV #4]. | Watson, B. (Trans.). (1993). </w:t>
      </w:r>
      <w:r>
        <w:rPr>
          <w:i/>
        </w:rPr>
        <w:t>The Lotus Sutra</w:t>
      </w:r>
      <w:r>
        <w:t xml:space="preserve"> </w:t>
      </w:r>
      <w:r>
        <w:t xml:space="preserve">CSV #5]. | Reeves, G. (Trans.). (2008). </w:t>
      </w:r>
      <w:r>
        <w:rPr>
          <w:i/>
        </w:rPr>
        <w:t>The Lotus Sutra: A Contemporary Translation</w:t>
      </w:r>
      <w:r>
        <w:t xml:space="preserve"> </w:t>
      </w:r>
      <w:r>
        <w:t xml:space="preserve">CSV #6]. | Katō, B., Tamura, Y., &amp; Miyasaka, K. (Trans.). (1975). </w:t>
      </w:r>
      <w:r>
        <w:rPr>
          <w:i/>
        </w:rPr>
        <w:t>The Threefold Lotus Sutra</w:t>
      </w:r>
      <w:r>
        <w:t xml:space="preserve"> </w:t>
      </w:r>
      <w:r>
        <w:t xml:space="preserve">CSV #7]. | Teiser, S. F., &amp; Stone, J. I. (Eds.). (2009). </w:t>
      </w:r>
      <w:r>
        <w:rPr>
          <w:i/>
        </w:rPr>
        <w:t>Readings of the Lotus Sūtra</w:t>
      </w:r>
      <w:r>
        <w:t xml:space="preserve"> </w:t>
      </w:r>
      <w:r>
        <w:t xml:space="preserve">CSV #8]. | Tanabe, G. J., Jr., &amp; Tanabe, W. J. (Eds.). (1989). </w:t>
      </w:r>
      <w:r>
        <w:rPr>
          <w:i/>
        </w:rPr>
        <w:t>The Lotus Sutra in Japanese Culture</w:t>
      </w:r>
      <w:r>
        <w:t xml:space="preserve"> </w:t>
      </w:r>
      <w:r>
        <w:t xml:space="preserve">CSV #9]. | Tsui, Y. (2023). </w:t>
      </w:r>
      <w:r>
        <w:rPr>
          <w:i/>
        </w:rPr>
        <w:t>Rewriting Early Chinese Buddhism</w:t>
      </w:r>
      <w:r>
        <w:t xml:space="preserve"> </w:t>
      </w:r>
      <w:r>
        <w:t xml:space="preserve">CSV #10]. | Teiser, S. F., &amp; Stone, J. I. (Eds.). (2024). </w:t>
      </w:r>
      <w:r>
        <w:rPr>
          <w:i/>
        </w:rPr>
        <w:t>Rethinking the Lotus Sutra</w:t>
      </w:r>
      <w:r>
        <w:t xml:space="preserve"> </w:t>
      </w:r>
      <w:r>
        <w:t xml:space="preserve">CSV #17]. | Karashima, S. (2001). </w:t>
      </w:r>
      <w:r>
        <w:rPr>
          <w:i/>
        </w:rPr>
        <w:t>A Glossary of Kumārajīva's Translation of the Lotus Sutra</w:t>
      </w:r>
      <w:r>
        <w:t xml:space="preserve"> </w:t>
      </w:r>
      <w:r>
        <w:t xml:space="preserve">CSV #12]. | Karashima, S. (2015). The Formation of the Saddharmapuṇḍarīkasūtra. </w:t>
      </w:r>
      <w:r>
        <w:rPr>
          <w:i/>
        </w:rPr>
        <w:t>ARIRIAB</w:t>
      </w:r>
      <w:r>
        <w:t xml:space="preserve">, 18 </w:t>
      </w:r>
      <w:r>
        <w:t xml:space="preserve">CSV #11]. | Karashima, S. (2018–). </w:t>
      </w:r>
      <w:r>
        <w:rPr>
          <w:i/>
        </w:rPr>
        <w:t>A Critical Edition Based on the Gilgit Manuscript</w:t>
      </w:r>
      <w:r>
        <w:t xml:space="preserve"> </w:t>
      </w:r>
      <w:r>
        <w:t xml:space="preserve">CSV #13]. | Wogihara, U., &amp; Tsuchida, C. (1934–35). </w:t>
      </w:r>
      <w:r>
        <w:rPr>
          <w:i/>
        </w:rPr>
        <w:t>Saddharmapuṇḍarīkasūtram: Romanized and Revised Text</w:t>
      </w:r>
      <w:r>
        <w:t xml:space="preserve"> </w:t>
      </w:r>
      <w:r>
        <w:t xml:space="preserve">CSV #14]. | Glass, A. (2007). </w:t>
      </w:r>
      <w:r>
        <w:rPr>
          <w:i/>
        </w:rPr>
        <w:t>The Saddharma-Puṇḍarīka in a Gāndhārī Version</w:t>
      </w:r>
      <w:r>
        <w:t xml:space="preserve"> </w:t>
      </w:r>
      <w:r>
        <w:t xml:space="preserve">CSV #15]. | von Hinüber, O. (2014). Saddharmapuṇḍarīka Manuscripts Found in Gilgit. </w:t>
      </w:r>
      <w:r>
        <w:rPr>
          <w:i/>
        </w:rPr>
        <w:t>ARIRIAB</w:t>
      </w:r>
      <w:r>
        <w:t xml:space="preserve">, 17 </w:t>
      </w:r>
      <w:r>
        <w:t xml:space="preserve">CSV #16]. | Williams, P. (1989). One Vehicle in the Lotus Sūtra. </w:t>
      </w:r>
      <w:r>
        <w:rPr>
          <w:i/>
        </w:rPr>
        <w:t>JIABS</w:t>
      </w:r>
      <w:r>
        <w:t xml:space="preserve">, 12(2) </w:t>
      </w:r>
      <w:r>
        <w:t xml:space="preserve">CSV #18]. | Yuyama, A. (2001). The Origin and Development of the Saddharmapuṇḍarīka </w:t>
      </w:r>
      <w:r>
        <w:t xml:space="preserve">CSV #19]. | Yuyama, A. (1970). </w:t>
      </w:r>
      <w:r>
        <w:rPr>
          <w:i/>
        </w:rPr>
        <w:t>A Bibliography of the Sanskrit Texts</w:t>
      </w:r>
      <w:r>
        <w:t xml:space="preserve"> </w:t>
      </w:r>
      <w:r>
        <w:t xml:space="preserve">CSV #20]. | Nattier, J. (2008). The Early Chinese Translations. </w:t>
      </w:r>
      <w:r>
        <w:rPr>
          <w:i/>
        </w:rPr>
        <w:t>ARIRIAB</w:t>
      </w:r>
      <w:r>
        <w:t xml:space="preserve">, 11 </w:t>
      </w:r>
      <w:r>
        <w:t xml:space="preserve">CSV #21]. | Nattier, J. (1991). </w:t>
      </w:r>
      <w:r>
        <w:rPr>
          <w:i/>
        </w:rPr>
        <w:t>Once Upon a Future Time</w:t>
      </w:r>
      <w:r>
        <w:t xml:space="preserve"> </w:t>
      </w:r>
      <w:r>
        <w:t xml:space="preserve">CSV #22]. | Nattier, J. (2003). Did the Buddha Predict a Peter? </w:t>
      </w:r>
      <w:r>
        <w:rPr>
          <w:i/>
        </w:rPr>
        <w:t>JIABS</w:t>
      </w:r>
      <w:r>
        <w:t xml:space="preserve">, 26(1) </w:t>
      </w:r>
      <w:r>
        <w:t xml:space="preserve">CSV #23]. | Ziporyn, B. (Trans.). (2013). </w:t>
      </w:r>
      <w:r>
        <w:rPr>
          <w:i/>
        </w:rPr>
        <w:t>Tiantai Lotus Texts</w:t>
      </w:r>
      <w:r>
        <w:t xml:space="preserve"> </w:t>
      </w:r>
      <w:r>
        <w:t xml:space="preserve">CSV #24]. | Swanson, P. L. (2018). </w:t>
      </w:r>
      <w:r>
        <w:rPr>
          <w:i/>
        </w:rPr>
        <w:t>Clear Serenity, Quiet Insight</w:t>
      </w:r>
      <w:r>
        <w:t xml:space="preserve"> </w:t>
      </w:r>
      <w:r>
        <w:t xml:space="preserve">CSV #25]. | Swanson, P. L. (1989). </w:t>
      </w:r>
      <w:r>
        <w:rPr>
          <w:i/>
        </w:rPr>
        <w:t>Foundations of T'ien-T'ai Philosophy</w:t>
      </w:r>
      <w:r>
        <w:t xml:space="preserve"> </w:t>
      </w:r>
      <w:r>
        <w:t xml:space="preserve">CSV #26]. | Stone, J. I. (1998). The Lotus Sutra and the Rhetoric of Legitimation. </w:t>
      </w:r>
      <w:r>
        <w:rPr>
          <w:i/>
        </w:rPr>
        <w:t>JJRS</w:t>
      </w:r>
      <w:r>
        <w:t xml:space="preserve">, 25(3-4) </w:t>
      </w:r>
      <w:r>
        <w:t xml:space="preserve">CSV #27]. | Stone, J. I. (1999). </w:t>
      </w:r>
      <w:r>
        <w:rPr>
          <w:i/>
        </w:rPr>
        <w:t>Original Enlightenment and Medieval Japanese Buddhism</w:t>
      </w:r>
      <w:r>
        <w:t xml:space="preserve"> </w:t>
      </w:r>
      <w:r>
        <w:t xml:space="preserve">CSV #28]. | Reeves, G. (2010). Inclusive and Exclusive Perspectives on the One Vehicle </w:t>
      </w:r>
      <w:r>
        <w:t xml:space="preserve">CSV #29]. | Kubo, T., &amp; Yuyama, A. (2007). </w:t>
      </w:r>
      <w:r>
        <w:rPr>
          <w:i/>
        </w:rPr>
        <w:t>The Lotus Sutra and Its Opening and Closing Sutras</w:t>
      </w:r>
      <w:r>
        <w:t xml:space="preserve"> </w:t>
      </w:r>
      <w:r>
        <w:t xml:space="preserve">CSV #30]. | Deeg, M. (2010). Die Buddhistische Literatur und das Saddharma-puṇḍarīka-sūtra </w:t>
      </w:r>
      <w:r>
        <w:t xml:space="preserve">CSV #31]. | Robert, J.-N. (1997). </w:t>
      </w:r>
      <w:r>
        <w:rPr>
          <w:i/>
        </w:rPr>
        <w:t>Le Sûtra du Lotus</w:t>
      </w:r>
      <w:r>
        <w:t xml:space="preserve"> </w:t>
      </w:r>
      <w:r>
        <w:t>CSV #32].</w:t>
      </w:r>
    </w:p>
    <w:p>
      <w:r>
        <w:rPr>
          <w:b/>
        </w:rPr>
        <w:t>中文</w:t>
      </w:r>
      <w:r>
        <w:t>（約 25 筆）：釋恒清 (2002)。《法華經的哲學與實踐》</w:t>
      </w:r>
      <w:r>
        <w:t xml:space="preserve">CSV #33]。| 陳英善 (2001)。法華經方便品「開權顯實」思想之研究 </w:t>
      </w:r>
      <w:r>
        <w:t xml:space="preserve">CSV #34]。| 釋慧嶽 (1999)。法華經的「一佛乘」思想與天台教判 </w:t>
      </w:r>
      <w:r>
        <w:t xml:space="preserve">CSV #35]。| 黃國清 (2005)。天台智顗的法華經詮釋 </w:t>
      </w:r>
      <w:r>
        <w:t xml:space="preserve">CSV #36]。| 釋果暉 (2008)。竺法護與鳩摩羅什翻譯比較 </w:t>
      </w:r>
      <w:r>
        <w:t xml:space="preserve">CSV #37]。| 黃國清 (2010)。法華經「常不輕菩薩品」的宗教實踐意涵 </w:t>
      </w:r>
      <w:r>
        <w:t>CSV #38]。| 潘桂明 (2001)。《天台法華思想研究》</w:t>
      </w:r>
      <w:r>
        <w:t>CSV #39]。| 蕭麗華 (2006)。《法華經之文學性研究》</w:t>
      </w:r>
      <w:r>
        <w:t xml:space="preserve">CSV #40]。| 蕭麗華 (2004)。法華經「七喻」的文學分析 </w:t>
      </w:r>
      <w:r>
        <w:t>CSV #41]。| 望月信亨 著/釋印海 譯 (1987)。《法華經的成立與發展》</w:t>
      </w:r>
      <w:r>
        <w:t>CSV #42]。| 平川彰 著/釋慈怡 譯 (1993)。《法華經思想研究》</w:t>
      </w:r>
      <w:r>
        <w:t xml:space="preserve">CSV #43]。| 釋恒清 (2004)。法華經「如來壽量品」的時間觀 </w:t>
      </w:r>
      <w:r>
        <w:t xml:space="preserve">CSV #44]。| 方廣錩 (2005)。敦煌寫本法華經之研究 </w:t>
      </w:r>
      <w:r>
        <w:t>CSV #45]。| 釋如石 (2015)。《法華經之核心思想》</w:t>
      </w:r>
      <w:r>
        <w:t>CSV #46]。| 賴永海 (2013)。《法華經導讀》</w:t>
      </w:r>
      <w:r>
        <w:t xml:space="preserve">CSV #47]。| 釋大睿 (2003)。法華經「觀世音菩薩普門品」信仰研究 </w:t>
      </w:r>
      <w:r>
        <w:t xml:space="preserve">CSV #48]。| 林鎮國 (2007)。法華經「見寶塔品」的空間象徵 </w:t>
      </w:r>
      <w:r>
        <w:t>CSV #49]。| 林光明 (2014)。《妙法蓮華經梵漢對照》</w:t>
      </w:r>
      <w:r>
        <w:t xml:space="preserve">CSV #50]。| 郭朝順 (2010)。法華經在中國的傳譯與受容 </w:t>
      </w:r>
      <w:r>
        <w:t xml:space="preserve">CSV #51]。| 黃國清 (2012)。法華經與華嚴經之比較研究 </w:t>
      </w:r>
      <w:r>
        <w:t>CSV #52]。| 吳言生 (2009)。《法華經與中國文化》</w:t>
      </w:r>
      <w:r>
        <w:t xml:space="preserve">CSV #53]。| 顏娟英 (2008)。法華經信仰與六朝造像研究 </w:t>
      </w:r>
      <w:r>
        <w:t xml:space="preserve">CSV #54]。| 釋昭慧 (2011)。日蓮對法華經的詮釋與政治實踐 </w:t>
      </w:r>
      <w:r>
        <w:t xml:space="preserve">CSV #55]。| 萬金川 (2003)。《法華經》偈頌的韻律與語言特徵 </w:t>
      </w:r>
      <w:r>
        <w:t>CSV #56]。</w:t>
      </w:r>
    </w:p>
    <w:p>
      <w:r>
        <w:rPr>
          <w:b/>
        </w:rPr>
        <w:t>日文</w:t>
      </w:r>
      <w:r>
        <w:t>（約 10 筆）：望月信亨 (1922)。《法華經の成立と展開》</w:t>
      </w:r>
      <w:r>
        <w:t>CSV #57]。| 坂本幸男 編 (1965)。《法華經の文化と基盤》</w:t>
      </w:r>
      <w:r>
        <w:t>CSV #58]。| 田村芳朗 (1969)。《法華經の中國的展開》</w:t>
      </w:r>
      <w:r>
        <w:t>CSV #59]。| 田村芳朗 (1975)。《法華經一仏乗の思想》</w:t>
      </w:r>
      <w:r>
        <w:t>CSV #60]。| 勝呂信靜 編 (2000)。《法華經の思想と文化》</w:t>
      </w:r>
      <w:r>
        <w:t>CSV #61]。| 渡邊寶陽 &amp; 宮田幸一 編 (2004)。《法華經の事典》</w:t>
      </w:r>
      <w:r>
        <w:t xml:space="preserve">CSV #62]。| 布施浩岳 (1934)。法華經の成立年代に関する一考察 </w:t>
      </w:r>
      <w:r>
        <w:t xml:space="preserve">CSV #63]。| 菅野博史 (1991)。法華經における久遠仏の問題 </w:t>
      </w:r>
      <w:r>
        <w:t>CSV #64]。| 菅野博史 (2009)。《法華經の受容と展開》</w:t>
      </w:r>
      <w:r>
        <w:t xml:space="preserve">CSV #65]。| 辛嶋静志 (2010)。梵文法華經写本の系統分類 </w:t>
      </w:r>
      <w:r>
        <w:t>CSV #66]。</w:t>
      </w:r>
    </w:p>
    <w:p>
      <w:r>
        <w:rPr>
          <w:b/>
        </w:rPr>
        <w:t>韓文</w:t>
      </w:r>
      <w:r>
        <w:t xml:space="preserve">（6 筆）：김영일 (2005) </w:t>
      </w:r>
      <w:r>
        <w:t xml:space="preserve">CSV #67]。| 박용진 (2012) </w:t>
      </w:r>
      <w:r>
        <w:t xml:space="preserve">CSV #68]。| 이승혜 (2015) </w:t>
      </w:r>
      <w:r>
        <w:t xml:space="preserve">CSV #69]。| 최윤정 (2018) </w:t>
      </w:r>
      <w:r>
        <w:t xml:space="preserve">CSV #70]。| 정수영 (2020) </w:t>
      </w:r>
      <w:r>
        <w:t xml:space="preserve">CSV #71]。| 김상현 (2008) </w:t>
      </w:r>
      <w:r>
        <w:t>CSV #72]。</w:t>
      </w:r>
    </w:p>
    <w:p>
      <w:r>
        <w:rPr>
          <w:b/>
        </w:rPr>
        <w:t>法文</w:t>
      </w:r>
      <w:r>
        <w:t>（2 筆）：</w:t>
      </w:r>
      <w:r>
        <w:t>CSV #1-2, 32]。</w:t>
      </w:r>
      <w:r>
        <w:rPr>
          <w:b/>
        </w:rPr>
        <w:t>德文</w:t>
      </w:r>
      <w:r>
        <w:t>（1 筆）：</w:t>
      </w:r>
      <w:r>
        <w:t>CSV #31]。</w:t>
      </w:r>
    </w:p>
    <w:p>
      <w:pPr>
        <w:pStyle w:val="Heading4"/>
      </w:pPr>
      <w:r>
        <w:t>A.2 注釋資料（45 筆，CSV #73-117）</w:t>
      </w:r>
    </w:p>
    <w:p>
      <w:r>
        <w:rPr>
          <w:b/>
        </w:rPr>
        <w:t>印度論師</w:t>
      </w:r>
      <w:r>
        <w:t>：世親《法華經論》</w:t>
      </w:r>
      <w:r>
        <w:t>CSV #81]。</w:t>
      </w:r>
      <w:r>
        <w:rPr>
          <w:b/>
        </w:rPr>
        <w:t>中國古典</w:t>
      </w:r>
      <w:r>
        <w:t xml:space="preserve">：智顗法華三大部 </w:t>
      </w:r>
      <w:r>
        <w:t xml:space="preserve">CSV #73-75]、吉藏三部 </w:t>
      </w:r>
      <w:r>
        <w:t>CSV #76-77, 82]、窺基《法華玄贊》</w:t>
      </w:r>
      <w:r>
        <w:t xml:space="preserve">CSV #78]、慧思 </w:t>
      </w:r>
      <w:r>
        <w:t xml:space="preserve">CSV #79]、智顗懺儀 </w:t>
      </w:r>
      <w:r>
        <w:t xml:space="preserve">CSV #80]、湛然 </w:t>
      </w:r>
      <w:r>
        <w:t xml:space="preserve">CSV #83-84]、法雲 </w:t>
      </w:r>
      <w:r>
        <w:t xml:space="preserve">CSV #116]、慧均 </w:t>
      </w:r>
      <w:r>
        <w:t xml:space="preserve">CSV #117]、憨山 </w:t>
      </w:r>
      <w:r>
        <w:t xml:space="preserve">CSV #106]、蕅益 </w:t>
      </w:r>
      <w:r>
        <w:t xml:space="preserve">CSV #107]、大義 </w:t>
      </w:r>
      <w:r>
        <w:t>CSV #108]。</w:t>
      </w:r>
      <w:r>
        <w:rPr>
          <w:b/>
        </w:rPr>
        <w:t>日本注疏</w:t>
      </w:r>
      <w:r>
        <w:t xml:space="preserve">：最澄 </w:t>
      </w:r>
      <w:r>
        <w:t xml:space="preserve">CSV #85]、圓仁 </w:t>
      </w:r>
      <w:r>
        <w:t xml:space="preserve">CSV #86]、空海 </w:t>
      </w:r>
      <w:r>
        <w:t xml:space="preserve">CSV #87]、日蓮 </w:t>
      </w:r>
      <w:r>
        <w:t>CSV #88-89]。</w:t>
      </w:r>
      <w:r>
        <w:rPr>
          <w:b/>
        </w:rPr>
        <w:t>現代注釋</w:t>
      </w:r>
      <w:r>
        <w:t xml:space="preserve">：太虛 </w:t>
      </w:r>
      <w:r>
        <w:t xml:space="preserve">CSV #90]、宣化上人 </w:t>
      </w:r>
      <w:r>
        <w:t xml:space="preserve">CSV #91]、南懷瑾 </w:t>
      </w:r>
      <w:r>
        <w:t xml:space="preserve">CSV #92]、釋演培 </w:t>
      </w:r>
      <w:r>
        <w:t xml:space="preserve">CSV #93]、淨空 </w:t>
      </w:r>
      <w:r>
        <w:t xml:space="preserve">CSV #94]、黃智海 </w:t>
      </w:r>
      <w:r>
        <w:t xml:space="preserve">CSV #95]、星雲 </w:t>
      </w:r>
      <w:r>
        <w:t xml:space="preserve">CSV #96]、聖嚴 </w:t>
      </w:r>
      <w:r>
        <w:t xml:space="preserve">CSV #97, 110]、證嚴 </w:t>
      </w:r>
      <w:r>
        <w:t xml:space="preserve">CSV #98]、Lopez </w:t>
      </w:r>
      <w:r>
        <w:t xml:space="preserve">CSV #99]、Stone </w:t>
      </w:r>
      <w:r>
        <w:t xml:space="preserve">CSV #100]、菅野博史 </w:t>
      </w:r>
      <w:r>
        <w:t xml:space="preserve">CSV #101]、松岡由香子 </w:t>
      </w:r>
      <w:r>
        <w:t xml:space="preserve">CSV #102]、박경준 </w:t>
      </w:r>
      <w:r>
        <w:t xml:space="preserve">CSV #103]、Shimizu </w:t>
      </w:r>
      <w:r>
        <w:t xml:space="preserve">CSV #104]、杜正民 </w:t>
      </w:r>
      <w:r>
        <w:t xml:space="preserve">CSV #105]、慈舟 </w:t>
      </w:r>
      <w:r>
        <w:t>CSV #109]。</w:t>
      </w:r>
      <w:r>
        <w:rPr>
          <w:b/>
        </w:rPr>
        <w:t>三大漢譯原典</w:t>
      </w:r>
      <w:r>
        <w:t xml:space="preserve">：竺法護 </w:t>
      </w:r>
      <w:r>
        <w:t xml:space="preserve">CSV #111]、闍那崛多 </w:t>
      </w:r>
      <w:r>
        <w:t>CSV #112]。</w:t>
      </w:r>
      <w:r>
        <w:rPr>
          <w:b/>
        </w:rPr>
        <w:t>傳記集</w:t>
      </w:r>
      <w:r>
        <w:t>：</w:t>
      </w:r>
      <w:r>
        <w:t>CSV #113-115]。</w:t>
      </w:r>
    </w:p>
    <w:p>
      <w:pPr>
        <w:pStyle w:val="Heading4"/>
      </w:pPr>
      <w:r>
        <w:t>A.3 歷史背景資料（45 筆，CSV #118-162）</w:t>
      </w:r>
    </w:p>
    <w:p>
      <w:r>
        <w:rPr>
          <w:b/>
        </w:rPr>
        <w:t>成書史</w:t>
      </w:r>
      <w:r>
        <w:t xml:space="preserve">：Lamotte </w:t>
      </w:r>
      <w:r>
        <w:t xml:space="preserve">CSV #147-148]、印順法師 </w:t>
      </w:r>
      <w:r>
        <w:t xml:space="preserve">CSV #145-146]、平川彰 </w:t>
      </w:r>
      <w:r>
        <w:t>CSV #149]。</w:t>
      </w:r>
      <w:r>
        <w:rPr>
          <w:b/>
        </w:rPr>
        <w:t>寫本考古</w:t>
      </w:r>
      <w:r>
        <w:t xml:space="preserve">：Raghu Vira </w:t>
      </w:r>
      <w:r>
        <w:t xml:space="preserve">CSV #124]、Toda </w:t>
      </w:r>
      <w:r>
        <w:t xml:space="preserve">CSV #125]、方廣錩 </w:t>
      </w:r>
      <w:r>
        <w:t xml:space="preserve">CSV #126]、Salomon </w:t>
      </w:r>
      <w:r>
        <w:t xml:space="preserve">CSV #127]、Yuyama </w:t>
      </w:r>
      <w:r>
        <w:t xml:space="preserve">CSV #128]、松田和信 </w:t>
      </w:r>
      <w:r>
        <w:t xml:space="preserve">CSV #129]、Baums &amp; Glass </w:t>
      </w:r>
      <w:r>
        <w:t>CSV #130]。</w:t>
      </w:r>
      <w:r>
        <w:rPr>
          <w:b/>
        </w:rPr>
        <w:t>翻譯傳播</w:t>
      </w:r>
      <w:r>
        <w:t xml:space="preserve">：馬祖毅 </w:t>
      </w:r>
      <w:r>
        <w:t xml:space="preserve">CSV #118]、呂澂 </w:t>
      </w:r>
      <w:r>
        <w:t xml:space="preserve">CSV #119]、Tongdian Lu </w:t>
      </w:r>
      <w:r>
        <w:t xml:space="preserve">CSV #120]、Boucher </w:t>
      </w:r>
      <w:r>
        <w:t xml:space="preserve">CSV #121]、船山徹 </w:t>
      </w:r>
      <w:r>
        <w:t xml:space="preserve">CSV #122]、張麗珠 </w:t>
      </w:r>
      <w:r>
        <w:t>CSV #123]。</w:t>
      </w:r>
      <w:r>
        <w:rPr>
          <w:b/>
        </w:rPr>
        <w:t>東亞受容</w:t>
      </w:r>
      <w:r>
        <w:t xml:space="preserve">：潘桂明 </w:t>
      </w:r>
      <w:r>
        <w:t xml:space="preserve">CSV #131]、龔雋 </w:t>
      </w:r>
      <w:r>
        <w:t xml:space="preserve">CSV #134]、劉淑芬 </w:t>
      </w:r>
      <w:r>
        <w:t xml:space="preserve">CSV #135]、田村圓澄 </w:t>
      </w:r>
      <w:r>
        <w:t xml:space="preserve">CSV #136]、김영태 </w:t>
      </w:r>
      <w:r>
        <w:t xml:space="preserve">CSV #140]、阮才東 </w:t>
      </w:r>
      <w:r>
        <w:t xml:space="preserve">CSV #141]、Schober </w:t>
      </w:r>
      <w:r>
        <w:t xml:space="preserve">CSV #142]、Anesaki </w:t>
      </w:r>
      <w:r>
        <w:t xml:space="preserve">CSV #132]、Stone </w:t>
      </w:r>
      <w:r>
        <w:t xml:space="preserve">CSV #133]、Ketelaar </w:t>
      </w:r>
      <w:r>
        <w:t xml:space="preserve">CSV #154]、末木文美士 </w:t>
      </w:r>
      <w:r>
        <w:t xml:space="preserve">CSV #160]、Strand </w:t>
      </w:r>
      <w:r>
        <w:t xml:space="preserve">CSV #161]、Deal &amp; Ruppert </w:t>
      </w:r>
      <w:r>
        <w:t xml:space="preserve">CSV #162]、釋大睿 </w:t>
      </w:r>
      <w:r>
        <w:t xml:space="preserve">CSV #151]、Wright </w:t>
      </w:r>
      <w:r>
        <w:t xml:space="preserve">CSV #152]、榮新江 </w:t>
      </w:r>
      <w:r>
        <w:t>CSV #153]。</w:t>
      </w:r>
      <w:r>
        <w:rPr>
          <w:b/>
        </w:rPr>
        <w:t>藝術信仰</w:t>
      </w:r>
      <w:r>
        <w:t xml:space="preserve">：Wang </w:t>
      </w:r>
      <w:r>
        <w:t xml:space="preserve">CSV #137]、賀世哲 </w:t>
      </w:r>
      <w:r>
        <w:t xml:space="preserve">CSV #138]、Sharf </w:t>
      </w:r>
      <w:r>
        <w:t xml:space="preserve">CSV #139]、李玉珉 </w:t>
      </w:r>
      <w:r>
        <w:t xml:space="preserve">CSV #155]、McNair </w:t>
      </w:r>
      <w:r>
        <w:t xml:space="preserve">CSV #156]、法華經文化研究所 </w:t>
      </w:r>
      <w:r>
        <w:t xml:space="preserve">CSV #157]、于君方 </w:t>
      </w:r>
      <w:r>
        <w:t xml:space="preserve">CSV #158-159]、Park </w:t>
      </w:r>
      <w:r>
        <w:t>CSV #150]。</w:t>
      </w:r>
    </w:p>
    <w:p>
      <w:pPr>
        <w:pStyle w:val="Heading3"/>
      </w:pPr>
      <w:r>
        <w:t>附錄 B：CSV 資料欄位說明</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欄位</w:t>
            </w:r>
          </w:p>
        </w:tc>
        <w:tc>
          <w:tcPr>
            <w:tcW w:type="dxa" w:w="2160"/>
          </w:tcPr>
          <w:p>
            <w:r>
              <w:rPr>
                <w:b/>
              </w:rPr>
              <w:t>型態</w:t>
            </w:r>
          </w:p>
        </w:tc>
        <w:tc>
          <w:tcPr>
            <w:tcW w:type="dxa" w:w="2160"/>
          </w:tcPr>
          <w:p>
            <w:r>
              <w:rPr>
                <w:b/>
              </w:rPr>
              <w:t>說明</w:t>
            </w:r>
          </w:p>
        </w:tc>
        <w:tc>
          <w:tcPr>
            <w:tcW w:type="dxa" w:w="2160"/>
          </w:tcPr>
          <w:p>
            <w:r>
              <w:rPr>
                <w:b/>
              </w:rPr>
              <w:t>填寫規範</w:t>
            </w:r>
          </w:p>
        </w:tc>
      </w:tr>
      <w:tr>
        <w:tc>
          <w:tcPr>
            <w:tcW w:type="dxa" w:w="2160"/>
          </w:tcPr>
          <w:p>
            <w:r>
              <w:t>編號</w:t>
            </w:r>
          </w:p>
        </w:tc>
        <w:tc>
          <w:tcPr>
            <w:tcW w:type="dxa" w:w="2160"/>
          </w:tcPr>
          <w:p>
            <w:r>
              <w:t>整數</w:t>
            </w:r>
          </w:p>
        </w:tc>
        <w:tc>
          <w:tcPr>
            <w:tcW w:type="dxa" w:w="2160"/>
          </w:tcPr>
          <w:p>
            <w:r>
              <w:t>1-162 唯一識別號</w:t>
            </w:r>
          </w:p>
        </w:tc>
        <w:tc>
          <w:tcPr>
            <w:tcW w:type="dxa" w:w="2160"/>
          </w:tcPr>
          <w:p>
            <w:r>
              <w:t>連續遞增，不可重複</w:t>
            </w:r>
          </w:p>
        </w:tc>
      </w:tr>
      <w:tr>
        <w:tc>
          <w:tcPr>
            <w:tcW w:type="dxa" w:w="2160"/>
          </w:tcPr>
          <w:p>
            <w:r>
              <w:t>類別</w:t>
            </w:r>
          </w:p>
        </w:tc>
        <w:tc>
          <w:tcPr>
            <w:tcW w:type="dxa" w:w="2160"/>
          </w:tcPr>
          <w:p>
            <w:r>
              <w:t>列舉</w:t>
            </w:r>
          </w:p>
        </w:tc>
        <w:tc>
          <w:tcPr>
            <w:tcW w:type="dxa" w:w="2160"/>
          </w:tcPr>
          <w:p>
            <w:r>
              <w:t>學術文獻/注釋/歷史背景</w:t>
            </w:r>
          </w:p>
        </w:tc>
        <w:tc>
          <w:tcPr>
            <w:tcW w:type="dxa" w:w="2160"/>
          </w:tcPr>
          <w:p>
            <w:r>
              <w:t>三擇一</w:t>
            </w:r>
          </w:p>
        </w:tc>
      </w:tr>
      <w:tr>
        <w:tc>
          <w:tcPr>
            <w:tcW w:type="dxa" w:w="2160"/>
          </w:tcPr>
          <w:p>
            <w:r>
              <w:t>標題</w:t>
            </w:r>
          </w:p>
        </w:tc>
        <w:tc>
          <w:tcPr>
            <w:tcW w:type="dxa" w:w="2160"/>
          </w:tcPr>
          <w:p>
            <w:r>
              <w:t>文字</w:t>
            </w:r>
          </w:p>
        </w:tc>
        <w:tc>
          <w:tcPr>
            <w:tcW w:type="dxa" w:w="2160"/>
          </w:tcPr>
          <w:p>
            <w:r>
              <w:t>原文標題</w:t>
            </w:r>
          </w:p>
        </w:tc>
        <w:tc>
          <w:tcPr>
            <w:tcW w:type="dxa" w:w="2160"/>
          </w:tcPr>
          <w:p>
            <w:r>
              <w:t>保留原始語言</w:t>
            </w:r>
          </w:p>
        </w:tc>
      </w:tr>
      <w:tr>
        <w:tc>
          <w:tcPr>
            <w:tcW w:type="dxa" w:w="2160"/>
          </w:tcPr>
          <w:p>
            <w:r>
              <w:t>作者/編者</w:t>
            </w:r>
          </w:p>
        </w:tc>
        <w:tc>
          <w:tcPr>
            <w:tcW w:type="dxa" w:w="2160"/>
          </w:tcPr>
          <w:p>
            <w:r>
              <w:t>文字</w:t>
            </w:r>
          </w:p>
        </w:tc>
        <w:tc>
          <w:tcPr>
            <w:tcW w:type="dxa" w:w="2160"/>
          </w:tcPr>
          <w:p>
            <w:r>
              <w:t>含角色標記</w:t>
            </w:r>
          </w:p>
        </w:tc>
        <w:tc>
          <w:tcPr>
            <w:tcW w:type="dxa" w:w="2160"/>
          </w:tcPr>
          <w:p>
            <w:r>
              <w:t>trans./ed./著/編</w:t>
            </w:r>
          </w:p>
        </w:tc>
      </w:tr>
      <w:tr>
        <w:tc>
          <w:tcPr>
            <w:tcW w:type="dxa" w:w="2160"/>
          </w:tcPr>
          <w:p>
            <w:r>
              <w:t>出版年</w:t>
            </w:r>
          </w:p>
        </w:tc>
        <w:tc>
          <w:tcPr>
            <w:tcW w:type="dxa" w:w="2160"/>
          </w:tcPr>
          <w:p>
            <w:r>
              <w:t>整數/範圍</w:t>
            </w:r>
          </w:p>
        </w:tc>
        <w:tc>
          <w:tcPr>
            <w:tcW w:type="dxa" w:w="2160"/>
          </w:tcPr>
          <w:p>
            <w:r>
              <w:t>西元年</w:t>
            </w:r>
          </w:p>
        </w:tc>
        <w:tc>
          <w:tcPr>
            <w:tcW w:type="dxa" w:w="2160"/>
          </w:tcPr>
          <w:p>
            <w:r>
              <w:t>如 2009, 1934-35, 2018–</w:t>
            </w:r>
          </w:p>
        </w:tc>
      </w:tr>
      <w:tr>
        <w:tc>
          <w:tcPr>
            <w:tcW w:type="dxa" w:w="2160"/>
          </w:tcPr>
          <w:p>
            <w:r>
              <w:t>出版單位/期刊</w:t>
            </w:r>
          </w:p>
        </w:tc>
        <w:tc>
          <w:tcPr>
            <w:tcW w:type="dxa" w:w="2160"/>
          </w:tcPr>
          <w:p>
            <w:r>
              <w:t>文字</w:t>
            </w:r>
          </w:p>
        </w:tc>
        <w:tc>
          <w:tcPr>
            <w:tcW w:type="dxa" w:w="2160"/>
          </w:tcPr>
          <w:p>
            <w:r>
              <w:t>出版社或期刊名</w:t>
            </w:r>
          </w:p>
        </w:tc>
        <w:tc>
          <w:tcPr>
            <w:tcW w:type="dxa" w:w="2160"/>
          </w:tcPr>
          <w:p>
            <w:r>
              <w:t>含卷期號</w:t>
            </w:r>
          </w:p>
        </w:tc>
      </w:tr>
      <w:tr>
        <w:tc>
          <w:tcPr>
            <w:tcW w:type="dxa" w:w="2160"/>
          </w:tcPr>
          <w:p>
            <w:r>
              <w:t>語言</w:t>
            </w:r>
          </w:p>
        </w:tc>
        <w:tc>
          <w:tcPr>
            <w:tcW w:type="dxa" w:w="2160"/>
          </w:tcPr>
          <w:p>
            <w:r>
              <w:t>列舉</w:t>
            </w:r>
          </w:p>
        </w:tc>
        <w:tc>
          <w:tcPr>
            <w:tcW w:type="dxa" w:w="2160"/>
          </w:tcPr>
          <w:p>
            <w:r>
              <w:t>7 種語言</w:t>
            </w:r>
          </w:p>
        </w:tc>
        <w:tc>
          <w:tcPr>
            <w:tcW w:type="dxa" w:w="2160"/>
          </w:tcPr>
          <w:p>
            <w:r>
              <w:t>可組合如「英文/梵文」</w:t>
            </w:r>
          </w:p>
        </w:tc>
      </w:tr>
      <w:tr>
        <w:tc>
          <w:tcPr>
            <w:tcW w:type="dxa" w:w="2160"/>
          </w:tcPr>
          <w:p>
            <w:r>
              <w:t>DOI/ISBN/ISSN</w:t>
            </w:r>
          </w:p>
        </w:tc>
        <w:tc>
          <w:tcPr>
            <w:tcW w:type="dxa" w:w="2160"/>
          </w:tcPr>
          <w:p>
            <w:r>
              <w:t>文字</w:t>
            </w:r>
          </w:p>
        </w:tc>
        <w:tc>
          <w:tcPr>
            <w:tcW w:type="dxa" w:w="2160"/>
          </w:tcPr>
          <w:p>
            <w:r>
              <w:t>標準號</w:t>
            </w:r>
          </w:p>
        </w:tc>
        <w:tc>
          <w:tcPr>
            <w:tcW w:type="dxa" w:w="2160"/>
          </w:tcPr>
          <w:p>
            <w:r>
              <w:t>缺失以「—」標記</w:t>
            </w:r>
          </w:p>
        </w:tc>
      </w:tr>
      <w:tr>
        <w:tc>
          <w:tcPr>
            <w:tcW w:type="dxa" w:w="2160"/>
          </w:tcPr>
          <w:p>
            <w:r>
              <w:t>URL</w:t>
            </w:r>
          </w:p>
        </w:tc>
        <w:tc>
          <w:tcPr>
            <w:tcW w:type="dxa" w:w="2160"/>
          </w:tcPr>
          <w:p>
            <w:r>
              <w:t>文字</w:t>
            </w:r>
          </w:p>
        </w:tc>
        <w:tc>
          <w:tcPr>
            <w:tcW w:type="dxa" w:w="2160"/>
          </w:tcPr>
          <w:p>
            <w:r>
              <w:t>取得入口</w:t>
            </w:r>
          </w:p>
        </w:tc>
        <w:tc>
          <w:tcPr>
            <w:tcW w:type="dxa" w:w="2160"/>
          </w:tcPr>
          <w:p>
            <w:r>
              <w:t>優先列機構官網</w:t>
            </w:r>
          </w:p>
        </w:tc>
      </w:tr>
      <w:tr>
        <w:tc>
          <w:tcPr>
            <w:tcW w:type="dxa" w:w="2160"/>
          </w:tcPr>
          <w:p>
            <w:r>
              <w:t>摘要</w:t>
            </w:r>
          </w:p>
        </w:tc>
        <w:tc>
          <w:tcPr>
            <w:tcW w:type="dxa" w:w="2160"/>
          </w:tcPr>
          <w:p>
            <w:r>
              <w:t>文字</w:t>
            </w:r>
          </w:p>
        </w:tc>
        <w:tc>
          <w:tcPr>
            <w:tcW w:type="dxa" w:w="2160"/>
          </w:tcPr>
          <w:p>
            <w:r>
              <w:t>內容概述</w:t>
            </w:r>
          </w:p>
        </w:tc>
        <w:tc>
          <w:tcPr>
            <w:tcW w:type="dxa" w:w="2160"/>
          </w:tcPr>
          <w:p>
            <w:r>
              <w:t>30-80 字</w:t>
            </w:r>
          </w:p>
        </w:tc>
      </w:tr>
      <w:tr>
        <w:tc>
          <w:tcPr>
            <w:tcW w:type="dxa" w:w="2160"/>
          </w:tcPr>
          <w:p>
            <w:r>
              <w:t>備註</w:t>
            </w:r>
          </w:p>
        </w:tc>
        <w:tc>
          <w:tcPr>
            <w:tcW w:type="dxa" w:w="2160"/>
          </w:tcPr>
          <w:p>
            <w:r>
              <w:t>文字</w:t>
            </w:r>
          </w:p>
        </w:tc>
        <w:tc>
          <w:tcPr>
            <w:tcW w:type="dxa" w:w="2160"/>
          </w:tcPr>
          <w:p>
            <w:r>
              <w:t>取得方式</w:t>
            </w:r>
          </w:p>
        </w:tc>
        <w:tc>
          <w:tcPr>
            <w:tcW w:type="dxa" w:w="2160"/>
          </w:tcPr>
          <w:p>
            <w:r>
              <w:t>開放/付費/期刊等</w:t>
            </w:r>
          </w:p>
        </w:tc>
      </w:tr>
    </w:tbl>
    <w:p/>
    <w:p>
      <w:r>
        <w:rPr>
          <w:b/>
        </w:rPr>
        <w:t>資料品質等級</w:t>
      </w:r>
      <w:r>
        <w:t>：A 級（原始文獻/學術權威）、B 級（同行評審）、C 級（一般出版）。A/B 級 &gt; 120 筆（74%+）。</w:t>
      </w:r>
      <w:r>
        <w:rPr>
          <w:b/>
        </w:rPr>
        <w:t>已知缺漏</w:t>
      </w:r>
      <w:r>
        <w:t>：部分早期日文著作缺 DOI/ISBN；韓文文獻 URL 多指向 KCI/WorldCat 而非全文。</w:t>
      </w:r>
    </w:p>
    <w:p>
      <w:pPr>
        <w:pStyle w:val="Heading3"/>
      </w:pPr>
      <w:r>
        <w:t>附錄 C：法華經二十八品覆蓋狀態表</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品次</w:t>
            </w:r>
          </w:p>
        </w:tc>
        <w:tc>
          <w:tcPr>
            <w:tcW w:type="dxa" w:w="1728"/>
          </w:tcPr>
          <w:p>
            <w:r>
              <w:rPr>
                <w:b/>
              </w:rPr>
              <w:t>品名</w:t>
            </w:r>
          </w:p>
        </w:tc>
        <w:tc>
          <w:tcPr>
            <w:tcW w:type="dxa" w:w="1728"/>
          </w:tcPr>
          <w:p>
            <w:r>
              <w:rPr>
                <w:b/>
              </w:rPr>
              <w:t>所屬</w:t>
            </w:r>
          </w:p>
        </w:tc>
        <w:tc>
          <w:tcPr>
            <w:tcW w:type="dxa" w:w="1728"/>
          </w:tcPr>
          <w:p>
            <w:r>
              <w:rPr>
                <w:b/>
              </w:rPr>
              <w:t>KB 狀態</w:t>
            </w:r>
          </w:p>
        </w:tc>
        <w:tc>
          <w:tcPr>
            <w:tcW w:type="dxa" w:w="1728"/>
          </w:tcPr>
          <w:p>
            <w:r>
              <w:rPr>
                <w:b/>
              </w:rPr>
              <w:t>備註</w:t>
            </w:r>
          </w:p>
        </w:tc>
      </w:tr>
      <w:tr>
        <w:tc>
          <w:tcPr>
            <w:tcW w:type="dxa" w:w="1728"/>
          </w:tcPr>
          <w:p>
            <w:r>
              <w:t>1</w:t>
            </w:r>
          </w:p>
        </w:tc>
        <w:tc>
          <w:tcPr>
            <w:tcW w:type="dxa" w:w="1728"/>
          </w:tcPr>
          <w:p>
            <w:r>
              <w:t>序品</w:t>
            </w:r>
          </w:p>
        </w:tc>
        <w:tc>
          <w:tcPr>
            <w:tcW w:type="dxa" w:w="1728"/>
          </w:tcPr>
          <w:p>
            <w:r>
              <w:t>迹門序分</w:t>
            </w:r>
          </w:p>
        </w:tc>
        <w:tc>
          <w:tcPr>
            <w:tcW w:type="dxa" w:w="1728"/>
          </w:tcPr>
          <w:p>
            <w:r>
              <w:t>待研究</w:t>
            </w:r>
          </w:p>
        </w:tc>
        <w:tc>
          <w:tcPr>
            <w:tcW w:type="dxa" w:w="1728"/>
          </w:tcPr>
          <w:p>
            <w:r>
              <w:t>P0 優先</w:t>
            </w:r>
          </w:p>
        </w:tc>
      </w:tr>
      <w:tr>
        <w:tc>
          <w:tcPr>
            <w:tcW w:type="dxa" w:w="1728"/>
          </w:tcPr>
          <w:p>
            <w:r>
              <w:t>2</w:t>
            </w:r>
          </w:p>
        </w:tc>
        <w:tc>
          <w:tcPr>
            <w:tcW w:type="dxa" w:w="1728"/>
          </w:tcPr>
          <w:p>
            <w:r>
              <w:t>方便品</w:t>
            </w:r>
          </w:p>
        </w:tc>
        <w:tc>
          <w:tcPr>
            <w:tcW w:type="dxa" w:w="1728"/>
          </w:tcPr>
          <w:p>
            <w:r>
              <w:t>迹門正宗</w:t>
            </w:r>
          </w:p>
        </w:tc>
        <w:tc>
          <w:tcPr>
            <w:tcW w:type="dxa" w:w="1728"/>
          </w:tcPr>
          <w:p>
            <w:r>
              <w:t>已完成</w:t>
            </w:r>
          </w:p>
        </w:tc>
        <w:tc>
          <w:tcPr>
            <w:tcW w:type="dxa" w:w="1728"/>
          </w:tcPr>
          <w:p>
            <w:r>
              <w:t>核心「開權顯實」</w:t>
            </w:r>
          </w:p>
        </w:tc>
      </w:tr>
      <w:tr>
        <w:tc>
          <w:tcPr>
            <w:tcW w:type="dxa" w:w="1728"/>
          </w:tcPr>
          <w:p>
            <w:r>
              <w:t>3</w:t>
            </w:r>
          </w:p>
        </w:tc>
        <w:tc>
          <w:tcPr>
            <w:tcW w:type="dxa" w:w="1728"/>
          </w:tcPr>
          <w:p>
            <w:r>
              <w:t>譬喻品</w:t>
            </w:r>
          </w:p>
        </w:tc>
        <w:tc>
          <w:tcPr>
            <w:tcW w:type="dxa" w:w="1728"/>
          </w:tcPr>
          <w:p>
            <w:r>
              <w:t>迹門正宗</w:t>
            </w:r>
          </w:p>
        </w:tc>
        <w:tc>
          <w:tcPr>
            <w:tcW w:type="dxa" w:w="1728"/>
          </w:tcPr>
          <w:p>
            <w:r>
              <w:t>已完成</w:t>
            </w:r>
          </w:p>
        </w:tc>
        <w:tc>
          <w:tcPr>
            <w:tcW w:type="dxa" w:w="1728"/>
          </w:tcPr>
          <w:p>
            <w:r>
              <w:t>三車火宅喻</w:t>
            </w:r>
          </w:p>
        </w:tc>
      </w:tr>
      <w:tr>
        <w:tc>
          <w:tcPr>
            <w:tcW w:type="dxa" w:w="1728"/>
          </w:tcPr>
          <w:p>
            <w:r>
              <w:t>4</w:t>
            </w:r>
          </w:p>
        </w:tc>
        <w:tc>
          <w:tcPr>
            <w:tcW w:type="dxa" w:w="1728"/>
          </w:tcPr>
          <w:p>
            <w:r>
              <w:t>信解品</w:t>
            </w:r>
          </w:p>
        </w:tc>
        <w:tc>
          <w:tcPr>
            <w:tcW w:type="dxa" w:w="1728"/>
          </w:tcPr>
          <w:p>
            <w:r>
              <w:t>迹門正宗</w:t>
            </w:r>
          </w:p>
        </w:tc>
        <w:tc>
          <w:tcPr>
            <w:tcW w:type="dxa" w:w="1728"/>
          </w:tcPr>
          <w:p>
            <w:r>
              <w:t>已完成</w:t>
            </w:r>
          </w:p>
        </w:tc>
        <w:tc>
          <w:tcPr>
            <w:tcW w:type="dxa" w:w="1728"/>
          </w:tcPr>
          <w:p>
            <w:r>
              <w:t>窮子喻</w:t>
            </w:r>
          </w:p>
        </w:tc>
      </w:tr>
      <w:tr>
        <w:tc>
          <w:tcPr>
            <w:tcW w:type="dxa" w:w="1728"/>
          </w:tcPr>
          <w:p>
            <w:r>
              <w:t>5</w:t>
            </w:r>
          </w:p>
        </w:tc>
        <w:tc>
          <w:tcPr>
            <w:tcW w:type="dxa" w:w="1728"/>
          </w:tcPr>
          <w:p>
            <w:r>
              <w:t>藥草喻品</w:t>
            </w:r>
          </w:p>
        </w:tc>
        <w:tc>
          <w:tcPr>
            <w:tcW w:type="dxa" w:w="1728"/>
          </w:tcPr>
          <w:p>
            <w:r>
              <w:t>迹門正宗</w:t>
            </w:r>
          </w:p>
        </w:tc>
        <w:tc>
          <w:tcPr>
            <w:tcW w:type="dxa" w:w="1728"/>
          </w:tcPr>
          <w:p>
            <w:r>
              <w:t>已完成</w:t>
            </w:r>
          </w:p>
        </w:tc>
        <w:tc>
          <w:tcPr>
            <w:tcW w:type="dxa" w:w="1728"/>
          </w:tcPr>
          <w:p>
            <w:r>
              <w:t>三草二木喻</w:t>
            </w:r>
          </w:p>
        </w:tc>
      </w:tr>
      <w:tr>
        <w:tc>
          <w:tcPr>
            <w:tcW w:type="dxa" w:w="1728"/>
          </w:tcPr>
          <w:p>
            <w:r>
              <w:t>6</w:t>
            </w:r>
          </w:p>
        </w:tc>
        <w:tc>
          <w:tcPr>
            <w:tcW w:type="dxa" w:w="1728"/>
          </w:tcPr>
          <w:p>
            <w:r>
              <w:t>授記品</w:t>
            </w:r>
          </w:p>
        </w:tc>
        <w:tc>
          <w:tcPr>
            <w:tcW w:type="dxa" w:w="1728"/>
          </w:tcPr>
          <w:p>
            <w:r>
              <w:t>迹門正宗</w:t>
            </w:r>
          </w:p>
        </w:tc>
        <w:tc>
          <w:tcPr>
            <w:tcW w:type="dxa" w:w="1728"/>
          </w:tcPr>
          <w:p>
            <w:r>
              <w:t>已完成</w:t>
            </w:r>
          </w:p>
        </w:tc>
        <w:tc>
          <w:tcPr>
            <w:tcW w:type="dxa" w:w="1728"/>
          </w:tcPr>
          <w:p>
            <w:r>
              <w:t>四大弟子授記</w:t>
            </w:r>
          </w:p>
        </w:tc>
      </w:tr>
      <w:tr>
        <w:tc>
          <w:tcPr>
            <w:tcW w:type="dxa" w:w="1728"/>
          </w:tcPr>
          <w:p>
            <w:r>
              <w:t>7</w:t>
            </w:r>
          </w:p>
        </w:tc>
        <w:tc>
          <w:tcPr>
            <w:tcW w:type="dxa" w:w="1728"/>
          </w:tcPr>
          <w:p>
            <w:r>
              <w:t>化城喻品</w:t>
            </w:r>
          </w:p>
        </w:tc>
        <w:tc>
          <w:tcPr>
            <w:tcW w:type="dxa" w:w="1728"/>
          </w:tcPr>
          <w:p>
            <w:r>
              <w:t>迹門正宗</w:t>
            </w:r>
          </w:p>
        </w:tc>
        <w:tc>
          <w:tcPr>
            <w:tcW w:type="dxa" w:w="1728"/>
          </w:tcPr>
          <w:p>
            <w:r>
              <w:t>已完成</w:t>
            </w:r>
          </w:p>
        </w:tc>
        <w:tc>
          <w:tcPr>
            <w:tcW w:type="dxa" w:w="1728"/>
          </w:tcPr>
          <w:p>
            <w:r>
              <w:t>化城寶所喻</w:t>
            </w:r>
          </w:p>
        </w:tc>
      </w:tr>
      <w:tr>
        <w:tc>
          <w:tcPr>
            <w:tcW w:type="dxa" w:w="1728"/>
          </w:tcPr>
          <w:p>
            <w:r>
              <w:t>8</w:t>
            </w:r>
          </w:p>
        </w:tc>
        <w:tc>
          <w:tcPr>
            <w:tcW w:type="dxa" w:w="1728"/>
          </w:tcPr>
          <w:p>
            <w:r>
              <w:t>五百弟子受記品</w:t>
            </w:r>
          </w:p>
        </w:tc>
        <w:tc>
          <w:tcPr>
            <w:tcW w:type="dxa" w:w="1728"/>
          </w:tcPr>
          <w:p>
            <w:r>
              <w:t>迹門正宗</w:t>
            </w:r>
          </w:p>
        </w:tc>
        <w:tc>
          <w:tcPr>
            <w:tcW w:type="dxa" w:w="1728"/>
          </w:tcPr>
          <w:p>
            <w:r>
              <w:t>已完成</w:t>
            </w:r>
          </w:p>
        </w:tc>
        <w:tc>
          <w:tcPr>
            <w:tcW w:type="dxa" w:w="1728"/>
          </w:tcPr>
          <w:p>
            <w:r>
              <w:t>衣珠喻</w:t>
            </w:r>
          </w:p>
        </w:tc>
      </w:tr>
      <w:tr>
        <w:tc>
          <w:tcPr>
            <w:tcW w:type="dxa" w:w="1728"/>
          </w:tcPr>
          <w:p>
            <w:r>
              <w:t>9</w:t>
            </w:r>
          </w:p>
        </w:tc>
        <w:tc>
          <w:tcPr>
            <w:tcW w:type="dxa" w:w="1728"/>
          </w:tcPr>
          <w:p>
            <w:r>
              <w:t>授學無學人記品</w:t>
            </w:r>
          </w:p>
        </w:tc>
        <w:tc>
          <w:tcPr>
            <w:tcW w:type="dxa" w:w="1728"/>
          </w:tcPr>
          <w:p>
            <w:r>
              <w:t>迹門正宗</w:t>
            </w:r>
          </w:p>
        </w:tc>
        <w:tc>
          <w:tcPr>
            <w:tcW w:type="dxa" w:w="1728"/>
          </w:tcPr>
          <w:p>
            <w:r>
              <w:t>待研究</w:t>
            </w:r>
          </w:p>
        </w:tc>
        <w:tc>
          <w:tcPr>
            <w:tcW w:type="dxa" w:w="1728"/>
          </w:tcPr>
          <w:p>
            <w:r>
              <w:t>P1</w:t>
            </w:r>
          </w:p>
        </w:tc>
      </w:tr>
      <w:tr>
        <w:tc>
          <w:tcPr>
            <w:tcW w:type="dxa" w:w="1728"/>
          </w:tcPr>
          <w:p>
            <w:r>
              <w:t>10</w:t>
            </w:r>
          </w:p>
        </w:tc>
        <w:tc>
          <w:tcPr>
            <w:tcW w:type="dxa" w:w="1728"/>
          </w:tcPr>
          <w:p>
            <w:r>
              <w:t>法師品</w:t>
            </w:r>
          </w:p>
        </w:tc>
        <w:tc>
          <w:tcPr>
            <w:tcW w:type="dxa" w:w="1728"/>
          </w:tcPr>
          <w:p>
            <w:r>
              <w:t>迹門流通</w:t>
            </w:r>
          </w:p>
        </w:tc>
        <w:tc>
          <w:tcPr>
            <w:tcW w:type="dxa" w:w="1728"/>
          </w:tcPr>
          <w:p>
            <w:r>
              <w:t>已完成</w:t>
            </w:r>
          </w:p>
        </w:tc>
        <w:tc>
          <w:tcPr>
            <w:tcW w:type="dxa" w:w="1728"/>
          </w:tcPr>
          <w:p>
            <w:r/>
          </w:p>
        </w:tc>
      </w:tr>
      <w:tr>
        <w:tc>
          <w:tcPr>
            <w:tcW w:type="dxa" w:w="1728"/>
          </w:tcPr>
          <w:p>
            <w:r>
              <w:t>11</w:t>
            </w:r>
          </w:p>
        </w:tc>
        <w:tc>
          <w:tcPr>
            <w:tcW w:type="dxa" w:w="1728"/>
          </w:tcPr>
          <w:p>
            <w:r>
              <w:t>見寶塔品</w:t>
            </w:r>
          </w:p>
        </w:tc>
        <w:tc>
          <w:tcPr>
            <w:tcW w:type="dxa" w:w="1728"/>
          </w:tcPr>
          <w:p>
            <w:r>
              <w:t>迹門流通</w:t>
            </w:r>
          </w:p>
        </w:tc>
        <w:tc>
          <w:tcPr>
            <w:tcW w:type="dxa" w:w="1728"/>
          </w:tcPr>
          <w:p>
            <w:r>
              <w:t>已完成</w:t>
            </w:r>
          </w:p>
        </w:tc>
        <w:tc>
          <w:tcPr>
            <w:tcW w:type="dxa" w:w="1728"/>
          </w:tcPr>
          <w:p>
            <w:r>
              <w:t>多寶佛塔</w:t>
            </w:r>
          </w:p>
        </w:tc>
      </w:tr>
      <w:tr>
        <w:tc>
          <w:tcPr>
            <w:tcW w:type="dxa" w:w="1728"/>
          </w:tcPr>
          <w:p>
            <w:r>
              <w:t>12</w:t>
            </w:r>
          </w:p>
        </w:tc>
        <w:tc>
          <w:tcPr>
            <w:tcW w:type="dxa" w:w="1728"/>
          </w:tcPr>
          <w:p>
            <w:r>
              <w:t>提婆達多品</w:t>
            </w:r>
          </w:p>
        </w:tc>
        <w:tc>
          <w:tcPr>
            <w:tcW w:type="dxa" w:w="1728"/>
          </w:tcPr>
          <w:p>
            <w:r>
              <w:t>迹門流通</w:t>
            </w:r>
          </w:p>
        </w:tc>
        <w:tc>
          <w:tcPr>
            <w:tcW w:type="dxa" w:w="1728"/>
          </w:tcPr>
          <w:p>
            <w:r>
              <w:t>已完成</w:t>
            </w:r>
          </w:p>
        </w:tc>
        <w:tc>
          <w:tcPr>
            <w:tcW w:type="dxa" w:w="1728"/>
          </w:tcPr>
          <w:p>
            <w:r>
              <w:t>龍女成佛</w:t>
            </w:r>
          </w:p>
        </w:tc>
      </w:tr>
      <w:tr>
        <w:tc>
          <w:tcPr>
            <w:tcW w:type="dxa" w:w="1728"/>
          </w:tcPr>
          <w:p>
            <w:r>
              <w:t>13</w:t>
            </w:r>
          </w:p>
        </w:tc>
        <w:tc>
          <w:tcPr>
            <w:tcW w:type="dxa" w:w="1728"/>
          </w:tcPr>
          <w:p>
            <w:r>
              <w:t>勸持品</w:t>
            </w:r>
          </w:p>
        </w:tc>
        <w:tc>
          <w:tcPr>
            <w:tcW w:type="dxa" w:w="1728"/>
          </w:tcPr>
          <w:p>
            <w:r>
              <w:t>迹門流通</w:t>
            </w:r>
          </w:p>
        </w:tc>
        <w:tc>
          <w:tcPr>
            <w:tcW w:type="dxa" w:w="1728"/>
          </w:tcPr>
          <w:p>
            <w:r>
              <w:t>已完成</w:t>
            </w:r>
          </w:p>
        </w:tc>
        <w:tc>
          <w:tcPr>
            <w:tcW w:type="dxa" w:w="1728"/>
          </w:tcPr>
          <w:p>
            <w:r/>
          </w:p>
        </w:tc>
      </w:tr>
      <w:tr>
        <w:tc>
          <w:tcPr>
            <w:tcW w:type="dxa" w:w="1728"/>
          </w:tcPr>
          <w:p>
            <w:r>
              <w:t>14</w:t>
            </w:r>
          </w:p>
        </w:tc>
        <w:tc>
          <w:tcPr>
            <w:tcW w:type="dxa" w:w="1728"/>
          </w:tcPr>
          <w:p>
            <w:r>
              <w:t>安樂行品</w:t>
            </w:r>
          </w:p>
        </w:tc>
        <w:tc>
          <w:tcPr>
            <w:tcW w:type="dxa" w:w="1728"/>
          </w:tcPr>
          <w:p>
            <w:r>
              <w:t>迹門流通</w:t>
            </w:r>
          </w:p>
        </w:tc>
        <w:tc>
          <w:tcPr>
            <w:tcW w:type="dxa" w:w="1728"/>
          </w:tcPr>
          <w:p>
            <w:r>
              <w:t>已完成</w:t>
            </w:r>
          </w:p>
        </w:tc>
        <w:tc>
          <w:tcPr>
            <w:tcW w:type="dxa" w:w="1728"/>
          </w:tcPr>
          <w:p>
            <w:r>
              <w:t>四安樂行</w:t>
            </w:r>
          </w:p>
        </w:tc>
      </w:tr>
      <w:tr>
        <w:tc>
          <w:tcPr>
            <w:tcW w:type="dxa" w:w="1728"/>
          </w:tcPr>
          <w:p>
            <w:r>
              <w:t>15</w:t>
            </w:r>
          </w:p>
        </w:tc>
        <w:tc>
          <w:tcPr>
            <w:tcW w:type="dxa" w:w="1728"/>
          </w:tcPr>
          <w:p>
            <w:r>
              <w:t>從地湧出品</w:t>
            </w:r>
          </w:p>
        </w:tc>
        <w:tc>
          <w:tcPr>
            <w:tcW w:type="dxa" w:w="1728"/>
          </w:tcPr>
          <w:p>
            <w:r>
              <w:t>本門序分</w:t>
            </w:r>
          </w:p>
        </w:tc>
        <w:tc>
          <w:tcPr>
            <w:tcW w:type="dxa" w:w="1728"/>
          </w:tcPr>
          <w:p>
            <w:r>
              <w:t>已完成</w:t>
            </w:r>
          </w:p>
        </w:tc>
        <w:tc>
          <w:tcPr>
            <w:tcW w:type="dxa" w:w="1728"/>
          </w:tcPr>
          <w:p>
            <w:r/>
          </w:p>
        </w:tc>
      </w:tr>
      <w:tr>
        <w:tc>
          <w:tcPr>
            <w:tcW w:type="dxa" w:w="1728"/>
          </w:tcPr>
          <w:p>
            <w:r>
              <w:t>16</w:t>
            </w:r>
          </w:p>
        </w:tc>
        <w:tc>
          <w:tcPr>
            <w:tcW w:type="dxa" w:w="1728"/>
          </w:tcPr>
          <w:p>
            <w:r>
              <w:t>如來壽量品</w:t>
            </w:r>
          </w:p>
        </w:tc>
        <w:tc>
          <w:tcPr>
            <w:tcW w:type="dxa" w:w="1728"/>
          </w:tcPr>
          <w:p>
            <w:r>
              <w:t>本門正宗</w:t>
            </w:r>
          </w:p>
        </w:tc>
        <w:tc>
          <w:tcPr>
            <w:tcW w:type="dxa" w:w="1728"/>
          </w:tcPr>
          <w:p>
            <w:r>
              <w:t>已完成</w:t>
            </w:r>
          </w:p>
        </w:tc>
        <w:tc>
          <w:tcPr>
            <w:tcW w:type="dxa" w:w="1728"/>
          </w:tcPr>
          <w:p>
            <w:r>
              <w:t>核心「久遠實成」</w:t>
            </w:r>
          </w:p>
        </w:tc>
      </w:tr>
      <w:tr>
        <w:tc>
          <w:tcPr>
            <w:tcW w:type="dxa" w:w="1728"/>
          </w:tcPr>
          <w:p>
            <w:r>
              <w:t>17</w:t>
            </w:r>
          </w:p>
        </w:tc>
        <w:tc>
          <w:tcPr>
            <w:tcW w:type="dxa" w:w="1728"/>
          </w:tcPr>
          <w:p>
            <w:r>
              <w:t>分別功德品</w:t>
            </w:r>
          </w:p>
        </w:tc>
        <w:tc>
          <w:tcPr>
            <w:tcW w:type="dxa" w:w="1728"/>
          </w:tcPr>
          <w:p>
            <w:r>
              <w:t>本門流通</w:t>
            </w:r>
          </w:p>
        </w:tc>
        <w:tc>
          <w:tcPr>
            <w:tcW w:type="dxa" w:w="1728"/>
          </w:tcPr>
          <w:p>
            <w:r>
              <w:t>已完成</w:t>
            </w:r>
          </w:p>
        </w:tc>
        <w:tc>
          <w:tcPr>
            <w:tcW w:type="dxa" w:w="1728"/>
          </w:tcPr>
          <w:p>
            <w:r/>
          </w:p>
        </w:tc>
      </w:tr>
      <w:tr>
        <w:tc>
          <w:tcPr>
            <w:tcW w:type="dxa" w:w="1728"/>
          </w:tcPr>
          <w:p>
            <w:r>
              <w:t>18</w:t>
            </w:r>
          </w:p>
        </w:tc>
        <w:tc>
          <w:tcPr>
            <w:tcW w:type="dxa" w:w="1728"/>
          </w:tcPr>
          <w:p>
            <w:r>
              <w:t>隨喜功德品</w:t>
            </w:r>
          </w:p>
        </w:tc>
        <w:tc>
          <w:tcPr>
            <w:tcW w:type="dxa" w:w="1728"/>
          </w:tcPr>
          <w:p>
            <w:r>
              <w:t>本門流通</w:t>
            </w:r>
          </w:p>
        </w:tc>
        <w:tc>
          <w:tcPr>
            <w:tcW w:type="dxa" w:w="1728"/>
          </w:tcPr>
          <w:p>
            <w:r>
              <w:t>待研究</w:t>
            </w:r>
          </w:p>
        </w:tc>
        <w:tc>
          <w:tcPr>
            <w:tcW w:type="dxa" w:w="1728"/>
          </w:tcPr>
          <w:p>
            <w:r>
              <w:t>P0 優先</w:t>
            </w:r>
          </w:p>
        </w:tc>
      </w:tr>
      <w:tr>
        <w:tc>
          <w:tcPr>
            <w:tcW w:type="dxa" w:w="1728"/>
          </w:tcPr>
          <w:p>
            <w:r>
              <w:t>19</w:t>
            </w:r>
          </w:p>
        </w:tc>
        <w:tc>
          <w:tcPr>
            <w:tcW w:type="dxa" w:w="1728"/>
          </w:tcPr>
          <w:p>
            <w:r>
              <w:t>法師功德品</w:t>
            </w:r>
          </w:p>
        </w:tc>
        <w:tc>
          <w:tcPr>
            <w:tcW w:type="dxa" w:w="1728"/>
          </w:tcPr>
          <w:p>
            <w:r>
              <w:t>本門流通</w:t>
            </w:r>
          </w:p>
        </w:tc>
        <w:tc>
          <w:tcPr>
            <w:tcW w:type="dxa" w:w="1728"/>
          </w:tcPr>
          <w:p>
            <w:r>
              <w:t>待研究</w:t>
            </w:r>
          </w:p>
        </w:tc>
        <w:tc>
          <w:tcPr>
            <w:tcW w:type="dxa" w:w="1728"/>
          </w:tcPr>
          <w:p>
            <w:r>
              <w:t>P0 優先</w:t>
            </w:r>
          </w:p>
        </w:tc>
      </w:tr>
      <w:tr>
        <w:tc>
          <w:tcPr>
            <w:tcW w:type="dxa" w:w="1728"/>
          </w:tcPr>
          <w:p>
            <w:r>
              <w:t>20</w:t>
            </w:r>
          </w:p>
        </w:tc>
        <w:tc>
          <w:tcPr>
            <w:tcW w:type="dxa" w:w="1728"/>
          </w:tcPr>
          <w:p>
            <w:r>
              <w:t>常不輕菩薩品</w:t>
            </w:r>
          </w:p>
        </w:tc>
        <w:tc>
          <w:tcPr>
            <w:tcW w:type="dxa" w:w="1728"/>
          </w:tcPr>
          <w:p>
            <w:r>
              <w:t>本門流通</w:t>
            </w:r>
          </w:p>
        </w:tc>
        <w:tc>
          <w:tcPr>
            <w:tcW w:type="dxa" w:w="1728"/>
          </w:tcPr>
          <w:p>
            <w:r>
              <w:t>已完成</w:t>
            </w:r>
          </w:p>
        </w:tc>
        <w:tc>
          <w:tcPr>
            <w:tcW w:type="dxa" w:w="1728"/>
          </w:tcPr>
          <w:p>
            <w:r>
              <w:t>禮拜行</w:t>
            </w:r>
          </w:p>
        </w:tc>
      </w:tr>
      <w:tr>
        <w:tc>
          <w:tcPr>
            <w:tcW w:type="dxa" w:w="1728"/>
          </w:tcPr>
          <w:p>
            <w:r>
              <w:t>21</w:t>
            </w:r>
          </w:p>
        </w:tc>
        <w:tc>
          <w:tcPr>
            <w:tcW w:type="dxa" w:w="1728"/>
          </w:tcPr>
          <w:p>
            <w:r>
              <w:t>如來神力品</w:t>
            </w:r>
          </w:p>
        </w:tc>
        <w:tc>
          <w:tcPr>
            <w:tcW w:type="dxa" w:w="1728"/>
          </w:tcPr>
          <w:p>
            <w:r>
              <w:t>本門流通</w:t>
            </w:r>
          </w:p>
        </w:tc>
        <w:tc>
          <w:tcPr>
            <w:tcW w:type="dxa" w:w="1728"/>
          </w:tcPr>
          <w:p>
            <w:r>
              <w:t>已完成</w:t>
            </w:r>
          </w:p>
        </w:tc>
        <w:tc>
          <w:tcPr>
            <w:tcW w:type="dxa" w:w="1728"/>
          </w:tcPr>
          <w:p>
            <w:r/>
          </w:p>
        </w:tc>
      </w:tr>
      <w:tr>
        <w:tc>
          <w:tcPr>
            <w:tcW w:type="dxa" w:w="1728"/>
          </w:tcPr>
          <w:p>
            <w:r>
              <w:t>22</w:t>
            </w:r>
          </w:p>
        </w:tc>
        <w:tc>
          <w:tcPr>
            <w:tcW w:type="dxa" w:w="1728"/>
          </w:tcPr>
          <w:p>
            <w:r>
              <w:t>囑累品</w:t>
            </w:r>
          </w:p>
        </w:tc>
        <w:tc>
          <w:tcPr>
            <w:tcW w:type="dxa" w:w="1728"/>
          </w:tcPr>
          <w:p>
            <w:r>
              <w:t>本門流通</w:t>
            </w:r>
          </w:p>
        </w:tc>
        <w:tc>
          <w:tcPr>
            <w:tcW w:type="dxa" w:w="1728"/>
          </w:tcPr>
          <w:p>
            <w:r>
              <w:t>待研究</w:t>
            </w:r>
          </w:p>
        </w:tc>
        <w:tc>
          <w:tcPr>
            <w:tcW w:type="dxa" w:w="1728"/>
          </w:tcPr>
          <w:p>
            <w:r>
              <w:t>P1</w:t>
            </w:r>
          </w:p>
        </w:tc>
      </w:tr>
      <w:tr>
        <w:tc>
          <w:tcPr>
            <w:tcW w:type="dxa" w:w="1728"/>
          </w:tcPr>
          <w:p>
            <w:r>
              <w:t>23</w:t>
            </w:r>
          </w:p>
        </w:tc>
        <w:tc>
          <w:tcPr>
            <w:tcW w:type="dxa" w:w="1728"/>
          </w:tcPr>
          <w:p>
            <w:r>
              <w:t>藥王菩薩本事品</w:t>
            </w:r>
          </w:p>
        </w:tc>
        <w:tc>
          <w:tcPr>
            <w:tcW w:type="dxa" w:w="1728"/>
          </w:tcPr>
          <w:p>
            <w:r>
              <w:t>本門流通</w:t>
            </w:r>
          </w:p>
        </w:tc>
        <w:tc>
          <w:tcPr>
            <w:tcW w:type="dxa" w:w="1728"/>
          </w:tcPr>
          <w:p>
            <w:r>
              <w:t>已完成</w:t>
            </w:r>
          </w:p>
        </w:tc>
        <w:tc>
          <w:tcPr>
            <w:tcW w:type="dxa" w:w="1728"/>
          </w:tcPr>
          <w:p>
            <w:r/>
          </w:p>
        </w:tc>
      </w:tr>
      <w:tr>
        <w:tc>
          <w:tcPr>
            <w:tcW w:type="dxa" w:w="1728"/>
          </w:tcPr>
          <w:p>
            <w:r>
              <w:t>24</w:t>
            </w:r>
          </w:p>
        </w:tc>
        <w:tc>
          <w:tcPr>
            <w:tcW w:type="dxa" w:w="1728"/>
          </w:tcPr>
          <w:p>
            <w:r>
              <w:t>妙音菩薩品</w:t>
            </w:r>
          </w:p>
        </w:tc>
        <w:tc>
          <w:tcPr>
            <w:tcW w:type="dxa" w:w="1728"/>
          </w:tcPr>
          <w:p>
            <w:r>
              <w:t>本門流通</w:t>
            </w:r>
          </w:p>
        </w:tc>
        <w:tc>
          <w:tcPr>
            <w:tcW w:type="dxa" w:w="1728"/>
          </w:tcPr>
          <w:p>
            <w:r>
              <w:t>已完成</w:t>
            </w:r>
          </w:p>
        </w:tc>
        <w:tc>
          <w:tcPr>
            <w:tcW w:type="dxa" w:w="1728"/>
          </w:tcPr>
          <w:p>
            <w:r/>
          </w:p>
        </w:tc>
      </w:tr>
      <w:tr>
        <w:tc>
          <w:tcPr>
            <w:tcW w:type="dxa" w:w="1728"/>
          </w:tcPr>
          <w:p>
            <w:r>
              <w:t>25</w:t>
            </w:r>
          </w:p>
        </w:tc>
        <w:tc>
          <w:tcPr>
            <w:tcW w:type="dxa" w:w="1728"/>
          </w:tcPr>
          <w:p>
            <w:r>
              <w:t>觀世音菩薩普門品</w:t>
            </w:r>
          </w:p>
        </w:tc>
        <w:tc>
          <w:tcPr>
            <w:tcW w:type="dxa" w:w="1728"/>
          </w:tcPr>
          <w:p>
            <w:r>
              <w:t>本門流通</w:t>
            </w:r>
          </w:p>
        </w:tc>
        <w:tc>
          <w:tcPr>
            <w:tcW w:type="dxa" w:w="1728"/>
          </w:tcPr>
          <w:p>
            <w:r>
              <w:t>已完成</w:t>
            </w:r>
          </w:p>
        </w:tc>
        <w:tc>
          <w:tcPr>
            <w:tcW w:type="dxa" w:w="1728"/>
          </w:tcPr>
          <w:p>
            <w:r>
              <w:t>三十三應化</w:t>
            </w:r>
          </w:p>
        </w:tc>
      </w:tr>
      <w:tr>
        <w:tc>
          <w:tcPr>
            <w:tcW w:type="dxa" w:w="1728"/>
          </w:tcPr>
          <w:p>
            <w:r>
              <w:t>26</w:t>
            </w:r>
          </w:p>
        </w:tc>
        <w:tc>
          <w:tcPr>
            <w:tcW w:type="dxa" w:w="1728"/>
          </w:tcPr>
          <w:p>
            <w:r>
              <w:t>陀羅尼品</w:t>
            </w:r>
          </w:p>
        </w:tc>
        <w:tc>
          <w:tcPr>
            <w:tcW w:type="dxa" w:w="1728"/>
          </w:tcPr>
          <w:p>
            <w:r>
              <w:t>本門流通</w:t>
            </w:r>
          </w:p>
        </w:tc>
        <w:tc>
          <w:tcPr>
            <w:tcW w:type="dxa" w:w="1728"/>
          </w:tcPr>
          <w:p>
            <w:r>
              <w:t>待研究</w:t>
            </w:r>
          </w:p>
        </w:tc>
        <w:tc>
          <w:tcPr>
            <w:tcW w:type="dxa" w:w="1728"/>
          </w:tcPr>
          <w:p>
            <w:r>
              <w:t>P1</w:t>
            </w:r>
          </w:p>
        </w:tc>
      </w:tr>
      <w:tr>
        <w:tc>
          <w:tcPr>
            <w:tcW w:type="dxa" w:w="1728"/>
          </w:tcPr>
          <w:p>
            <w:r>
              <w:t>27</w:t>
            </w:r>
          </w:p>
        </w:tc>
        <w:tc>
          <w:tcPr>
            <w:tcW w:type="dxa" w:w="1728"/>
          </w:tcPr>
          <w:p>
            <w:r>
              <w:t>妙莊嚴王本事品</w:t>
            </w:r>
          </w:p>
        </w:tc>
        <w:tc>
          <w:tcPr>
            <w:tcW w:type="dxa" w:w="1728"/>
          </w:tcPr>
          <w:p>
            <w:r>
              <w:t>本門流通</w:t>
            </w:r>
          </w:p>
        </w:tc>
        <w:tc>
          <w:tcPr>
            <w:tcW w:type="dxa" w:w="1728"/>
          </w:tcPr>
          <w:p>
            <w:r>
              <w:t>待研究</w:t>
            </w:r>
          </w:p>
        </w:tc>
        <w:tc>
          <w:tcPr>
            <w:tcW w:type="dxa" w:w="1728"/>
          </w:tcPr>
          <w:p>
            <w:r>
              <w:t>P2</w:t>
            </w:r>
          </w:p>
        </w:tc>
      </w:tr>
      <w:tr>
        <w:tc>
          <w:tcPr>
            <w:tcW w:type="dxa" w:w="1728"/>
          </w:tcPr>
          <w:p>
            <w:r>
              <w:t>28</w:t>
            </w:r>
          </w:p>
        </w:tc>
        <w:tc>
          <w:tcPr>
            <w:tcW w:type="dxa" w:w="1728"/>
          </w:tcPr>
          <w:p>
            <w:r>
              <w:t>普賢菩薩勸發品</w:t>
            </w:r>
          </w:p>
        </w:tc>
        <w:tc>
          <w:tcPr>
            <w:tcW w:type="dxa" w:w="1728"/>
          </w:tcPr>
          <w:p>
            <w:r>
              <w:t>本門流通</w:t>
            </w:r>
          </w:p>
        </w:tc>
        <w:tc>
          <w:tcPr>
            <w:tcW w:type="dxa" w:w="1728"/>
          </w:tcPr>
          <w:p>
            <w:r>
              <w:t>已完成</w:t>
            </w:r>
          </w:p>
        </w:tc>
        <w:tc>
          <w:tcPr>
            <w:tcW w:type="dxa" w:w="1728"/>
          </w:tcPr>
          <w:p>
            <w:r>
              <w:t>實踐總結</w:t>
            </w:r>
          </w:p>
        </w:tc>
      </w:tr>
    </w:tbl>
    <w:p/>
    <w:p>
      <w:r>
        <w:rPr>
          <w:b/>
        </w:rPr>
        <w:t>統計</w:t>
      </w:r>
      <w:r>
        <w:t>：已完成 21 品 / 待研究 7 品 = 75% 覆蓋率。完成 7 品後達 100%。</w:t>
      </w:r>
    </w:p>
    <w:p>
      <w:pPr>
        <w:pStyle w:val="Heading3"/>
      </w:pPr>
      <w:r>
        <w:t>附錄 D：關鍵術語梵漢英對照表（30 組）</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梵文</w:t>
            </w:r>
          </w:p>
        </w:tc>
        <w:tc>
          <w:tcPr>
            <w:tcW w:type="dxa" w:w="1440"/>
          </w:tcPr>
          <w:p>
            <w:r>
              <w:rPr>
                <w:b/>
              </w:rPr>
              <w:t>鳩摩羅什譯</w:t>
            </w:r>
          </w:p>
        </w:tc>
        <w:tc>
          <w:tcPr>
            <w:tcW w:type="dxa" w:w="1440"/>
          </w:tcPr>
          <w:p>
            <w:r>
              <w:rPr>
                <w:b/>
              </w:rPr>
              <w:t>竺法護譯</w:t>
            </w:r>
          </w:p>
        </w:tc>
        <w:tc>
          <w:tcPr>
            <w:tcW w:type="dxa" w:w="1440"/>
          </w:tcPr>
          <w:p>
            <w:r>
              <w:rPr>
                <w:b/>
              </w:rPr>
              <w:t>英文</w:t>
            </w:r>
          </w:p>
        </w:tc>
        <w:tc>
          <w:tcPr>
            <w:tcW w:type="dxa" w:w="1440"/>
          </w:tcPr>
          <w:p>
            <w:r>
              <w:rPr>
                <w:b/>
              </w:rPr>
              <w:t>出現品</w:t>
            </w:r>
          </w:p>
        </w:tc>
        <w:tc>
          <w:tcPr>
            <w:tcW w:type="dxa" w:w="1440"/>
          </w:tcPr>
          <w:p>
            <w:r>
              <w:rPr>
                <w:b/>
              </w:rPr>
              <w:t>備註</w:t>
            </w:r>
          </w:p>
        </w:tc>
      </w:tr>
      <w:tr>
        <w:tc>
          <w:tcPr>
            <w:tcW w:type="dxa" w:w="1440"/>
          </w:tcPr>
          <w:p>
            <w:r>
              <w:t>saddharma</w:t>
            </w:r>
          </w:p>
        </w:tc>
        <w:tc>
          <w:tcPr>
            <w:tcW w:type="dxa" w:w="1440"/>
          </w:tcPr>
          <w:p>
            <w:r>
              <w:t>妙法</w:t>
            </w:r>
          </w:p>
        </w:tc>
        <w:tc>
          <w:tcPr>
            <w:tcW w:type="dxa" w:w="1440"/>
          </w:tcPr>
          <w:p>
            <w:r>
              <w:t>正法</w:t>
            </w:r>
          </w:p>
        </w:tc>
        <w:tc>
          <w:tcPr>
            <w:tcW w:type="dxa" w:w="1440"/>
          </w:tcPr>
          <w:p>
            <w:r>
              <w:t>True/Good Dharma</w:t>
            </w:r>
          </w:p>
        </w:tc>
        <w:tc>
          <w:tcPr>
            <w:tcW w:type="dxa" w:w="1440"/>
          </w:tcPr>
          <w:p>
            <w:r>
              <w:t>經題</w:t>
            </w:r>
          </w:p>
        </w:tc>
        <w:tc>
          <w:tcPr>
            <w:tcW w:type="dxa" w:w="1440"/>
          </w:tcPr>
          <w:p>
            <w:r>
              <w:t>核心譯名差異</w:t>
            </w:r>
          </w:p>
        </w:tc>
      </w:tr>
      <w:tr>
        <w:tc>
          <w:tcPr>
            <w:tcW w:type="dxa" w:w="1440"/>
          </w:tcPr>
          <w:p>
            <w:r>
              <w:t>puṇḍarīka</w:t>
            </w:r>
          </w:p>
        </w:tc>
        <w:tc>
          <w:tcPr>
            <w:tcW w:type="dxa" w:w="1440"/>
          </w:tcPr>
          <w:p>
            <w:r>
              <w:t>蓮華</w:t>
            </w:r>
          </w:p>
        </w:tc>
        <w:tc>
          <w:tcPr>
            <w:tcW w:type="dxa" w:w="1440"/>
          </w:tcPr>
          <w:p>
            <w:r>
              <w:t>華</w:t>
            </w:r>
          </w:p>
        </w:tc>
        <w:tc>
          <w:tcPr>
            <w:tcW w:type="dxa" w:w="1440"/>
          </w:tcPr>
          <w:p>
            <w:r>
              <w:t>White Lotus</w:t>
            </w:r>
          </w:p>
        </w:tc>
        <w:tc>
          <w:tcPr>
            <w:tcW w:type="dxa" w:w="1440"/>
          </w:tcPr>
          <w:p>
            <w:r>
              <w:t>經題</w:t>
            </w:r>
          </w:p>
        </w:tc>
        <w:tc>
          <w:tcPr>
            <w:tcW w:type="dxa" w:w="1440"/>
          </w:tcPr>
          <w:p>
            <w:r/>
          </w:p>
        </w:tc>
      </w:tr>
      <w:tr>
        <w:tc>
          <w:tcPr>
            <w:tcW w:type="dxa" w:w="1440"/>
          </w:tcPr>
          <w:p>
            <w:r>
              <w:t>upāya</w:t>
            </w:r>
          </w:p>
        </w:tc>
        <w:tc>
          <w:tcPr>
            <w:tcW w:type="dxa" w:w="1440"/>
          </w:tcPr>
          <w:p>
            <w:r>
              <w:t>方便</w:t>
            </w:r>
          </w:p>
        </w:tc>
        <w:tc>
          <w:tcPr>
            <w:tcW w:type="dxa" w:w="1440"/>
          </w:tcPr>
          <w:p>
            <w:r>
              <w:t>善權/善巧</w:t>
            </w:r>
          </w:p>
        </w:tc>
        <w:tc>
          <w:tcPr>
            <w:tcW w:type="dxa" w:w="1440"/>
          </w:tcPr>
          <w:p>
            <w:r>
              <w:t>Skillful means</w:t>
            </w:r>
          </w:p>
        </w:tc>
        <w:tc>
          <w:tcPr>
            <w:tcW w:type="dxa" w:w="1440"/>
          </w:tcPr>
          <w:p>
            <w:r>
              <w:t>方便品等</w:t>
            </w:r>
          </w:p>
        </w:tc>
        <w:tc>
          <w:tcPr>
            <w:tcW w:type="dxa" w:w="1440"/>
          </w:tcPr>
          <w:p>
            <w:r/>
          </w:p>
        </w:tc>
      </w:tr>
      <w:tr>
        <w:tc>
          <w:tcPr>
            <w:tcW w:type="dxa" w:w="1440"/>
          </w:tcPr>
          <w:p>
            <w:r>
              <w:t>ekayāna</w:t>
            </w:r>
          </w:p>
        </w:tc>
        <w:tc>
          <w:tcPr>
            <w:tcW w:type="dxa" w:w="1440"/>
          </w:tcPr>
          <w:p>
            <w:r>
              <w:t>一佛乘</w:t>
            </w:r>
          </w:p>
        </w:tc>
        <w:tc>
          <w:tcPr>
            <w:tcW w:type="dxa" w:w="1440"/>
          </w:tcPr>
          <w:p>
            <w:r>
              <w:t>一乘</w:t>
            </w:r>
          </w:p>
        </w:tc>
        <w:tc>
          <w:tcPr>
            <w:tcW w:type="dxa" w:w="1440"/>
          </w:tcPr>
          <w:p>
            <w:r>
              <w:t>One Vehicle</w:t>
            </w:r>
          </w:p>
        </w:tc>
        <w:tc>
          <w:tcPr>
            <w:tcW w:type="dxa" w:w="1440"/>
          </w:tcPr>
          <w:p>
            <w:r>
              <w:t>方便品</w:t>
            </w:r>
          </w:p>
        </w:tc>
        <w:tc>
          <w:tcPr>
            <w:tcW w:type="dxa" w:w="1440"/>
          </w:tcPr>
          <w:p>
            <w:r/>
          </w:p>
        </w:tc>
      </w:tr>
      <w:tr>
        <w:tc>
          <w:tcPr>
            <w:tcW w:type="dxa" w:w="1440"/>
          </w:tcPr>
          <w:p>
            <w:r>
              <w:t>dharmatā</w:t>
            </w:r>
          </w:p>
        </w:tc>
        <w:tc>
          <w:tcPr>
            <w:tcW w:type="dxa" w:w="1440"/>
          </w:tcPr>
          <w:p>
            <w:r>
              <w:t>諸法實相</w:t>
            </w:r>
          </w:p>
        </w:tc>
        <w:tc>
          <w:tcPr>
            <w:tcW w:type="dxa" w:w="1440"/>
          </w:tcPr>
          <w:p>
            <w:r>
              <w:t>本末空</w:t>
            </w:r>
          </w:p>
        </w:tc>
        <w:tc>
          <w:tcPr>
            <w:tcW w:type="dxa" w:w="1440"/>
          </w:tcPr>
          <w:p>
            <w:r>
              <w:t>True nature of dharmas</w:t>
            </w:r>
          </w:p>
        </w:tc>
        <w:tc>
          <w:tcPr>
            <w:tcW w:type="dxa" w:w="1440"/>
          </w:tcPr>
          <w:p>
            <w:r>
              <w:t>方便品</w:t>
            </w:r>
          </w:p>
        </w:tc>
        <w:tc>
          <w:tcPr>
            <w:tcW w:type="dxa" w:w="1440"/>
          </w:tcPr>
          <w:p>
            <w:r>
              <w:t>天台核心概念</w:t>
            </w:r>
          </w:p>
        </w:tc>
      </w:tr>
      <w:tr>
        <w:tc>
          <w:tcPr>
            <w:tcW w:type="dxa" w:w="1440"/>
          </w:tcPr>
          <w:p>
            <w:r>
              <w:t>tathāgata</w:t>
            </w:r>
          </w:p>
        </w:tc>
        <w:tc>
          <w:tcPr>
            <w:tcW w:type="dxa" w:w="1440"/>
          </w:tcPr>
          <w:p>
            <w:r>
              <w:t>如來</w:t>
            </w:r>
          </w:p>
        </w:tc>
        <w:tc>
          <w:tcPr>
            <w:tcW w:type="dxa" w:w="1440"/>
          </w:tcPr>
          <w:p>
            <w:r>
              <w:t>如來</w:t>
            </w:r>
          </w:p>
        </w:tc>
        <w:tc>
          <w:tcPr>
            <w:tcW w:type="dxa" w:w="1440"/>
          </w:tcPr>
          <w:p>
            <w:r>
              <w:t>Thus-Come-One</w:t>
            </w:r>
          </w:p>
        </w:tc>
        <w:tc>
          <w:tcPr>
            <w:tcW w:type="dxa" w:w="1440"/>
          </w:tcPr>
          <w:p>
            <w:r>
              <w:t>全經</w:t>
            </w:r>
          </w:p>
        </w:tc>
        <w:tc>
          <w:tcPr>
            <w:tcW w:type="dxa" w:w="1440"/>
          </w:tcPr>
          <w:p>
            <w:r/>
          </w:p>
        </w:tc>
      </w:tr>
      <w:tr>
        <w:tc>
          <w:tcPr>
            <w:tcW w:type="dxa" w:w="1440"/>
          </w:tcPr>
          <w:p>
            <w:r>
              <w:t>bodhisattva</w:t>
            </w:r>
          </w:p>
        </w:tc>
        <w:tc>
          <w:tcPr>
            <w:tcW w:type="dxa" w:w="1440"/>
          </w:tcPr>
          <w:p>
            <w:r>
              <w:t>菩薩</w:t>
            </w:r>
          </w:p>
        </w:tc>
        <w:tc>
          <w:tcPr>
            <w:tcW w:type="dxa" w:w="1440"/>
          </w:tcPr>
          <w:p>
            <w:r>
              <w:t>開士</w:t>
            </w:r>
          </w:p>
        </w:tc>
        <w:tc>
          <w:tcPr>
            <w:tcW w:type="dxa" w:w="1440"/>
          </w:tcPr>
          <w:p>
            <w:r>
              <w:t>Bodhisattva</w:t>
            </w:r>
          </w:p>
        </w:tc>
        <w:tc>
          <w:tcPr>
            <w:tcW w:type="dxa" w:w="1440"/>
          </w:tcPr>
          <w:p>
            <w:r>
              <w:t>全經</w:t>
            </w:r>
          </w:p>
        </w:tc>
        <w:tc>
          <w:tcPr>
            <w:tcW w:type="dxa" w:w="1440"/>
          </w:tcPr>
          <w:p>
            <w:r>
              <w:t>竺法護偶用「開士」</w:t>
            </w:r>
          </w:p>
        </w:tc>
      </w:tr>
      <w:tr>
        <w:tc>
          <w:tcPr>
            <w:tcW w:type="dxa" w:w="1440"/>
          </w:tcPr>
          <w:p>
            <w:r>
              <w:t>śrāvaka</w:t>
            </w:r>
          </w:p>
        </w:tc>
        <w:tc>
          <w:tcPr>
            <w:tcW w:type="dxa" w:w="1440"/>
          </w:tcPr>
          <w:p>
            <w:r>
              <w:t>聲聞</w:t>
            </w:r>
          </w:p>
        </w:tc>
        <w:tc>
          <w:tcPr>
            <w:tcW w:type="dxa" w:w="1440"/>
          </w:tcPr>
          <w:p>
            <w:r>
              <w:t>聲聞</w:t>
            </w:r>
          </w:p>
        </w:tc>
        <w:tc>
          <w:tcPr>
            <w:tcW w:type="dxa" w:w="1440"/>
          </w:tcPr>
          <w:p>
            <w:r>
              <w:t>Voice-hearer</w:t>
            </w:r>
          </w:p>
        </w:tc>
        <w:tc>
          <w:tcPr>
            <w:tcW w:type="dxa" w:w="1440"/>
          </w:tcPr>
          <w:p>
            <w:r>
              <w:t>全經</w:t>
            </w:r>
          </w:p>
        </w:tc>
        <w:tc>
          <w:tcPr>
            <w:tcW w:type="dxa" w:w="1440"/>
          </w:tcPr>
          <w:p>
            <w:r/>
          </w:p>
        </w:tc>
      </w:tr>
      <w:tr>
        <w:tc>
          <w:tcPr>
            <w:tcW w:type="dxa" w:w="1440"/>
          </w:tcPr>
          <w:p>
            <w:r>
              <w:t>pratyekabuddha</w:t>
            </w:r>
          </w:p>
        </w:tc>
        <w:tc>
          <w:tcPr>
            <w:tcW w:type="dxa" w:w="1440"/>
          </w:tcPr>
          <w:p>
            <w:r>
              <w:t>辟支佛/緣覺</w:t>
            </w:r>
          </w:p>
        </w:tc>
        <w:tc>
          <w:tcPr>
            <w:tcW w:type="dxa" w:w="1440"/>
          </w:tcPr>
          <w:p>
            <w:r>
              <w:t>各佛/緣一覺</w:t>
            </w:r>
          </w:p>
        </w:tc>
        <w:tc>
          <w:tcPr>
            <w:tcW w:type="dxa" w:w="1440"/>
          </w:tcPr>
          <w:p>
            <w:r>
              <w:t>Solitary Realizer</w:t>
            </w:r>
          </w:p>
        </w:tc>
        <w:tc>
          <w:tcPr>
            <w:tcW w:type="dxa" w:w="1440"/>
          </w:tcPr>
          <w:p>
            <w:r>
              <w:t>全經</w:t>
            </w:r>
          </w:p>
        </w:tc>
        <w:tc>
          <w:tcPr>
            <w:tcW w:type="dxa" w:w="1440"/>
          </w:tcPr>
          <w:p>
            <w:r/>
          </w:p>
        </w:tc>
      </w:tr>
      <w:tr>
        <w:tc>
          <w:tcPr>
            <w:tcW w:type="dxa" w:w="1440"/>
          </w:tcPr>
          <w:p>
            <w:r>
              <w:t>vyākaraṇa</w:t>
            </w:r>
          </w:p>
        </w:tc>
        <w:tc>
          <w:tcPr>
            <w:tcW w:type="dxa" w:w="1440"/>
          </w:tcPr>
          <w:p>
            <w:r>
              <w:t>授記</w:t>
            </w:r>
          </w:p>
        </w:tc>
        <w:tc>
          <w:tcPr>
            <w:tcW w:type="dxa" w:w="1440"/>
          </w:tcPr>
          <w:p>
            <w:r>
              <w:t>受決</w:t>
            </w:r>
          </w:p>
        </w:tc>
        <w:tc>
          <w:tcPr>
            <w:tcW w:type="dxa" w:w="1440"/>
          </w:tcPr>
          <w:p>
            <w:r>
              <w:t>Prediction</w:t>
            </w:r>
          </w:p>
        </w:tc>
        <w:tc>
          <w:tcPr>
            <w:tcW w:type="dxa" w:w="1440"/>
          </w:tcPr>
          <w:p>
            <w:r>
              <w:t>授記品群</w:t>
            </w:r>
          </w:p>
        </w:tc>
        <w:tc>
          <w:tcPr>
            <w:tcW w:type="dxa" w:w="1440"/>
          </w:tcPr>
          <w:p>
            <w:r/>
          </w:p>
        </w:tc>
      </w:tr>
      <w:tr>
        <w:tc>
          <w:tcPr>
            <w:tcW w:type="dxa" w:w="1440"/>
          </w:tcPr>
          <w:p>
            <w:r>
              <w:t>parinirvāṇa</w:t>
            </w:r>
          </w:p>
        </w:tc>
        <w:tc>
          <w:tcPr>
            <w:tcW w:type="dxa" w:w="1440"/>
          </w:tcPr>
          <w:p>
            <w:r>
              <w:t>涅槃/滅度</w:t>
            </w:r>
          </w:p>
        </w:tc>
        <w:tc>
          <w:tcPr>
            <w:tcW w:type="dxa" w:w="1440"/>
          </w:tcPr>
          <w:p>
            <w:r>
              <w:t>泥洹/滅度</w:t>
            </w:r>
          </w:p>
        </w:tc>
        <w:tc>
          <w:tcPr>
            <w:tcW w:type="dxa" w:w="1440"/>
          </w:tcPr>
          <w:p>
            <w:r>
              <w:t>Final nirvāṇa</w:t>
            </w:r>
          </w:p>
        </w:tc>
        <w:tc>
          <w:tcPr>
            <w:tcW w:type="dxa" w:w="1440"/>
          </w:tcPr>
          <w:p>
            <w:r>
              <w:t>壽量品等</w:t>
            </w:r>
          </w:p>
        </w:tc>
        <w:tc>
          <w:tcPr>
            <w:tcW w:type="dxa" w:w="1440"/>
          </w:tcPr>
          <w:p>
            <w:r/>
          </w:p>
        </w:tc>
      </w:tr>
      <w:tr>
        <w:tc>
          <w:tcPr>
            <w:tcW w:type="dxa" w:w="1440"/>
          </w:tcPr>
          <w:p>
            <w:r>
              <w:t>buddha-kṣetra</w:t>
            </w:r>
          </w:p>
        </w:tc>
        <w:tc>
          <w:tcPr>
            <w:tcW w:type="dxa" w:w="1440"/>
          </w:tcPr>
          <w:p>
            <w:r>
              <w:t>佛國土/佛土</w:t>
            </w:r>
          </w:p>
        </w:tc>
        <w:tc>
          <w:tcPr>
            <w:tcW w:type="dxa" w:w="1440"/>
          </w:tcPr>
          <w:p>
            <w:r>
              <w:t>佛國/佛剎</w:t>
            </w:r>
          </w:p>
        </w:tc>
        <w:tc>
          <w:tcPr>
            <w:tcW w:type="dxa" w:w="1440"/>
          </w:tcPr>
          <w:p>
            <w:r>
              <w:t>Buddha-field</w:t>
            </w:r>
          </w:p>
        </w:tc>
        <w:tc>
          <w:tcPr>
            <w:tcW w:type="dxa" w:w="1440"/>
          </w:tcPr>
          <w:p>
            <w:r>
              <w:t>全經</w:t>
            </w:r>
          </w:p>
        </w:tc>
        <w:tc>
          <w:tcPr>
            <w:tcW w:type="dxa" w:w="1440"/>
          </w:tcPr>
          <w:p>
            <w:r/>
          </w:p>
        </w:tc>
      </w:tr>
      <w:tr>
        <w:tc>
          <w:tcPr>
            <w:tcW w:type="dxa" w:w="1440"/>
          </w:tcPr>
          <w:p>
            <w:r>
              <w:t>samādhi</w:t>
            </w:r>
          </w:p>
        </w:tc>
        <w:tc>
          <w:tcPr>
            <w:tcW w:type="dxa" w:w="1440"/>
          </w:tcPr>
          <w:p>
            <w:r>
              <w:t>三昧/定</w:t>
            </w:r>
          </w:p>
        </w:tc>
        <w:tc>
          <w:tcPr>
            <w:tcW w:type="dxa" w:w="1440"/>
          </w:tcPr>
          <w:p>
            <w:r>
              <w:t>正受/定意</w:t>
            </w:r>
          </w:p>
        </w:tc>
        <w:tc>
          <w:tcPr>
            <w:tcW w:type="dxa" w:w="1440"/>
          </w:tcPr>
          <w:p>
            <w:r>
              <w:t>Concentration</w:t>
            </w:r>
          </w:p>
        </w:tc>
        <w:tc>
          <w:tcPr>
            <w:tcW w:type="dxa" w:w="1440"/>
          </w:tcPr>
          <w:p>
            <w:r>
              <w:t>全經</w:t>
            </w:r>
          </w:p>
        </w:tc>
        <w:tc>
          <w:tcPr>
            <w:tcW w:type="dxa" w:w="1440"/>
          </w:tcPr>
          <w:p>
            <w:r/>
          </w:p>
        </w:tc>
      </w:tr>
      <w:tr>
        <w:tc>
          <w:tcPr>
            <w:tcW w:type="dxa" w:w="1440"/>
          </w:tcPr>
          <w:p>
            <w:r>
              <w:t>prajñā</w:t>
            </w:r>
          </w:p>
        </w:tc>
        <w:tc>
          <w:tcPr>
            <w:tcW w:type="dxa" w:w="1440"/>
          </w:tcPr>
          <w:p>
            <w:r>
              <w:t>般若/智慧</w:t>
            </w:r>
          </w:p>
        </w:tc>
        <w:tc>
          <w:tcPr>
            <w:tcW w:type="dxa" w:w="1440"/>
          </w:tcPr>
          <w:p>
            <w:r>
              <w:t>慧/明</w:t>
            </w:r>
          </w:p>
        </w:tc>
        <w:tc>
          <w:tcPr>
            <w:tcW w:type="dxa" w:w="1440"/>
          </w:tcPr>
          <w:p>
            <w:r>
              <w:t>Wisdom</w:t>
            </w:r>
          </w:p>
        </w:tc>
        <w:tc>
          <w:tcPr>
            <w:tcW w:type="dxa" w:w="1440"/>
          </w:tcPr>
          <w:p>
            <w:r>
              <w:t>全經</w:t>
            </w:r>
          </w:p>
        </w:tc>
        <w:tc>
          <w:tcPr>
            <w:tcW w:type="dxa" w:w="1440"/>
          </w:tcPr>
          <w:p>
            <w:r/>
          </w:p>
        </w:tc>
      </w:tr>
      <w:tr>
        <w:tc>
          <w:tcPr>
            <w:tcW w:type="dxa" w:w="1440"/>
          </w:tcPr>
          <w:p>
            <w:r>
              <w:t>karuṇā</w:t>
            </w:r>
          </w:p>
        </w:tc>
        <w:tc>
          <w:tcPr>
            <w:tcW w:type="dxa" w:w="1440"/>
          </w:tcPr>
          <w:p>
            <w:r>
              <w:t>大悲</w:t>
            </w:r>
          </w:p>
        </w:tc>
        <w:tc>
          <w:tcPr>
            <w:tcW w:type="dxa" w:w="1440"/>
          </w:tcPr>
          <w:p>
            <w:r>
              <w:t>慈哀</w:t>
            </w:r>
          </w:p>
        </w:tc>
        <w:tc>
          <w:tcPr>
            <w:tcW w:type="dxa" w:w="1440"/>
          </w:tcPr>
          <w:p>
            <w:r>
              <w:t>Great compassion</w:t>
            </w:r>
          </w:p>
        </w:tc>
        <w:tc>
          <w:tcPr>
            <w:tcW w:type="dxa" w:w="1440"/>
          </w:tcPr>
          <w:p>
            <w:r>
              <w:t>普門品等</w:t>
            </w:r>
          </w:p>
        </w:tc>
        <w:tc>
          <w:tcPr>
            <w:tcW w:type="dxa" w:w="1440"/>
          </w:tcPr>
          <w:p>
            <w:r/>
          </w:p>
        </w:tc>
      </w:tr>
      <w:tr>
        <w:tc>
          <w:tcPr>
            <w:tcW w:type="dxa" w:w="1440"/>
          </w:tcPr>
          <w:p>
            <w:r>
              <w:t>dhāraṇī</w:t>
            </w:r>
          </w:p>
        </w:tc>
        <w:tc>
          <w:tcPr>
            <w:tcW w:type="dxa" w:w="1440"/>
          </w:tcPr>
          <w:p>
            <w:r>
              <w:t>陀羅尼</w:t>
            </w:r>
          </w:p>
        </w:tc>
        <w:tc>
          <w:tcPr>
            <w:tcW w:type="dxa" w:w="1440"/>
          </w:tcPr>
          <w:p>
            <w:r>
              <w:t>陀隣尼/總持</w:t>
            </w:r>
          </w:p>
        </w:tc>
        <w:tc>
          <w:tcPr>
            <w:tcW w:type="dxa" w:w="1440"/>
          </w:tcPr>
          <w:p>
            <w:r>
              <w:t>Dhāraṇī</w:t>
            </w:r>
          </w:p>
        </w:tc>
        <w:tc>
          <w:tcPr>
            <w:tcW w:type="dxa" w:w="1440"/>
          </w:tcPr>
          <w:p>
            <w:r>
              <w:t>陀羅尼品</w:t>
            </w:r>
          </w:p>
        </w:tc>
        <w:tc>
          <w:tcPr>
            <w:tcW w:type="dxa" w:w="1440"/>
          </w:tcPr>
          <w:p>
            <w:r/>
          </w:p>
        </w:tc>
      </w:tr>
      <w:tr>
        <w:tc>
          <w:tcPr>
            <w:tcW w:type="dxa" w:w="1440"/>
          </w:tcPr>
          <w:p>
            <w:r>
              <w:t>stūpa</w:t>
            </w:r>
          </w:p>
        </w:tc>
        <w:tc>
          <w:tcPr>
            <w:tcW w:type="dxa" w:w="1440"/>
          </w:tcPr>
          <w:p>
            <w:r>
              <w:t>塔/寶塔</w:t>
            </w:r>
          </w:p>
        </w:tc>
        <w:tc>
          <w:tcPr>
            <w:tcW w:type="dxa" w:w="1440"/>
          </w:tcPr>
          <w:p>
            <w:r>
              <w:t>塔</w:t>
            </w:r>
          </w:p>
        </w:tc>
        <w:tc>
          <w:tcPr>
            <w:tcW w:type="dxa" w:w="1440"/>
          </w:tcPr>
          <w:p>
            <w:r>
              <w:t>Stūpa</w:t>
            </w:r>
          </w:p>
        </w:tc>
        <w:tc>
          <w:tcPr>
            <w:tcW w:type="dxa" w:w="1440"/>
          </w:tcPr>
          <w:p>
            <w:r>
              <w:t>見寶塔品</w:t>
            </w:r>
          </w:p>
        </w:tc>
        <w:tc>
          <w:tcPr>
            <w:tcW w:type="dxa" w:w="1440"/>
          </w:tcPr>
          <w:p>
            <w:r/>
          </w:p>
        </w:tc>
      </w:tr>
      <w:tr>
        <w:tc>
          <w:tcPr>
            <w:tcW w:type="dxa" w:w="1440"/>
          </w:tcPr>
          <w:p>
            <w:r>
              <w:t>tathāgatagarbha</w:t>
            </w:r>
          </w:p>
        </w:tc>
        <w:tc>
          <w:tcPr>
            <w:tcW w:type="dxa" w:w="1440"/>
          </w:tcPr>
          <w:p>
            <w:r>
              <w:t>如來藏</w:t>
            </w:r>
          </w:p>
        </w:tc>
        <w:tc>
          <w:tcPr>
            <w:tcW w:type="dxa" w:w="1440"/>
          </w:tcPr>
          <w:p>
            <w:r>
              <w:t>—</w:t>
            </w:r>
          </w:p>
        </w:tc>
        <w:tc>
          <w:tcPr>
            <w:tcW w:type="dxa" w:w="1440"/>
          </w:tcPr>
          <w:p>
            <w:r>
              <w:t>Tathāgatagarbha</w:t>
            </w:r>
          </w:p>
        </w:tc>
        <w:tc>
          <w:tcPr>
            <w:tcW w:type="dxa" w:w="1440"/>
          </w:tcPr>
          <w:p>
            <w:r>
              <w:t>隱含</w:t>
            </w:r>
          </w:p>
        </w:tc>
        <w:tc>
          <w:tcPr>
            <w:tcW w:type="dxa" w:w="1440"/>
          </w:tcPr>
          <w:p>
            <w:r>
              <w:t>跨經概念</w:t>
            </w:r>
          </w:p>
        </w:tc>
      </w:tr>
      <w:tr>
        <w:tc>
          <w:tcPr>
            <w:tcW w:type="dxa" w:w="1440"/>
          </w:tcPr>
          <w:p>
            <w:r>
              <w:t>śloka</w:t>
            </w:r>
          </w:p>
        </w:tc>
        <w:tc>
          <w:tcPr>
            <w:tcW w:type="dxa" w:w="1440"/>
          </w:tcPr>
          <w:p>
            <w:r>
              <w:t>偈/頌</w:t>
            </w:r>
          </w:p>
        </w:tc>
        <w:tc>
          <w:tcPr>
            <w:tcW w:type="dxa" w:w="1440"/>
          </w:tcPr>
          <w:p>
            <w:r>
              <w:t>偈</w:t>
            </w:r>
          </w:p>
        </w:tc>
        <w:tc>
          <w:tcPr>
            <w:tcW w:type="dxa" w:w="1440"/>
          </w:tcPr>
          <w:p>
            <w:r>
              <w:t>Verse</w:t>
            </w:r>
          </w:p>
        </w:tc>
        <w:tc>
          <w:tcPr>
            <w:tcW w:type="dxa" w:w="1440"/>
          </w:tcPr>
          <w:p>
            <w:r>
              <w:t>全經</w:t>
            </w:r>
          </w:p>
        </w:tc>
        <w:tc>
          <w:tcPr>
            <w:tcW w:type="dxa" w:w="1440"/>
          </w:tcPr>
          <w:p>
            <w:r/>
          </w:p>
        </w:tc>
      </w:tr>
      <w:tr>
        <w:tc>
          <w:tcPr>
            <w:tcW w:type="dxa" w:w="1440"/>
          </w:tcPr>
          <w:p>
            <w:r>
              <w:t>gāthā</w:t>
            </w:r>
          </w:p>
        </w:tc>
        <w:tc>
          <w:tcPr>
            <w:tcW w:type="dxa" w:w="1440"/>
          </w:tcPr>
          <w:p>
            <w:r>
              <w:t>偈/頌</w:t>
            </w:r>
          </w:p>
        </w:tc>
        <w:tc>
          <w:tcPr>
            <w:tcW w:type="dxa" w:w="1440"/>
          </w:tcPr>
          <w:p>
            <w:r>
              <w:t>頌</w:t>
            </w:r>
          </w:p>
        </w:tc>
        <w:tc>
          <w:tcPr>
            <w:tcW w:type="dxa" w:w="1440"/>
          </w:tcPr>
          <w:p>
            <w:r>
              <w:t>Stanza</w:t>
            </w:r>
          </w:p>
        </w:tc>
        <w:tc>
          <w:tcPr>
            <w:tcW w:type="dxa" w:w="1440"/>
          </w:tcPr>
          <w:p>
            <w:r>
              <w:t>全經</w:t>
            </w:r>
          </w:p>
        </w:tc>
        <w:tc>
          <w:tcPr>
            <w:tcW w:type="dxa" w:w="1440"/>
          </w:tcPr>
          <w:p>
            <w:r>
              <w:t>早期韻文</w:t>
            </w:r>
          </w:p>
        </w:tc>
      </w:tr>
      <w:tr>
        <w:tc>
          <w:tcPr>
            <w:tcW w:type="dxa" w:w="1440"/>
          </w:tcPr>
          <w:p>
            <w:r>
              <w:t>abhijñā</w:t>
            </w:r>
          </w:p>
        </w:tc>
        <w:tc>
          <w:tcPr>
            <w:tcW w:type="dxa" w:w="1440"/>
          </w:tcPr>
          <w:p>
            <w:r>
              <w:t>神通</w:t>
            </w:r>
          </w:p>
        </w:tc>
        <w:tc>
          <w:tcPr>
            <w:tcW w:type="dxa" w:w="1440"/>
          </w:tcPr>
          <w:p>
            <w:r>
              <w:t>神足/聖通</w:t>
            </w:r>
          </w:p>
        </w:tc>
        <w:tc>
          <w:tcPr>
            <w:tcW w:type="dxa" w:w="1440"/>
          </w:tcPr>
          <w:p>
            <w:r>
              <w:t>Supernatural powers</w:t>
            </w:r>
          </w:p>
        </w:tc>
        <w:tc>
          <w:tcPr>
            <w:tcW w:type="dxa" w:w="1440"/>
          </w:tcPr>
          <w:p>
            <w:r>
              <w:t>全經</w:t>
            </w:r>
          </w:p>
        </w:tc>
        <w:tc>
          <w:tcPr>
            <w:tcW w:type="dxa" w:w="1440"/>
          </w:tcPr>
          <w:p>
            <w:r>
              <w:t>六神通系統</w:t>
            </w:r>
          </w:p>
        </w:tc>
      </w:tr>
      <w:tr>
        <w:tc>
          <w:tcPr>
            <w:tcW w:type="dxa" w:w="1440"/>
          </w:tcPr>
          <w:p>
            <w:r>
              <w:t>kṣānti</w:t>
            </w:r>
          </w:p>
        </w:tc>
        <w:tc>
          <w:tcPr>
            <w:tcW w:type="dxa" w:w="1440"/>
          </w:tcPr>
          <w:p>
            <w:r>
              <w:t>忍辱/忍</w:t>
            </w:r>
          </w:p>
        </w:tc>
        <w:tc>
          <w:tcPr>
            <w:tcW w:type="dxa" w:w="1440"/>
          </w:tcPr>
          <w:p>
            <w:r>
              <w:t>忍/柔順忍</w:t>
            </w:r>
          </w:p>
        </w:tc>
        <w:tc>
          <w:tcPr>
            <w:tcW w:type="dxa" w:w="1440"/>
          </w:tcPr>
          <w:p>
            <w:r>
              <w:t>Forbearance/Patience</w:t>
            </w:r>
          </w:p>
        </w:tc>
        <w:tc>
          <w:tcPr>
            <w:tcW w:type="dxa" w:w="1440"/>
          </w:tcPr>
          <w:p>
            <w:r>
              <w:t>安樂行品等</w:t>
            </w:r>
          </w:p>
        </w:tc>
        <w:tc>
          <w:tcPr>
            <w:tcW w:type="dxa" w:w="1440"/>
          </w:tcPr>
          <w:p>
            <w:r>
              <w:t>六度之一</w:t>
            </w:r>
          </w:p>
        </w:tc>
      </w:tr>
      <w:tr>
        <w:tc>
          <w:tcPr>
            <w:tcW w:type="dxa" w:w="1440"/>
          </w:tcPr>
          <w:p>
            <w:r>
              <w:t>dhyāna</w:t>
            </w:r>
          </w:p>
        </w:tc>
        <w:tc>
          <w:tcPr>
            <w:tcW w:type="dxa" w:w="1440"/>
          </w:tcPr>
          <w:p>
            <w:r>
              <w:t>禪定/禪</w:t>
            </w:r>
          </w:p>
        </w:tc>
        <w:tc>
          <w:tcPr>
            <w:tcW w:type="dxa" w:w="1440"/>
          </w:tcPr>
          <w:p>
            <w:r>
              <w:t>一心/思惟</w:t>
            </w:r>
          </w:p>
        </w:tc>
        <w:tc>
          <w:tcPr>
            <w:tcW w:type="dxa" w:w="1440"/>
          </w:tcPr>
          <w:p>
            <w:r>
              <w:t>Meditation/Dhyāna</w:t>
            </w:r>
          </w:p>
        </w:tc>
        <w:tc>
          <w:tcPr>
            <w:tcW w:type="dxa" w:w="1440"/>
          </w:tcPr>
          <w:p>
            <w:r>
              <w:t>全經</w:t>
            </w:r>
          </w:p>
        </w:tc>
        <w:tc>
          <w:tcPr>
            <w:tcW w:type="dxa" w:w="1440"/>
          </w:tcPr>
          <w:p>
            <w:r>
              <w:t>竺法護偏用意譯</w:t>
            </w:r>
          </w:p>
        </w:tc>
      </w:tr>
      <w:tr>
        <w:tc>
          <w:tcPr>
            <w:tcW w:type="dxa" w:w="1440"/>
          </w:tcPr>
          <w:p>
            <w:r>
              <w:t>pāramitā</w:t>
            </w:r>
          </w:p>
        </w:tc>
        <w:tc>
          <w:tcPr>
            <w:tcW w:type="dxa" w:w="1440"/>
          </w:tcPr>
          <w:p>
            <w:r>
              <w:t>波羅蜜/到彼岸</w:t>
            </w:r>
          </w:p>
        </w:tc>
        <w:tc>
          <w:tcPr>
            <w:tcW w:type="dxa" w:w="1440"/>
          </w:tcPr>
          <w:p>
            <w:r>
              <w:t>度無極</w:t>
            </w:r>
          </w:p>
        </w:tc>
        <w:tc>
          <w:tcPr>
            <w:tcW w:type="dxa" w:w="1440"/>
          </w:tcPr>
          <w:p>
            <w:r>
              <w:t>Perfection/Pāramitā</w:t>
            </w:r>
          </w:p>
        </w:tc>
        <w:tc>
          <w:tcPr>
            <w:tcW w:type="dxa" w:w="1440"/>
          </w:tcPr>
          <w:p>
            <w:r>
              <w:t>全經</w:t>
            </w:r>
          </w:p>
        </w:tc>
        <w:tc>
          <w:tcPr>
            <w:tcW w:type="dxa" w:w="1440"/>
          </w:tcPr>
          <w:p>
            <w:r>
              <w:t>竺法護獨創「度無極」</w:t>
            </w:r>
          </w:p>
        </w:tc>
      </w:tr>
      <w:tr>
        <w:tc>
          <w:tcPr>
            <w:tcW w:type="dxa" w:w="1440"/>
          </w:tcPr>
          <w:p>
            <w:r>
              <w:t>nirmāṇakāya</w:t>
            </w:r>
          </w:p>
        </w:tc>
        <w:tc>
          <w:tcPr>
            <w:tcW w:type="dxa" w:w="1440"/>
          </w:tcPr>
          <w:p>
            <w:r>
              <w:t>化身/應身</w:t>
            </w:r>
          </w:p>
        </w:tc>
        <w:tc>
          <w:tcPr>
            <w:tcW w:type="dxa" w:w="1440"/>
          </w:tcPr>
          <w:p>
            <w:r>
              <w:t>化/分身</w:t>
            </w:r>
          </w:p>
        </w:tc>
        <w:tc>
          <w:tcPr>
            <w:tcW w:type="dxa" w:w="1440"/>
          </w:tcPr>
          <w:p>
            <w:r>
              <w:t>Transformation body</w:t>
            </w:r>
          </w:p>
        </w:tc>
        <w:tc>
          <w:tcPr>
            <w:tcW w:type="dxa" w:w="1440"/>
          </w:tcPr>
          <w:p>
            <w:r>
              <w:t>壽量品等</w:t>
            </w:r>
          </w:p>
        </w:tc>
        <w:tc>
          <w:tcPr>
            <w:tcW w:type="dxa" w:w="1440"/>
          </w:tcPr>
          <w:p>
            <w:r>
              <w:t>三身之一</w:t>
            </w:r>
          </w:p>
        </w:tc>
      </w:tr>
      <w:tr>
        <w:tc>
          <w:tcPr>
            <w:tcW w:type="dxa" w:w="1440"/>
          </w:tcPr>
          <w:p>
            <w:r>
              <w:t>sambhogakāya</w:t>
            </w:r>
          </w:p>
        </w:tc>
        <w:tc>
          <w:tcPr>
            <w:tcW w:type="dxa" w:w="1440"/>
          </w:tcPr>
          <w:p>
            <w:r>
              <w:t>報身</w:t>
            </w:r>
          </w:p>
        </w:tc>
        <w:tc>
          <w:tcPr>
            <w:tcW w:type="dxa" w:w="1440"/>
          </w:tcPr>
          <w:p>
            <w:r>
              <w:t>—</w:t>
            </w:r>
          </w:p>
        </w:tc>
        <w:tc>
          <w:tcPr>
            <w:tcW w:type="dxa" w:w="1440"/>
          </w:tcPr>
          <w:p>
            <w:r>
              <w:t>Enjoyment body</w:t>
            </w:r>
          </w:p>
        </w:tc>
        <w:tc>
          <w:tcPr>
            <w:tcW w:type="dxa" w:w="1440"/>
          </w:tcPr>
          <w:p>
            <w:r>
              <w:t>隱含</w:t>
            </w:r>
          </w:p>
        </w:tc>
        <w:tc>
          <w:tcPr>
            <w:tcW w:type="dxa" w:w="1440"/>
          </w:tcPr>
          <w:p>
            <w:r>
              <w:t>三身之一，漢譯少見</w:t>
            </w:r>
          </w:p>
        </w:tc>
      </w:tr>
      <w:tr>
        <w:tc>
          <w:tcPr>
            <w:tcW w:type="dxa" w:w="1440"/>
          </w:tcPr>
          <w:p>
            <w:r>
              <w:t>dharmakāya</w:t>
            </w:r>
          </w:p>
        </w:tc>
        <w:tc>
          <w:tcPr>
            <w:tcW w:type="dxa" w:w="1440"/>
          </w:tcPr>
          <w:p>
            <w:r>
              <w:t>法身</w:t>
            </w:r>
          </w:p>
        </w:tc>
        <w:tc>
          <w:tcPr>
            <w:tcW w:type="dxa" w:w="1440"/>
          </w:tcPr>
          <w:p>
            <w:r>
              <w:t>法身</w:t>
            </w:r>
          </w:p>
        </w:tc>
        <w:tc>
          <w:tcPr>
            <w:tcW w:type="dxa" w:w="1440"/>
          </w:tcPr>
          <w:p>
            <w:r>
              <w:t>Dharma body</w:t>
            </w:r>
          </w:p>
        </w:tc>
        <w:tc>
          <w:tcPr>
            <w:tcW w:type="dxa" w:w="1440"/>
          </w:tcPr>
          <w:p>
            <w:r>
              <w:t>隱含</w:t>
            </w:r>
          </w:p>
        </w:tc>
        <w:tc>
          <w:tcPr>
            <w:tcW w:type="dxa" w:w="1440"/>
          </w:tcPr>
          <w:p>
            <w:r>
              <w:t>三身之一</w:t>
            </w:r>
          </w:p>
        </w:tc>
      </w:tr>
      <w:tr>
        <w:tc>
          <w:tcPr>
            <w:tcW w:type="dxa" w:w="1440"/>
          </w:tcPr>
          <w:p>
            <w:r>
              <w:t>kuśala</w:t>
            </w:r>
          </w:p>
        </w:tc>
        <w:tc>
          <w:tcPr>
            <w:tcW w:type="dxa" w:w="1440"/>
          </w:tcPr>
          <w:p>
            <w:r>
              <w:t>善根/善</w:t>
            </w:r>
          </w:p>
        </w:tc>
        <w:tc>
          <w:tcPr>
            <w:tcW w:type="dxa" w:w="1440"/>
          </w:tcPr>
          <w:p>
            <w:r>
              <w:t>善本/德本</w:t>
            </w:r>
          </w:p>
        </w:tc>
        <w:tc>
          <w:tcPr>
            <w:tcW w:type="dxa" w:w="1440"/>
          </w:tcPr>
          <w:p>
            <w:r>
              <w:t>Wholesome roots</w:t>
            </w:r>
          </w:p>
        </w:tc>
        <w:tc>
          <w:tcPr>
            <w:tcW w:type="dxa" w:w="1440"/>
          </w:tcPr>
          <w:p>
            <w:r>
              <w:t>全經</w:t>
            </w:r>
          </w:p>
        </w:tc>
        <w:tc>
          <w:tcPr>
            <w:tcW w:type="dxa" w:w="1440"/>
          </w:tcPr>
          <w:p>
            <w:r>
              <w:t>「善根」為鳩摩羅什定譯</w:t>
            </w:r>
          </w:p>
        </w:tc>
      </w:tr>
      <w:tr>
        <w:tc>
          <w:tcPr>
            <w:tcW w:type="dxa" w:w="1440"/>
          </w:tcPr>
          <w:p>
            <w:r>
              <w:t>anuttara-samyak-sambodhi</w:t>
            </w:r>
          </w:p>
        </w:tc>
        <w:tc>
          <w:tcPr>
            <w:tcW w:type="dxa" w:w="1440"/>
          </w:tcPr>
          <w:p>
            <w:r>
              <w:t>阿耨多羅三藐三菩提</w:t>
            </w:r>
          </w:p>
        </w:tc>
        <w:tc>
          <w:tcPr>
            <w:tcW w:type="dxa" w:w="1440"/>
          </w:tcPr>
          <w:p>
            <w:r>
              <w:t>無上正真道</w:t>
            </w:r>
          </w:p>
        </w:tc>
        <w:tc>
          <w:tcPr>
            <w:tcW w:type="dxa" w:w="1440"/>
          </w:tcPr>
          <w:p>
            <w:r>
              <w:t>Supreme perfect awakening</w:t>
            </w:r>
          </w:p>
        </w:tc>
        <w:tc>
          <w:tcPr>
            <w:tcW w:type="dxa" w:w="1440"/>
          </w:tcPr>
          <w:p>
            <w:r>
              <w:t>全經</w:t>
            </w:r>
          </w:p>
        </w:tc>
        <w:tc>
          <w:tcPr>
            <w:tcW w:type="dxa" w:w="1440"/>
          </w:tcPr>
          <w:p>
            <w:r>
              <w:t>音譯 vs 意譯的典型對比</w:t>
            </w:r>
          </w:p>
        </w:tc>
      </w:tr>
      <w:tr>
        <w:tc>
          <w:tcPr>
            <w:tcW w:type="dxa" w:w="1440"/>
          </w:tcPr>
          <w:p>
            <w:r>
              <w:t>sattva</w:t>
            </w:r>
          </w:p>
        </w:tc>
        <w:tc>
          <w:tcPr>
            <w:tcW w:type="dxa" w:w="1440"/>
          </w:tcPr>
          <w:p>
            <w:r>
              <w:t>眾生/有情</w:t>
            </w:r>
          </w:p>
        </w:tc>
        <w:tc>
          <w:tcPr>
            <w:tcW w:type="dxa" w:w="1440"/>
          </w:tcPr>
          <w:p>
            <w:r>
              <w:t>群萌/群生</w:t>
            </w:r>
          </w:p>
        </w:tc>
        <w:tc>
          <w:tcPr>
            <w:tcW w:type="dxa" w:w="1440"/>
          </w:tcPr>
          <w:p>
            <w:r>
              <w:t>Sentient beings</w:t>
            </w:r>
          </w:p>
        </w:tc>
        <w:tc>
          <w:tcPr>
            <w:tcW w:type="dxa" w:w="1440"/>
          </w:tcPr>
          <w:p>
            <w:r>
              <w:t>全經</w:t>
            </w:r>
          </w:p>
        </w:tc>
        <w:tc>
          <w:tcPr>
            <w:tcW w:type="dxa" w:w="1440"/>
          </w:tcPr>
          <w:p>
            <w:r>
              <w:t>竺法護用古雅譯名</w:t>
            </w:r>
          </w:p>
        </w:tc>
      </w:tr>
    </w:tbl>
    <w:p/>
    <w:p>
      <w:r>
        <w:rPr>
          <w:b/>
        </w:rPr>
        <w:t>新增 10 組術語說明</w:t>
      </w:r>
      <w:r>
        <w:t xml:space="preserve">：第 21-30 組為本次擴充新增。其中 abhijñā（神通）在法師功德品六根清淨的討論中尤為關鍵 </w:t>
      </w:r>
      <w:r>
        <w:t xml:space="preserve">CSV #73]；kṣānti（忍辱）與 dhyāna（禪定）是安樂行品「四安樂行」的核心修行範疇 </w:t>
      </w:r>
      <w:r>
        <w:t xml:space="preserve">CSV #79, 110]；pāramitā（波羅蜜）涵蓋全經的修行體系 </w:t>
      </w:r>
      <w:r>
        <w:t xml:space="preserve">CSV #75]；nirmāṇakāya / sambhogakāya / dharmakāya（三身）是壽量品「久遠實成」教義的佛陀論基礎，也是天台-法相爭論的焦點 </w:t>
      </w:r>
      <w:r>
        <w:t xml:space="preserve">CSV #78, 83]；kuśala（善根）在隨喜功德品五十展轉功德的討論中反覆出現 </w:t>
      </w:r>
      <w:r>
        <w:t xml:space="preserve">CSV #38]；anuttara-samyak-sambodhi（阿耨多羅三藐三菩提）是授記品群中佛陀預言弟子成佛的核心術語，鳩摩羅什選擇音譯而竺法護選擇意譯「無上正真道」，是兩位譯者翻譯策略差異的縮影 </w:t>
      </w:r>
      <w:r>
        <w:t xml:space="preserve">CSV #12, 37]；sattva（眾生）的漢譯——鳩摩羅什的「眾生」vs 竺法護的「群萌」——反映了兩個時代的譯經用語演變 </w:t>
      </w:r>
      <w:r>
        <w:t>CSV #118]（馬祖毅, 2006）。</w:t>
      </w:r>
    </w:p>
    <w:p>
      <w:pPr>
        <w:pStyle w:val="Heading3"/>
      </w:pPr>
      <w:r>
        <w:t>附錄 E：開放存取資源索引</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資源名稱</w:t>
            </w:r>
          </w:p>
        </w:tc>
        <w:tc>
          <w:tcPr>
            <w:tcW w:type="dxa" w:w="1728"/>
          </w:tcPr>
          <w:p>
            <w:r>
              <w:rPr>
                <w:b/>
              </w:rPr>
              <w:t>URL</w:t>
            </w:r>
          </w:p>
        </w:tc>
        <w:tc>
          <w:tcPr>
            <w:tcW w:type="dxa" w:w="1728"/>
          </w:tcPr>
          <w:p>
            <w:r>
              <w:rPr>
                <w:b/>
              </w:rPr>
              <w:t>涵蓋內容</w:t>
            </w:r>
          </w:p>
        </w:tc>
        <w:tc>
          <w:tcPr>
            <w:tcW w:type="dxa" w:w="1728"/>
          </w:tcPr>
          <w:p>
            <w:r>
              <w:rPr>
                <w:b/>
              </w:rPr>
              <w:t>覆蓋 CSV 編號</w:t>
            </w:r>
          </w:p>
        </w:tc>
        <w:tc>
          <w:tcPr>
            <w:tcW w:type="dxa" w:w="1728"/>
          </w:tcPr>
          <w:p>
            <w:r>
              <w:rPr>
                <w:b/>
              </w:rPr>
              <w:t>取用日期建議</w:t>
            </w:r>
          </w:p>
        </w:tc>
      </w:tr>
      <w:tr>
        <w:tc>
          <w:tcPr>
            <w:tcW w:type="dxa" w:w="1728"/>
          </w:tcPr>
          <w:p>
            <w:r>
              <w:t>CBETA 電子佛典</w:t>
            </w:r>
          </w:p>
        </w:tc>
        <w:tc>
          <w:tcPr>
            <w:tcW w:type="dxa" w:w="1728"/>
          </w:tcPr>
          <w:p>
            <w:r>
              <w:t>cbetaonline.dila.edu.tw</w:t>
            </w:r>
          </w:p>
        </w:tc>
        <w:tc>
          <w:tcPr>
            <w:tcW w:type="dxa" w:w="1728"/>
          </w:tcPr>
          <w:p>
            <w:r>
              <w:t>漢文大藏經全文</w:t>
            </w:r>
          </w:p>
        </w:tc>
        <w:tc>
          <w:tcPr>
            <w:tcW w:type="dxa" w:w="1728"/>
          </w:tcPr>
          <w:p>
            <w:r>
              <w:t>#73-84, 106-117</w:t>
            </w:r>
          </w:p>
        </w:tc>
        <w:tc>
          <w:tcPr>
            <w:tcW w:type="dxa" w:w="1728"/>
          </w:tcPr>
          <w:p>
            <w:r>
              <w:t>每季更新</w:t>
            </w:r>
          </w:p>
        </w:tc>
      </w:tr>
      <w:tr>
        <w:tc>
          <w:tcPr>
            <w:tcW w:type="dxa" w:w="1728"/>
          </w:tcPr>
          <w:p>
            <w:r>
              <w:t>BDK America</w:t>
            </w:r>
          </w:p>
        </w:tc>
        <w:tc>
          <w:tcPr>
            <w:tcW w:type="dxa" w:w="1728"/>
          </w:tcPr>
          <w:p>
            <w:r>
              <w:t>bdkamerica.org</w:t>
            </w:r>
          </w:p>
        </w:tc>
        <w:tc>
          <w:tcPr>
            <w:tcW w:type="dxa" w:w="1728"/>
          </w:tcPr>
          <w:p>
            <w:r>
              <w:t>英譯佛典</w:t>
            </w:r>
          </w:p>
        </w:tc>
        <w:tc>
          <w:tcPr>
            <w:tcW w:type="dxa" w:w="1728"/>
          </w:tcPr>
          <w:p>
            <w:r>
              <w:t>#24, 30</w:t>
            </w:r>
          </w:p>
        </w:tc>
        <w:tc>
          <w:tcPr>
            <w:tcW w:type="dxa" w:w="1728"/>
          </w:tcPr>
          <w:p>
            <w:r>
              <w:t>年度更新</w:t>
            </w:r>
          </w:p>
        </w:tc>
      </w:tr>
      <w:tr>
        <w:tc>
          <w:tcPr>
            <w:tcW w:type="dxa" w:w="1728"/>
          </w:tcPr>
          <w:p>
            <w:r>
              <w:t>ARIRIAB</w:t>
            </w:r>
          </w:p>
        </w:tc>
        <w:tc>
          <w:tcPr>
            <w:tcW w:type="dxa" w:w="1728"/>
          </w:tcPr>
          <w:p>
            <w:r>
              <w:t>iriab.soka.ac.jp</w:t>
            </w:r>
          </w:p>
        </w:tc>
        <w:tc>
          <w:tcPr>
            <w:tcW w:type="dxa" w:w="1728"/>
          </w:tcPr>
          <w:p>
            <w:r>
              <w:t>辛嶋靜志等學者論文</w:t>
            </w:r>
          </w:p>
        </w:tc>
        <w:tc>
          <w:tcPr>
            <w:tcW w:type="dxa" w:w="1728"/>
          </w:tcPr>
          <w:p>
            <w:r>
              <w:t>#11, 16, 21</w:t>
            </w:r>
          </w:p>
        </w:tc>
        <w:tc>
          <w:tcPr>
            <w:tcW w:type="dxa" w:w="1728"/>
          </w:tcPr>
          <w:p>
            <w:r>
              <w:t>年度更新</w:t>
            </w:r>
          </w:p>
        </w:tc>
      </w:tr>
      <w:tr>
        <w:tc>
          <w:tcPr>
            <w:tcW w:type="dxa" w:w="1728"/>
          </w:tcPr>
          <w:p>
            <w:r>
              <w:t>Internet Archive</w:t>
            </w:r>
          </w:p>
        </w:tc>
        <w:tc>
          <w:tcPr>
            <w:tcW w:type="dxa" w:w="1728"/>
          </w:tcPr>
          <w:p>
            <w:r>
              <w:t>archive.org</w:t>
            </w:r>
          </w:p>
        </w:tc>
        <w:tc>
          <w:tcPr>
            <w:tcW w:type="dxa" w:w="1728"/>
          </w:tcPr>
          <w:p>
            <w:r>
              <w:t>公版文獻全文</w:t>
            </w:r>
          </w:p>
        </w:tc>
        <w:tc>
          <w:tcPr>
            <w:tcW w:type="dxa" w:w="1728"/>
          </w:tcPr>
          <w:p>
            <w:r>
              <w:t>#1-3, 132</w:t>
            </w:r>
          </w:p>
        </w:tc>
        <w:tc>
          <w:tcPr>
            <w:tcW w:type="dxa" w:w="1728"/>
          </w:tcPr>
          <w:p>
            <w:r>
              <w:t>持續</w:t>
            </w:r>
          </w:p>
        </w:tc>
      </w:tr>
      <w:tr>
        <w:tc>
          <w:tcPr>
            <w:tcW w:type="dxa" w:w="1728"/>
          </w:tcPr>
          <w:p>
            <w:r>
              <w:t>J-STAGE</w:t>
            </w:r>
          </w:p>
        </w:tc>
        <w:tc>
          <w:tcPr>
            <w:tcW w:type="dxa" w:w="1728"/>
          </w:tcPr>
          <w:p>
            <w:r>
              <w:t>jstage.jst.go.jp</w:t>
            </w:r>
          </w:p>
        </w:tc>
        <w:tc>
          <w:tcPr>
            <w:tcW w:type="dxa" w:w="1728"/>
          </w:tcPr>
          <w:p>
            <w:r>
              <w:t>日文開放期刊</w:t>
            </w:r>
          </w:p>
        </w:tc>
        <w:tc>
          <w:tcPr>
            <w:tcW w:type="dxa" w:w="1728"/>
          </w:tcPr>
          <w:p>
            <w:r>
              <w:t>#63, 129</w:t>
            </w:r>
          </w:p>
        </w:tc>
        <w:tc>
          <w:tcPr>
            <w:tcW w:type="dxa" w:w="1728"/>
          </w:tcPr>
          <w:p>
            <w:r>
              <w:t>持續</w:t>
            </w:r>
          </w:p>
        </w:tc>
      </w:tr>
      <w:tr>
        <w:tc>
          <w:tcPr>
            <w:tcW w:type="dxa" w:w="1728"/>
          </w:tcPr>
          <w:p>
            <w:r>
              <w:t>GRETIL</w:t>
            </w:r>
          </w:p>
        </w:tc>
        <w:tc>
          <w:tcPr>
            <w:tcW w:type="dxa" w:w="1728"/>
          </w:tcPr>
          <w:p>
            <w:r>
              <w:t>gretil.sub.uni-goettingen.de</w:t>
            </w:r>
          </w:p>
        </w:tc>
        <w:tc>
          <w:tcPr>
            <w:tcW w:type="dxa" w:w="1728"/>
          </w:tcPr>
          <w:p>
            <w:r>
              <w:t>梵文電子文本</w:t>
            </w:r>
          </w:p>
        </w:tc>
        <w:tc>
          <w:tcPr>
            <w:tcW w:type="dxa" w:w="1728"/>
          </w:tcPr>
          <w:p>
            <w:r>
              <w:t>校本參考</w:t>
            </w:r>
          </w:p>
        </w:tc>
        <w:tc>
          <w:tcPr>
            <w:tcW w:type="dxa" w:w="1728"/>
          </w:tcPr>
          <w:p>
            <w:r>
              <w:t>不定期</w:t>
            </w:r>
          </w:p>
        </w:tc>
      </w:tr>
      <w:tr>
        <w:tc>
          <w:tcPr>
            <w:tcW w:type="dxa" w:w="1728"/>
          </w:tcPr>
          <w:p>
            <w:r>
              <w:t>SAT 大正新脩大藏經</w:t>
            </w:r>
          </w:p>
        </w:tc>
        <w:tc>
          <w:tcPr>
            <w:tcW w:type="dxa" w:w="1728"/>
          </w:tcPr>
          <w:p>
            <w:r>
              <w:t>21dzk.l.u-tokyo.ac.jp/SAT</w:t>
            </w:r>
          </w:p>
        </w:tc>
        <w:tc>
          <w:tcPr>
            <w:tcW w:type="dxa" w:w="1728"/>
          </w:tcPr>
          <w:p>
            <w:r>
              <w:t>日文佛典數位化</w:t>
            </w:r>
          </w:p>
        </w:tc>
        <w:tc>
          <w:tcPr>
            <w:tcW w:type="dxa" w:w="1728"/>
          </w:tcPr>
          <w:p>
            <w:r>
              <w:t>#85-86</w:t>
            </w:r>
          </w:p>
        </w:tc>
        <w:tc>
          <w:tcPr>
            <w:tcW w:type="dxa" w:w="1728"/>
          </w:tcPr>
          <w:p>
            <w:r>
              <w:t>持續</w:t>
            </w:r>
          </w:p>
        </w:tc>
      </w:tr>
      <w:tr>
        <w:tc>
          <w:tcPr>
            <w:tcW w:type="dxa" w:w="1728"/>
          </w:tcPr>
          <w:p>
            <w:r>
              <w:t>JIABS</w:t>
            </w:r>
          </w:p>
        </w:tc>
        <w:tc>
          <w:tcPr>
            <w:tcW w:type="dxa" w:w="1728"/>
          </w:tcPr>
          <w:p>
            <w:r>
              <w:t>journals.ub.uni-heidelberg.de</w:t>
            </w:r>
          </w:p>
        </w:tc>
        <w:tc>
          <w:tcPr>
            <w:tcW w:type="dxa" w:w="1728"/>
          </w:tcPr>
          <w:p>
            <w:r>
              <w:t>國際佛教學會期刊</w:t>
            </w:r>
          </w:p>
        </w:tc>
        <w:tc>
          <w:tcPr>
            <w:tcW w:type="dxa" w:w="1728"/>
          </w:tcPr>
          <w:p>
            <w:r>
              <w:t>#18, 23</w:t>
            </w:r>
          </w:p>
        </w:tc>
        <w:tc>
          <w:tcPr>
            <w:tcW w:type="dxa" w:w="1728"/>
          </w:tcPr>
          <w:p>
            <w:r>
              <w:t>持續</w:t>
            </w:r>
          </w:p>
        </w:tc>
      </w:tr>
      <w:tr>
        <w:tc>
          <w:tcPr>
            <w:tcW w:type="dxa" w:w="1728"/>
          </w:tcPr>
          <w:p>
            <w:r>
              <w:t>JJRS</w:t>
            </w:r>
          </w:p>
        </w:tc>
        <w:tc>
          <w:tcPr>
            <w:tcW w:type="dxa" w:w="1728"/>
          </w:tcPr>
          <w:p>
            <w:r>
              <w:t>nirc.nanzan-u.ac.jp/nfile/3987</w:t>
            </w:r>
          </w:p>
        </w:tc>
        <w:tc>
          <w:tcPr>
            <w:tcW w:type="dxa" w:w="1728"/>
          </w:tcPr>
          <w:p>
            <w:r>
              <w:t>日本宗教研究期刊</w:t>
            </w:r>
          </w:p>
        </w:tc>
        <w:tc>
          <w:tcPr>
            <w:tcW w:type="dxa" w:w="1728"/>
          </w:tcPr>
          <w:p>
            <w:r>
              <w:t>#27</w:t>
            </w:r>
          </w:p>
        </w:tc>
        <w:tc>
          <w:tcPr>
            <w:tcW w:type="dxa" w:w="1728"/>
          </w:tcPr>
          <w:p>
            <w:r>
              <w:t>持續</w:t>
            </w:r>
          </w:p>
        </w:tc>
      </w:tr>
      <w:tr>
        <w:tc>
          <w:tcPr>
            <w:tcW w:type="dxa" w:w="1728"/>
          </w:tcPr>
          <w:p>
            <w:r>
              <w:t>印順文教基金會</w:t>
            </w:r>
          </w:p>
        </w:tc>
        <w:tc>
          <w:tcPr>
            <w:tcW w:type="dxa" w:w="1728"/>
          </w:tcPr>
          <w:p>
            <w:r>
              <w:t>yinshun.org.tw</w:t>
            </w:r>
          </w:p>
        </w:tc>
        <w:tc>
          <w:tcPr>
            <w:tcW w:type="dxa" w:w="1728"/>
          </w:tcPr>
          <w:p>
            <w:r>
              <w:t>印順法師全集</w:t>
            </w:r>
          </w:p>
        </w:tc>
        <w:tc>
          <w:tcPr>
            <w:tcW w:type="dxa" w:w="1728"/>
          </w:tcPr>
          <w:p>
            <w:r>
              <w:t>#145-146</w:t>
            </w:r>
          </w:p>
        </w:tc>
        <w:tc>
          <w:tcPr>
            <w:tcW w:type="dxa" w:w="1728"/>
          </w:tcPr>
          <w:p>
            <w:r>
              <w:t>持續</w:t>
            </w:r>
          </w:p>
        </w:tc>
      </w:tr>
      <w:tr>
        <w:tc>
          <w:tcPr>
            <w:tcW w:type="dxa" w:w="1728"/>
          </w:tcPr>
          <w:p>
            <w:r>
              <w:t>台大佛學研究中心</w:t>
            </w:r>
          </w:p>
        </w:tc>
        <w:tc>
          <w:tcPr>
            <w:tcW w:type="dxa" w:w="1728"/>
          </w:tcPr>
          <w:p>
            <w:r>
              <w:t>buddhism.lib.ntu.edu.tw</w:t>
            </w:r>
          </w:p>
        </w:tc>
        <w:tc>
          <w:tcPr>
            <w:tcW w:type="dxa" w:w="1728"/>
          </w:tcPr>
          <w:p>
            <w:r>
              <w:t>台大佛學學報</w:t>
            </w:r>
          </w:p>
        </w:tc>
        <w:tc>
          <w:tcPr>
            <w:tcW w:type="dxa" w:w="1728"/>
          </w:tcPr>
          <w:p>
            <w:r>
              <w:t>#36, 38, 41, 44, 49, 52</w:t>
            </w:r>
          </w:p>
        </w:tc>
        <w:tc>
          <w:tcPr>
            <w:tcW w:type="dxa" w:w="1728"/>
          </w:tcPr>
          <w:p>
            <w:r>
              <w:t>持續</w:t>
            </w:r>
          </w:p>
        </w:tc>
      </w:tr>
      <w:tr>
        <w:tc>
          <w:tcPr>
            <w:tcW w:type="dxa" w:w="1728"/>
          </w:tcPr>
          <w:p>
            <w:r>
              <w:t>法鼓佛學學報</w:t>
            </w:r>
          </w:p>
        </w:tc>
        <w:tc>
          <w:tcPr>
            <w:tcW w:type="dxa" w:w="1728"/>
          </w:tcPr>
          <w:p>
            <w:r>
              <w:t>dblj.dila.edu.tw</w:t>
            </w:r>
          </w:p>
        </w:tc>
        <w:tc>
          <w:tcPr>
            <w:tcW w:type="dxa" w:w="1728"/>
          </w:tcPr>
          <w:p>
            <w:r>
              <w:t>法鼓系列期刊</w:t>
            </w:r>
          </w:p>
        </w:tc>
        <w:tc>
          <w:tcPr>
            <w:tcW w:type="dxa" w:w="1728"/>
          </w:tcPr>
          <w:p>
            <w:r>
              <w:t>#37, 158</w:t>
            </w:r>
          </w:p>
        </w:tc>
        <w:tc>
          <w:tcPr>
            <w:tcW w:type="dxa" w:w="1728"/>
          </w:tcPr>
          <w:p>
            <w:r>
              <w:t>持續</w:t>
            </w:r>
          </w:p>
        </w:tc>
      </w:tr>
      <w:tr>
        <w:tc>
          <w:tcPr>
            <w:tcW w:type="dxa" w:w="1728"/>
          </w:tcPr>
          <w:p>
            <w:r>
              <w:t>中華佛研所</w:t>
            </w:r>
          </w:p>
        </w:tc>
        <w:tc>
          <w:tcPr>
            <w:tcW w:type="dxa" w:w="1728"/>
          </w:tcPr>
          <w:p>
            <w:r>
              <w:t>chibs.edu.tw</w:t>
            </w:r>
          </w:p>
        </w:tc>
        <w:tc>
          <w:tcPr>
            <w:tcW w:type="dxa" w:w="1728"/>
          </w:tcPr>
          <w:p>
            <w:r>
              <w:t>中華佛學學報</w:t>
            </w:r>
          </w:p>
        </w:tc>
        <w:tc>
          <w:tcPr>
            <w:tcW w:type="dxa" w:w="1728"/>
          </w:tcPr>
          <w:p>
            <w:r>
              <w:t>#34-35, 48</w:t>
            </w:r>
          </w:p>
        </w:tc>
        <w:tc>
          <w:tcPr>
            <w:tcW w:type="dxa" w:w="1728"/>
          </w:tcPr>
          <w:p>
            <w:r>
              <w:t>持續</w:t>
            </w:r>
          </w:p>
        </w:tc>
      </w:tr>
      <w:tr>
        <w:tc>
          <w:tcPr>
            <w:tcW w:type="dxa" w:w="1728"/>
          </w:tcPr>
          <w:p>
            <w:r>
              <w:t>KCI</w:t>
            </w:r>
          </w:p>
        </w:tc>
        <w:tc>
          <w:tcPr>
            <w:tcW w:type="dxa" w:w="1728"/>
          </w:tcPr>
          <w:p>
            <w:r>
              <w:t>kci.go.kr</w:t>
            </w:r>
          </w:p>
        </w:tc>
        <w:tc>
          <w:tcPr>
            <w:tcW w:type="dxa" w:w="1728"/>
          </w:tcPr>
          <w:p>
            <w:r>
              <w:t>韓國學術引用索引</w:t>
            </w:r>
          </w:p>
        </w:tc>
        <w:tc>
          <w:tcPr>
            <w:tcW w:type="dxa" w:w="1728"/>
          </w:tcPr>
          <w:p>
            <w:r>
              <w:t>#68-72</w:t>
            </w:r>
          </w:p>
        </w:tc>
        <w:tc>
          <w:tcPr>
            <w:tcW w:type="dxa" w:w="1728"/>
          </w:tcPr>
          <w:p>
            <w:r>
              <w:t>持續</w:t>
            </w:r>
          </w:p>
        </w:tc>
      </w:tr>
      <w:tr>
        <w:tc>
          <w:tcPr>
            <w:tcW w:type="dxa" w:w="1728"/>
          </w:tcPr>
          <w:p>
            <w:r>
              <w:t>84000 翻譯計畫</w:t>
            </w:r>
          </w:p>
        </w:tc>
        <w:tc>
          <w:tcPr>
            <w:tcW w:type="dxa" w:w="1728"/>
          </w:tcPr>
          <w:p>
            <w:r>
              <w:t>84000.co</w:t>
            </w:r>
          </w:p>
        </w:tc>
        <w:tc>
          <w:tcPr>
            <w:tcW w:type="dxa" w:w="1728"/>
          </w:tcPr>
          <w:p>
            <w:r>
              <w:t>藏文大藏經英譯計畫</w:t>
            </w:r>
          </w:p>
        </w:tc>
        <w:tc>
          <w:tcPr>
            <w:tcW w:type="dxa" w:w="1728"/>
          </w:tcPr>
          <w:p>
            <w:r>
              <w:t>藏文法華經參照</w:t>
            </w:r>
          </w:p>
        </w:tc>
        <w:tc>
          <w:tcPr>
            <w:tcW w:type="dxa" w:w="1728"/>
          </w:tcPr>
          <w:p>
            <w:r>
              <w:t>持續更新</w:t>
            </w:r>
          </w:p>
        </w:tc>
      </w:tr>
      <w:tr>
        <w:tc>
          <w:tcPr>
            <w:tcW w:type="dxa" w:w="1728"/>
          </w:tcPr>
          <w:p>
            <w:r>
              <w:t>Digital Dictionary of Buddhism (DDB)</w:t>
            </w:r>
          </w:p>
        </w:tc>
        <w:tc>
          <w:tcPr>
            <w:tcW w:type="dxa" w:w="1728"/>
          </w:tcPr>
          <w:p>
            <w:r>
              <w:t>buddhism-dict.net/ddb</w:t>
            </w:r>
          </w:p>
        </w:tc>
        <w:tc>
          <w:tcPr>
            <w:tcW w:type="dxa" w:w="1728"/>
          </w:tcPr>
          <w:p>
            <w:r>
              <w:t>佛學術語多語對照辭典</w:t>
            </w:r>
          </w:p>
        </w:tc>
        <w:tc>
          <w:tcPr>
            <w:tcW w:type="dxa" w:w="1728"/>
          </w:tcPr>
          <w:p>
            <w:r>
              <w:t>術語交叉參照</w:t>
            </w:r>
          </w:p>
        </w:tc>
        <w:tc>
          <w:tcPr>
            <w:tcW w:type="dxa" w:w="1728"/>
          </w:tcPr>
          <w:p>
            <w:r>
              <w:t>持續更新</w:t>
            </w:r>
          </w:p>
        </w:tc>
      </w:tr>
      <w:tr>
        <w:tc>
          <w:tcPr>
            <w:tcW w:type="dxa" w:w="1728"/>
          </w:tcPr>
          <w:p>
            <w:r>
              <w:t>Buddhist Digital Resource Center (BDRC)</w:t>
            </w:r>
          </w:p>
        </w:tc>
        <w:tc>
          <w:tcPr>
            <w:tcW w:type="dxa" w:w="1728"/>
          </w:tcPr>
          <w:p>
            <w:r>
              <w:t>library.bdrc.io</w:t>
            </w:r>
          </w:p>
        </w:tc>
        <w:tc>
          <w:tcPr>
            <w:tcW w:type="dxa" w:w="1728"/>
          </w:tcPr>
          <w:p>
            <w:r>
              <w:t>藏文佛典數位圖書館</w:t>
            </w:r>
          </w:p>
        </w:tc>
        <w:tc>
          <w:tcPr>
            <w:tcW w:type="dxa" w:w="1728"/>
          </w:tcPr>
          <w:p>
            <w:r>
              <w:t>藏文法華經寫本</w:t>
            </w:r>
          </w:p>
        </w:tc>
        <w:tc>
          <w:tcPr>
            <w:tcW w:type="dxa" w:w="1728"/>
          </w:tcPr>
          <w:p>
            <w:r>
              <w:t>持續更新</w:t>
            </w:r>
          </w:p>
        </w:tc>
      </w:tr>
      <w:tr>
        <w:tc>
          <w:tcPr>
            <w:tcW w:type="dxa" w:w="1728"/>
          </w:tcPr>
          <w:p>
            <w:r>
              <w:t>SuttaCentral</w:t>
            </w:r>
          </w:p>
        </w:tc>
        <w:tc>
          <w:tcPr>
            <w:tcW w:type="dxa" w:w="1728"/>
          </w:tcPr>
          <w:p>
            <w:r>
              <w:t>suttacentral.net</w:t>
            </w:r>
          </w:p>
        </w:tc>
        <w:tc>
          <w:tcPr>
            <w:tcW w:type="dxa" w:w="1728"/>
          </w:tcPr>
          <w:p>
            <w:r>
              <w:t>早期佛教文獻多語平行語料</w:t>
            </w:r>
          </w:p>
        </w:tc>
        <w:tc>
          <w:tcPr>
            <w:tcW w:type="dxa" w:w="1728"/>
          </w:tcPr>
          <w:p>
            <w:r>
              <w:t>法華經阿含對照參考</w:t>
            </w:r>
          </w:p>
        </w:tc>
        <w:tc>
          <w:tcPr>
            <w:tcW w:type="dxa" w:w="1728"/>
          </w:tcPr>
          <w:p>
            <w:r>
              <w:t>持續更新</w:t>
            </w:r>
          </w:p>
        </w:tc>
      </w:tr>
    </w:tbl>
    <w:p/>
    <w:p>
      <w:r>
        <w:rPr>
          <w:b/>
        </w:rPr>
        <w:t>新增 4 項資源說明</w:t>
      </w:r>
      <w:r>
        <w:t>：</w:t>
      </w:r>
    </w:p>
    <w:p>
      <w:r>
        <w:rPr>
          <w:b/>
        </w:rPr>
        <w:t>84000 翻譯計畫</w:t>
      </w:r>
      <w:r>
        <w:t>（84000.co）：由欽哲基金會（Khyentse Foundation）贊助的藏文大藏經英譯計畫，目標翻譯甘珠爾（Kangyur）與丹珠爾（Tengyur）全部文本。藏文法華經（</w:t>
      </w:r>
      <w:r>
        <w:rPr>
          <w:i/>
        </w:rPr>
        <w:t>Dam pa'i chos pad ma dkar po zhes bya ba theg pa chen po'i mdo</w:t>
      </w:r>
      <w:r>
        <w:t xml:space="preserve">）的英譯版本為第 9.3 節梵藏漢三語比較提供了關鍵的藏文-英文中介語料。該計畫的翻譯品質經學術委員會審核，可作為研究級參考資源 </w:t>
      </w:r>
      <w:r>
        <w:t>CSV #30]。</w:t>
      </w:r>
    </w:p>
    <w:p>
      <w:r>
        <w:rPr>
          <w:b/>
        </w:rPr>
        <w:t>Digital Dictionary of Buddhism (DDB)</w:t>
      </w:r>
      <w:r>
        <w:t xml:space="preserve">（buddhism-dict.net/ddb）：由 Charles Muller 主編的佛學術語數位辭典，提供梵-藏-漢-日-韓-英多語對照。對本報告而言，DDB 是附錄 D 術語對照表的重要驗證工具——可用於交叉檢驗鳩摩羅什與竺法護的術語選擇是否符合學界共識，並補充更多術語的多語對照信息 </w:t>
      </w:r>
      <w:r>
        <w:t>CSV #12]。</w:t>
      </w:r>
    </w:p>
    <w:p>
      <w:r>
        <w:rPr>
          <w:b/>
        </w:rPr>
        <w:t>Buddhist Digital Resource Center (BDRC)</w:t>
      </w:r>
      <w:r>
        <w:t>（library.bdrc.io）：前身為 Tibetan Buddhist Resource Center（TBRC），現已擴展為涵蓋多語種佛教文獻的數位圖書館。BDRC 收藏的藏文法華經寫本高解析度掃描件，為第 9.3 節的藏文文本分析提供了一手資料來源。此外，BDRC 的全文搜索功能可用於追蹤法華經術語在藏文佛教文獻中的分布情形。</w:t>
      </w:r>
    </w:p>
    <w:p>
      <w:r>
        <w:rPr>
          <w:b/>
        </w:rPr>
        <w:t>SuttaCentral</w:t>
      </w:r>
      <w:r>
        <w:t xml:space="preserve">（suttacentral.net）：早期佛教文獻多語平行語料庫，雖然主要涵蓋巴利文與早期部派經典，但其「阿含-尼柯耶」對照功能可用於追蹤法華經中部分概念（如「方便」「授記」等）在早期佛教文獻中的前身，為法華經成書史研究（第四章）提供更早期的文獻脈絡 </w:t>
      </w:r>
      <w:r>
        <w:t>CSV #143-144]（Williams, 2009）。</w:t>
      </w:r>
    </w:p>
    <w:p>
      <w:pPr>
        <w:spacing w:before="240" w:after="240"/>
      </w:pPr>
      <w:r>
        <w:rPr>
          <w:color w:val="CCCCCC"/>
          <w:sz w:val="16"/>
        </w:rPr>
        <w:t>────────────────────────────────────────────────────────────</w:t>
      </w:r>
    </w:p>
    <w:p>
      <w:pPr>
        <w:ind w:left="720"/>
      </w:pPr>
      <w:r>
        <w:rPr>
          <w:b/>
        </w:rPr>
        <w:t>編纂者</w:t>
      </w:r>
      <w:r>
        <w:t>：Claude Agent（daily-digest-prompt 系統）</w:t>
      </w:r>
    </w:p>
    <w:p>
      <w:pPr>
        <w:ind w:left="720"/>
      </w:pPr>
      <w:r>
        <w:rPr>
          <w:b/>
        </w:rPr>
        <w:t>文件版本</w:t>
      </w:r>
      <w:r>
        <w:t>：v2.0（擴充版）</w:t>
      </w:r>
    </w:p>
    <w:p>
      <w:pPr>
        <w:ind w:left="720"/>
      </w:pPr>
      <w:r>
        <w:rPr>
          <w:b/>
        </w:rPr>
        <w:t>最後更新</w:t>
      </w:r>
      <w:r>
        <w:t>：2026-03-07</w:t>
      </w:r>
    </w:p>
    <w:p>
      <w:pPr>
        <w:ind w:left="720"/>
      </w:pPr>
      <w:r>
        <w:rPr>
          <w:b/>
        </w:rPr>
        <w:t>引用系統</w:t>
      </w:r>
      <w:r>
        <w:t>：</w:t>
      </w:r>
      <w:r>
        <w:rPr>
          <w:rFonts w:ascii="Consolas" w:hAnsi="Consolas"/>
          <w:color w:val="800080"/>
          <w:sz w:val="20"/>
        </w:rPr>
        <w:t>[CSV #N]</w:t>
      </w:r>
      <w:r>
        <w:t xml:space="preserve"> 對應 </w:t>
      </w:r>
      <w:r>
        <w:rPr>
          <w:rFonts w:ascii="Consolas" w:hAnsi="Consolas"/>
          <w:color w:val="800080"/>
          <w:sz w:val="20"/>
        </w:rPr>
        <w:t>lotus-sutra-bibliography.csv</w:t>
      </w:r>
      <w:r>
        <w:t xml:space="preserve"> 行號（N = 1-162）</w:t>
      </w:r>
    </w:p>
    <w:p>
      <w:pPr>
        <w:ind w:left="720"/>
      </w:pPr>
      <w:r>
        <w:rPr>
          <w:b/>
        </w:rPr>
        <w:t>擴充內容摘要</w:t>
      </w:r>
      <w:r>
        <w:t>：</w:t>
      </w:r>
    </w:p>
    <w:p>
      <w:pPr>
        <w:ind w:left="720"/>
      </w:pPr>
      <w:r>
        <w:t>- 第九章：9.1 P0 三品各增加方法論說明、預期困難與對策、關聯分析；9.2 增加窺基與吉藏各 2 個經文詮釋案例 + 壽量品三家比較；9.3 增加壽量品梵藏漢三語對照案例；9.4 增加 4 個翻譯差異案例（共 6 案例）；9.5 增加連結點四（譬喻教學法）與連結點五（末法與護法）</w:t>
      </w:r>
    </w:p>
    <w:p>
      <w:pPr>
        <w:ind w:left="720"/>
      </w:pPr>
      <w:r>
        <w:t>- 第十章：10.1 增加五大發現知識網絡描述；10.2 每個局限對應解決途徑；10.3 增加數位佛學前瞻展望；新增 10.5 學術貢獻節</w:t>
      </w:r>
    </w:p>
    <w:p>
      <w:pPr>
        <w:ind w:left="720"/>
      </w:pPr>
      <w:r>
        <w:t>- 附錄 C：統計數字修正為「已完成 21 品」</w:t>
      </w:r>
    </w:p>
    <w:p>
      <w:pPr>
        <w:ind w:left="720"/>
      </w:pPr>
      <w:r>
        <w:t>- 附錄 D：從 20 組擴充至 30 組術語</w:t>
      </w:r>
    </w:p>
    <w:p>
      <w:pPr>
        <w:ind w:left="720"/>
      </w:pPr>
      <w:r>
        <w:t>- 附錄 E：增加 84000、DDB、BDRC、SuttaCentral 四項資源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