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20"/>
        <w:jc w:val="center"/>
      </w:pPr>
      <w:r>
        <w:rPr>
          <w:rFonts w:ascii="Arial" w:hAnsi="Arial" w:eastAsia="PingFang SC"/>
          <w:b/>
          <w:color w:val="C62B37"/>
          <w:sz w:val="24"/>
        </w:rPr>
        <w:t>APT 技战术数据服务平台</w:t>
      </w:r>
    </w:p>
    <w:p>
      <w:pPr>
        <w:spacing w:after="100"/>
        <w:jc w:val="center"/>
      </w:pPr>
      <w:r>
        <w:rPr>
          <w:rFonts w:ascii="Arial" w:hAnsi="Arial" w:eastAsia="PingFang SC"/>
          <w:b/>
          <w:color w:val="242B34"/>
          <w:sz w:val="64"/>
        </w:rPr>
        <w:t>ARGUS</w:t>
      </w:r>
    </w:p>
    <w:p>
      <w:pPr>
        <w:spacing w:after="560"/>
        <w:jc w:val="center"/>
      </w:pPr>
      <w:r>
        <w:rPr>
          <w:rFonts w:ascii="Arial" w:hAnsi="Arial" w:eastAsia="PingFang SC"/>
          <w:b/>
          <w:color w:val="242B34"/>
          <w:sz w:val="36"/>
        </w:rPr>
        <w:t>前端、后端与数据库总体设计说明</w:t>
      </w:r>
    </w:p>
    <w:p>
      <w:pPr>
        <w:spacing w:after="600"/>
        <w:jc w:val="center"/>
        <w:pBdr>
          <w:bottom w:val="single" w:sz="14" w:space="7" w:color="C62B37"/>
        </w:pBdr>
      </w:pPr>
      <w:r>
        <w:rPr>
          <w:rFonts w:ascii="Arial" w:hAnsi="Arial" w:eastAsia="PingFang SC"/>
          <w:color w:val="656F7A"/>
          <w:sz w:val="22"/>
        </w:rPr>
        <w:t>从真实来源到可解释攻击路径与行动建议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4E7EB"/>
          <w:left w:val="single" w:sz="4" w:space="0" w:color="E4E7EB"/>
          <w:bottom w:val="single" w:sz="4" w:space="0" w:color="E4E7EB"/>
          <w:right w:val="single" w:sz="4" w:space="0" w:color="E4E7EB"/>
          <w:insideH w:val="single" w:sz="4" w:space="0" w:color="E4E7EB"/>
          <w:insideV w:val="single" w:sz="4" w:space="0" w:color="E4E7EB"/>
        </w:tblBorders>
      </w:tblPr>
      <w:tblGrid>
        <w:gridCol w:w="2100"/>
        <w:gridCol w:w="7260"/>
      </w:tblGrid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656F7A"/>
                <w:sz w:val="20"/>
              </w:rPr>
              <w:t>文档版本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242B34"/>
                <w:sz w:val="20"/>
              </w:rPr>
              <w:t>1.0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656F7A"/>
                <w:sz w:val="20"/>
              </w:rPr>
              <w:t>编制日期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242B34"/>
                <w:sz w:val="20"/>
              </w:rPr>
              <w:t>2026-07-31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656F7A"/>
                <w:sz w:val="20"/>
              </w:rPr>
              <w:t>适用阶段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242B34"/>
                <w:sz w:val="20"/>
              </w:rPr>
              <w:t>比赛展示版 / 后续工程化设计基线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656F7A"/>
                <w:sz w:val="20"/>
              </w:rPr>
              <w:t>文档状态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 w:eastAsia="PingFang SC"/>
                <w:b w:val="0"/>
                <w:color w:val="242B34"/>
                <w:sz w:val="20"/>
              </w:rPr>
              <w:t>前端以当前实现为准；后端按实现状态分级描述</w:t>
            </w:r>
          </w:p>
        </w:tc>
      </w:tr>
    </w:tbl>
    <w:p/>
    <w:p/>
    <w:p/>
    <w:p>
      <w:pPr>
        <w:jc w:val="center"/>
      </w:pPr>
      <w:r>
        <w:rPr>
          <w:rFonts w:ascii="Arial" w:hAnsi="Arial" w:eastAsia="PingFang SC"/>
          <w:color w:val="656F7A"/>
          <w:sz w:val="19"/>
        </w:rPr>
        <w:t>内部设计基线 · 所有结论以可追溯证据为前提</w:t>
      </w:r>
    </w:p>
    <w:p>
      <w:r>
        <w:br w:type="page"/>
      </w:r>
    </w:p>
    <w:p>
      <w:pPr>
        <w:pStyle w:val="Heading1"/>
      </w:pPr>
      <w:r>
        <w:t>文档阅读说明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本文档将平台能力分为“已实现、部分实现、设计确定”三类。前端章节以当前界面和交互为准；后端与数据库章节同时描述现有代码、比赛版边界和后续工程化方案。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6C5C9"/>
          <w:left w:val="single" w:sz="4" w:space="0" w:color="E6C5C9"/>
          <w:bottom w:val="single" w:sz="4" w:space="0" w:color="E6C5C9"/>
          <w:right w:val="single" w:sz="4" w:space="0" w:color="E6C5C9"/>
          <w:insideH w:val="single" w:sz="4" w:space="0" w:color="E6C5C9"/>
          <w:insideV w:val="single" w:sz="4" w:space="0" w:color="E6C5C9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F"/>
          </w:tcPr>
          <w:p>
            <w:pPr>
              <w:spacing w:before="60" w:after="60" w:line="278" w:lineRule="auto"/>
            </w:pPr>
            <w:r>
              <w:rPr>
                <w:rFonts w:ascii="Arial" w:hAnsi="Arial" w:eastAsia="PingFang SC"/>
                <w:color w:val="242B34"/>
                <w:sz w:val="21"/>
              </w:rPr>
              <w:t>核心结论：ARGUS 的价值不是单纯展示图谱，而是把碎片线索转化为可追踪的攻击过程、补全与预测依据、处置建议和可审计证据链。</w:t>
            </w:r>
          </w:p>
        </w:tc>
      </w:tr>
    </w:tbl>
    <w:p>
      <w:pPr>
        <w:spacing w:after="20"/>
      </w:pPr>
    </w:p>
    <w:p>
      <w:pPr>
        <w:pStyle w:val="Heading2"/>
      </w:pPr>
      <w:r>
        <w:t>章节导航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第 1–5 章：产品定位、用户、原则与总体架构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第 6–7 章：前端页面、交互与状态设计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第 8–10 章：后端流程、算法与标准本体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第 11–13 章：逻辑模型、SQLite 物理表与 API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第 14–17 章：数据来源、演示闭环、安全与质量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第 18–20 章：实现状态、路线和验收标准</w:t>
      </w:r>
    </w:p>
    <w:p>
      <w:r>
        <w:br w:type="page"/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1. 文档目的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本文档用于统一 ARGUS 的产品目标、前端信息架构、后端算法流程、图谱本体、数据库结构和工程边界。它既描述当前比赛版本已经形成的能力，也记录后端尚未完全产品化但已经确定的实现思路。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本文档不把设计目标包装成现状。所有能力分为三种状态：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已实现：</w:t>
      </w:r>
      <w:r>
        <w:rPr>
          <w:rFonts w:ascii="Arial" w:hAnsi="Arial" w:eastAsia="PingFang SC"/>
          <w:color w:val="242B34"/>
          <w:sz w:val="21"/>
        </w:rPr>
        <w:t xml:space="preserve"> 当前代码和数据库中已经存在，并可通过前端或接口验证；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部分实现：</w:t>
      </w:r>
      <w:r>
        <w:rPr>
          <w:rFonts w:ascii="Arial" w:hAnsi="Arial" w:eastAsia="PingFang SC"/>
          <w:color w:val="242B34"/>
          <w:sz w:val="21"/>
        </w:rPr>
        <w:t xml:space="preserve"> 已有主要流程或数据结构，但算法质量、数据覆盖或交互闭环仍需完善；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设计确定：</w:t>
      </w:r>
      <w:r>
        <w:rPr>
          <w:rFonts w:ascii="Arial" w:hAnsi="Arial" w:eastAsia="PingFang SC"/>
          <w:color w:val="242B34"/>
          <w:sz w:val="21"/>
        </w:rPr>
        <w:t xml:space="preserve"> 产品和技术方向已经确定，比赛版可以演示，尚未完成生产级工程化。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2. 产品定位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ARGUS 是面向 </w:t>
      </w:r>
      <w:r>
        <w:rPr>
          <w:rFonts w:ascii="Arial" w:hAnsi="Arial" w:eastAsia="PingFang SC"/>
          <w:b/>
          <w:color w:val="242B34"/>
          <w:sz w:val="21"/>
        </w:rPr>
        <w:t>SOC 二线分析员</w:t>
      </w:r>
      <w:r>
        <w:rPr>
          <w:rFonts w:ascii="Arial" w:hAnsi="Arial" w:eastAsia="PingFang SC"/>
          <w:color w:val="242B34"/>
          <w:sz w:val="21"/>
        </w:rPr>
        <w:t xml:space="preserve"> 和 </w:t>
      </w:r>
      <w:r>
        <w:rPr>
          <w:rFonts w:ascii="Arial" w:hAnsi="Arial" w:eastAsia="PingFang SC"/>
          <w:b/>
          <w:color w:val="242B34"/>
          <w:sz w:val="21"/>
        </w:rPr>
        <w:t>应急响应人员</w:t>
      </w:r>
      <w:r>
        <w:rPr>
          <w:rFonts w:ascii="Arial" w:hAnsi="Arial" w:eastAsia="PingFang SC"/>
          <w:color w:val="242B34"/>
          <w:sz w:val="21"/>
        </w:rPr>
        <w:t xml:space="preserve"> 的 APT 技战术数据服务平台。平台不以“查到一个 IOC 是否恶意”为终点，而是从不完整的告警、威胁情报、文件或自然语言线索出发，帮助分析人员完成：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识别输入中的 IOC、漏洞、工具、恶意软件、行为和 ATT&amp;CK 技术；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判断这些线索属于一个还是多个攻击活动；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在历史情报中寻找可解释的攻击路径；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对缺失步骤进行受约束补全，并预测可能的后续行为；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展示每个节点、每条边和每项判断的来源证据；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生成可阅读、可导出的调查与处置建议；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在页面末端提供辅助归因及其支持、反证和不确定性。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平台的核心展示价值不是“给出某个组织名称”，而是：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6C5C9"/>
          <w:left w:val="single" w:sz="4" w:space="0" w:color="E6C5C9"/>
          <w:bottom w:val="single" w:sz="4" w:space="0" w:color="E6C5C9"/>
          <w:right w:val="single" w:sz="4" w:space="0" w:color="E6C5C9"/>
          <w:insideH w:val="single" w:sz="4" w:space="0" w:color="E6C5C9"/>
          <w:insideV w:val="single" w:sz="4" w:space="0" w:color="E6C5C9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F"/>
          </w:tcPr>
          <w:p>
            <w:pPr>
              <w:spacing w:before="60" w:after="60" w:line="278" w:lineRule="auto"/>
            </w:pPr>
            <w:r>
              <w:rPr>
                <w:rFonts w:ascii="Arial" w:hAnsi="Arial" w:eastAsia="PingFang SC"/>
                <w:color w:val="242B34"/>
                <w:sz w:val="21"/>
              </w:rPr>
              <w:t>将碎片线索还原为可核验的攻击过程，并告诉安全人员已经发生了什么、缺少什么、接下来可能发生什么、为什么这样判断、应该优先核查和处置什么。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组织归因仍是算法能力之一，但不是页面首要叙事。归因放在完整路径、证据和处置建议之后，避免产品被误解为只能进行低可靠度的“猜组织”。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3. 核心用户与任务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3.1 SOC 二线分析员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SOC 二线分析员承接一线告警，需要在有限时间内判断告警是否值得升级。他们关注：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多条孤立告警是否属于同一攻击活动；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当前观测位于攻击过程的哪个阶段；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哪些节点是直接观测，哪些是历史补全；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是否存在尚未被当前检测覆盖的关键步骤；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下一步最可能出现什么行为，应补查哪些日志和资产；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每个结论是否可以回到真实报告和原文证据。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3.2 应急响应人员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应急响应人员关注受影响范围、攻击过程和处置优先级。他们需要：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从邮件、终端、网络和边界设备线索中还原完整过程；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识别分支、替代路径和汇合点，而不是只看一条直线；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找到与每个攻击步骤相关的 IOC、工具、漏洞和资产；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判断攻击者可能已经完成的动作与尚待验证的动作；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获得按 P0/P1/P2 分级的核查、遏制、恢复和持续监测建议；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导出包含来源和证据链的报告。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4. 产品原则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4.1 证据优先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每一个重要判断都必须能够回答“依据是什么”。节点和边分别绑定证据，不能使用两个节点各自存在于报告中来间接证明二者之间存在关系。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4.2 事实状态严格区分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系统必须区分：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observed</w:t>
      </w:r>
      <w:r>
        <w:rPr>
          <w:rFonts w:ascii="Arial" w:hAnsi="Arial" w:eastAsia="PingFang SC"/>
          <w:color w:val="242B34"/>
          <w:sz w:val="21"/>
        </w:rPr>
        <w:t>：输入或来源直接观测；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reconstructed</w:t>
      </w:r>
      <w:r>
        <w:rPr>
          <w:rFonts w:ascii="Arial" w:hAnsi="Arial" w:eastAsia="PingFang SC"/>
          <w:color w:val="242B34"/>
          <w:sz w:val="21"/>
        </w:rPr>
        <w:t>：依据历史路径和图约束补全；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predicted</w:t>
      </w:r>
      <w:r>
        <w:rPr>
          <w:rFonts w:ascii="Arial" w:hAnsi="Arial" w:eastAsia="PingFang SC"/>
          <w:color w:val="242B34"/>
          <w:sz w:val="21"/>
        </w:rPr>
        <w:t>：位于最后直接观测之后的后续行为预测；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candidate</w:t>
      </w:r>
      <w:r>
        <w:rPr>
          <w:rFonts w:ascii="Arial" w:hAnsi="Arial" w:eastAsia="PingFang SC"/>
          <w:color w:val="242B34"/>
          <w:sz w:val="21"/>
        </w:rPr>
        <w:t>：尚待复核的实体、关系或活动合并候选；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refuted</w:t>
      </w:r>
      <w:r>
        <w:rPr>
          <w:rFonts w:ascii="Arial" w:hAnsi="Arial" w:eastAsia="PingFang SC"/>
          <w:color w:val="242B34"/>
          <w:sz w:val="21"/>
        </w:rPr>
        <w:t>：存在明确反证或已被分析员拒绝。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高置信度预测仍然不是事实。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4.3 攻击过程不是一条直线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真实攻击活动可能包含：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多种初始入口；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不同载荷或投递变体；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条件成功/失败分支；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并行动作；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多路汇合；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与主过程有关但不属于主干的实现细节、IOC、工具和资产。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因此底层采用有向属性多重图，前端只生成“主干 + 树状支线 + 阶段泳道”的任务型投影。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4.4 在线查询与历史知识入库分离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在线查询用于快速研判，读取历史图谱但不直接污染历史知识。高保真入库通过独立流程完成：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保存来源原文；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生成抽取和图谱增量预览；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通过质量门；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对待定片段进行复核；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显式发布知识版本；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必要时回滚。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4.5 克制展示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前端只展示能帮助用户做判断的内容。图谱不是装饰，指标不是越多越好。每个模块必须回答一个明确问题：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发生了什么；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依据是什么；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缺失了什么；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下一步可能是什么；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应该做什么。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5. 总体架构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ARGUS 采用浏览器前端、同源 API、Python 算法服务和关系数据库的分层结构。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A"/>
          <w:left w:val="single" w:sz="4" w:space="0" w:color="E1E5EA"/>
          <w:bottom w:val="single" w:sz="4" w:space="0" w:color="E1E5EA"/>
          <w:right w:val="single" w:sz="4" w:space="0" w:color="E1E5EA"/>
          <w:insideH w:val="single" w:sz="4" w:space="0" w:color="E1E5EA"/>
          <w:insideV w:val="single" w:sz="4" w:space="0" w:color="E1E5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8"/>
          </w:tcPr>
          <w:p>
            <w:pPr>
              <w:spacing w:before="60" w:after="60" w:line="252" w:lineRule="auto"/>
            </w:pPr>
            <w:r>
              <w:rPr>
                <w:rFonts w:ascii="Arial" w:hAnsi="Arial" w:eastAsia="PingFang SC"/>
                <w:color w:val="373F49"/>
                <w:sz w:val="17"/>
              </w:rPr>
              <w:t>桌面 Web 前端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综合查询 / IOC 结果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攻击活动候选与路径研判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情报关系探索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攻击组织目录与画像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情报入库与路径复核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└─ ARGUS GPT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        │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        ▼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>同源 Web API（隐藏密钥、统一错误和数据契约）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        │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        ▼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>Python FastAPI 算法服务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来源归档与证据定位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活动分段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分块并行事件图抽取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实体规范化与消歧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路径组装、主干投影与质量门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在线补全、预测、归因与处置生成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└─ 入库版本、复核与回滚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        │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        ▼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>SQLite（比赛版唯一事实源）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原始来源与证据片段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规范实体与关系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活动事实图与历史路径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分析运行与展示投影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├─ 复核记录与知识版本</w:t>
              <w:br/>
            </w:r>
            <w:r>
              <w:rPr>
                <w:rFonts w:ascii="Arial" w:hAnsi="Arial" w:eastAsia="PingFang SC"/>
                <w:color w:val="373F49"/>
                <w:sz w:val="17"/>
              </w:rPr>
              <w:t xml:space="preserve">  └─ 归因、响应规则与审计日志</w:t>
            </w:r>
          </w:p>
        </w:tc>
      </w:tr>
    </w:tbl>
    <w:p>
      <w:pPr>
        <w:spacing w:after="20"/>
      </w:pP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比赛版本优先保证单机可运行、数据可复现、演示稳定和证据可追踪。生产化时建议迁移到 PostgreSQL + pgvector + 对象存储；只有在多跳查询成为明确瓶颈后再增加 Neo4j 或其他图投影，不在早期双写两套主数据库。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6. 前端设计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6.1 全局信息架构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当前主导航统一为：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综合查询</w:t>
      </w:r>
      <w:r>
        <w:rPr>
          <w:rFonts w:ascii="Arial" w:hAnsi="Arial" w:eastAsia="PingFang SC"/>
          <w:color w:val="242B34"/>
          <w:sz w:val="21"/>
        </w:rPr>
        <w:t>：统一搜索入口和历史研判报告；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攻击组织</w:t>
      </w:r>
      <w:r>
        <w:rPr>
          <w:rFonts w:ascii="Arial" w:hAnsi="Arial" w:eastAsia="PingFang SC"/>
          <w:color w:val="242B34"/>
          <w:sz w:val="21"/>
        </w:rPr>
        <w:t>：组织目录和组织画像；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情报图谱</w:t>
      </w:r>
      <w:r>
        <w:rPr>
          <w:rFonts w:ascii="Arial" w:hAnsi="Arial" w:eastAsia="PingFang SC"/>
          <w:color w:val="242B34"/>
          <w:sz w:val="21"/>
        </w:rPr>
        <w:t>：围绕真实实体进行跨报告关系探索；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情报入库</w:t>
      </w:r>
      <w:r>
        <w:rPr>
          <w:rFonts w:ascii="Arial" w:hAnsi="Arial" w:eastAsia="PingFang SC"/>
          <w:color w:val="242B34"/>
          <w:sz w:val="21"/>
        </w:rPr>
        <w:t>：高保真来源解析、预览、质量门和发布；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路径复核</w:t>
      </w:r>
      <w:r>
        <w:rPr>
          <w:rFonts w:ascii="Arial" w:hAnsi="Arial" w:eastAsia="PingFang SC"/>
          <w:color w:val="242B34"/>
          <w:sz w:val="21"/>
        </w:rPr>
        <w:t>：只展示需要分析员处理的路径片段；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ARGUS GPT</w:t>
      </w:r>
      <w:r>
        <w:rPr>
          <w:rFonts w:ascii="Arial" w:hAnsi="Arial" w:eastAsia="PingFang SC"/>
          <w:color w:val="242B34"/>
          <w:sz w:val="21"/>
        </w:rPr>
        <w:t>：在当前证据上下文中进行辅助问答。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所有页面使用统一的 ARGUS 顶部导航、浅灰蓝背景、白色内容面和红色选中/风险强调。桌面端是唯一需要精确适配的目标。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6.2 全局导航与返回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前端维护页面状态栈。进入实体、报告、攻击路径、组织画像或图谱后，返回操作应回到真实的上一级页面，而不是无条件回到首页。主导航点击属于重新选择一级模块，会清空不必要的嵌套上下文。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6.3 综合查询首页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首页承担“开始一次研判”和“继续一次历史研判”两个任务。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首屏包含：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平台标题与一句价值说明；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统一搜索栏；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输入聚焦后展开的搜索类型、推荐搜索和历史查询；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查询按钮。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下方直接展示历史研判报告，不再设置独立历史报告列表页。报告卡片可以点击进入已有分析结果。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搜索支持：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IP、域名、URL、Hash；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CVE；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攻击组织；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恶意软件与工具；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报告标题和关键词；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自然语言威胁情报或告警；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攻击路径研判。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推荐搜索优先放置数据完整、页面效果稳定、证据丰富的真实案例，避免用户点进空页面或低质量图谱。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6.4 IOC / 实体查询结果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IOC 是独立情报对象，图谱是优势但不应压过 IOC 本身。结果页采用连续单页结构，不使用“情报概览、来源证据、历史报告、关联攻击链”标签页切换。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推荐阅读顺序：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风险结论与基础属性</w:t>
      </w:r>
      <w:r>
        <w:rPr>
          <w:rFonts w:ascii="Arial" w:hAnsi="Arial" w:eastAsia="PingFang SC"/>
          <w:color w:val="242B34"/>
          <w:sz w:val="21"/>
        </w:rPr>
        <w:t>：类型、规范值、首次/最后出现、来源数；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情报洞察</w:t>
      </w:r>
      <w:r>
        <w:rPr>
          <w:rFonts w:ascii="Arial" w:hAnsi="Arial" w:eastAsia="PingFang SC"/>
          <w:color w:val="242B34"/>
          <w:sz w:val="21"/>
        </w:rPr>
        <w:t>：恶意判断、相关行为和已知上下文；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来源证据</w:t>
      </w:r>
      <w:r>
        <w:rPr>
          <w:rFonts w:ascii="Arial" w:hAnsi="Arial" w:eastAsia="PingFang SC"/>
          <w:color w:val="242B34"/>
          <w:sz w:val="21"/>
        </w:rPr>
        <w:t>：短引文、发布机构、时间、原始链接；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历史报告</w:t>
      </w:r>
      <w:r>
        <w:rPr>
          <w:rFonts w:ascii="Arial" w:hAnsi="Arial" w:eastAsia="PingFang SC"/>
          <w:color w:val="242B34"/>
          <w:sz w:val="21"/>
        </w:rPr>
        <w:t>：包含该实体的报告及其上下文；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关联攻击链</w:t>
      </w:r>
      <w:r>
        <w:rPr>
          <w:rFonts w:ascii="Arial" w:hAnsi="Arial" w:eastAsia="PingFang SC"/>
          <w:color w:val="242B34"/>
          <w:sz w:val="21"/>
        </w:rPr>
        <w:t>：该 IOC 参与的具体攻击步骤；</w:t>
      </w:r>
    </w:p>
    <w:p>
      <w:pPr>
        <w:pStyle w:val="ListNumber"/>
      </w:pPr>
      <w:r>
        <w:rPr>
          <w:rFonts w:ascii="Arial" w:hAnsi="Arial" w:eastAsia="PingFang SC"/>
          <w:b/>
          <w:color w:val="242B34"/>
          <w:sz w:val="21"/>
        </w:rPr>
        <w:t>弱化图谱</w:t>
      </w:r>
      <w:r>
        <w:rPr>
          <w:rFonts w:ascii="Arial" w:hAnsi="Arial" w:eastAsia="PingFang SC"/>
          <w:color w:val="242B34"/>
          <w:sz w:val="21"/>
        </w:rPr>
        <w:t>：只展示有限一跳关系，可进入完整情报图谱。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6.5 攻击活动候选页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当输入是一整份报告、告警或多条自然语言线索时，系统不应直接假设只有一条攻击链。预处理后先展示一个或多个攻击活动簇。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每个活动簇展示：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活动名称和范围；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命中的直接观测；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识别出的主过程摘要；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节点数、关系数、分支数；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未归属线索；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与其他簇可能属于同一活动的待定关系；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来源覆盖和质量状态。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用户可以：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选择一个活动进入路径研判；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微调节点名称和类型；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调整错误的活动归属；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接受或拒绝待定缺边；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保持多个活动分开。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活动簇不是为了强制“一个报告一条链”。报告可以产生 0、1 或多个活动；跨报告也可以支持同一活动。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6.6 攻击路径研判页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这是平台核心演示页面。页面按安全人员的决策顺序组织。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6.6.1 顶部系统研判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展示：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当前确认推进到的攻击阶段；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直接观测数量；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补全步骤数量；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预测行为数量；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首要行动建议。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这些数字必须来自当前选中活动和投影，不能因为前端状态未初始化而显示为 0。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6.6.2 攻击阶段判定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将主路径步骤按阶段横向排列，使用明确图例区分：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红色实线或实心节点：直接观测；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橙色或虚线：系统补全；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蓝灰色虚线：预测下一步。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阶段条与主图联动。点击阶段可定位图谱节点和右侧证据。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6.6.3 关联知识图谱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主路径从左到右排列。其他信息从对应行为节点向外树状或放射状延伸：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IOC / 基础设施；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恶意软件与工具；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漏洞；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资产；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技术；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来源证据；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并行分支、替代路径和汇合关系。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点击节点后：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右侧显示概览、证据和关联；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可逐跳展开一层；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可一次展开当前节点全部直接关系；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可撤销最近一次展开；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节点位置保持稳定，避免点击后整图跳动；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拖动画布时禁止浏览器文本选中导致整页变蓝。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6.6.4 攻击阶段泳道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泳道是图谱的稳定阅读视图，与上方真实图谱联动。它按阶段或任务分组展示主干和关键分支，用于在节点很多时快速理解攻击过程。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泳道支持折叠。折叠后保留阶段名称、关键结论和节点计数；展开后显示相关行为、状态和对应证据。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6.6.5 处置响应方案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按 P0、P1、P2 组织：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P0 立即核查与遏制</w:t>
      </w:r>
      <w:r>
        <w:rPr>
          <w:rFonts w:ascii="Arial" w:hAnsi="Arial" w:eastAsia="PingFang SC"/>
          <w:color w:val="242B34"/>
          <w:sz w:val="21"/>
        </w:rPr>
        <w:t>：当前高风险资产、CVE、凭据、C2 和关键日志；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P1 范围确认与清除</w:t>
      </w:r>
      <w:r>
        <w:rPr>
          <w:rFonts w:ascii="Arial" w:hAnsi="Arial" w:eastAsia="PingFang SC"/>
          <w:color w:val="242B34"/>
          <w:sz w:val="21"/>
        </w:rPr>
        <w:t>：同源 IOC、横向扩散、持久化、受影响账户与主机；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P2 恢复与持续监测</w:t>
      </w:r>
      <w:r>
        <w:rPr>
          <w:rFonts w:ascii="Arial" w:hAnsi="Arial" w:eastAsia="PingFang SC"/>
          <w:color w:val="242B34"/>
          <w:sz w:val="21"/>
        </w:rPr>
        <w:t>：补充检测、回归验证、监测后续预测行为。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建议只能阅读和导出，不在比赛版执行自动封禁、隔离或配置变更。建议必须标明依据、适用条件和对应的路径节点。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6.6.6 归因分析与可解释链路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归因放在页面末端但不能草率。应展示：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候选组织排序；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工具、TTP、有序路径、基础设施、目标行业和历史活动的支持证据；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来源可靠性；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时间衰减；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反证与冲突；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结论口径和不确定性。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点击某条归因路径可打开真实组织知识图谱，并高亮当前案例命中的可解释路径。归因只辅助研判，不替代攻击过程和处置建议。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6.7 情报图谱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情报图谱不是默认铺满一张固定示例图，而是一个从真实实体开始的关系探索入口。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首页与综合查询保持统一的全局导航、标题区和搜索栏位置。搜索内容针对图谱场景，支持 IOC、漏洞、工具、组织、ATT&amp;CK 技术和报告。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进入实体后：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左侧按实体类型、关系类型和证据范围筛选；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中间显示稳定的放射拓扑；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右侧显示当前节点或关系的概览、来源和直接关联；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节点角标提示尚未展开的邻居数量；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支持逐跳展开、全部展开、撤销和回到初始范围；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只降低筛选外节点的视觉权重，不改变节点位置；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关系本身可被点击并审计来源。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情报图谱用于发现关联和验证来源，不强制主路径。攻击路径研判页才使用固定主干投影。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6.8 攻击组织目录与画像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组织目录用于从整体概述进入单个组织画像。目录卡片展示：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规范组织名和别名；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活跃时间；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主要目标行业；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相关工具、TTP、历史活动和来源数量；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数据更新时间和可信来源等级。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组织画像由数据库实时聚合，而不是写死数字。新增组织、攻击链、IOC 或关系后，重新查询即可更新统计。后端不可用时可以显示最近一次本地快照，但必须明确离线状态。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组织画像包括：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基本信息和公开归因；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常用工具与恶意软件；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技战术分布；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历史活动时间线；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目标行业；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关联 IOC；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组织知识图谱；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相关报告和来源。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6.9 情报入库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情报入库服务于历史知识沉淀，要求比在线查询更保真。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用户输入原始报告、官方链接、告警或文件后，页面依次展示：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来源元数据和原文哈希；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文档解析状态；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实体规范化与合并候选；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攻击活动分段；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局部事件图与全局组装结果；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新增实体、关系、活动和证据数量；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质量门结果；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待复核片段；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发布知识版本。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纯 IOC 报告、组织背景或能力说明可以合法入库为 </w:t>
      </w:r>
      <w:r>
        <w:rPr>
          <w:rFonts w:ascii="Arial" w:hAnsi="Arial" w:eastAsia="PingFang SC"/>
          <w:color w:val="762831"/>
          <w:sz w:val="20"/>
        </w:rPr>
        <w:t>no-path</w:t>
      </w:r>
      <w:r>
        <w:rPr>
          <w:rFonts w:ascii="Arial" w:hAnsi="Arial" w:eastAsia="PingFang SC"/>
          <w:color w:val="242B34"/>
          <w:sz w:val="21"/>
        </w:rPr>
        <w:t>，不能为了让页面好看而生成虚假攻击链。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6.10 路径复核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复核中心只展示待审核片段，而不是把整份报告重新交给分析员阅读。复核单位可以是：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缺失关系候选；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分支或汇合候选；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活动簇合并候选；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模糊实体归并；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主干选择冲突；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无法稳定归属的行为片段。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分析员可接受、修改或拒绝，并填写简短理由。决策进入审计记录，修改后的结果用于发布知识版本。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6.11 ARGUS GPT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GPT 接收当前案件的实体、路径步骤、来源片段和算法状态，用于：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解释为什么某一步被补全；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比较两个候选活动；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总结来源一致点和冲突点；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将规则生成的处置建议改写成当前案例语言；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辅助组织支持与反证总结。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GPT 不允许：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生成不存在的来源；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自动确认节点或关系；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直接写入历史图谱；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发明补丁版本、IOC 或执行命令；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自动执行处置。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7. 前端数据与状态设计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前端使用统一 </w:t>
      </w:r>
      <w:r>
        <w:rPr>
          <w:rFonts w:ascii="Arial" w:hAnsi="Arial" w:eastAsia="PingFang SC"/>
          <w:color w:val="762831"/>
          <w:sz w:val="20"/>
        </w:rPr>
        <w:t>Snapshot</w:t>
      </w:r>
      <w:r>
        <w:rPr>
          <w:rFonts w:ascii="Arial" w:hAnsi="Arial" w:eastAsia="PingFang SC"/>
          <w:color w:val="242B34"/>
          <w:sz w:val="21"/>
        </w:rPr>
        <w:t xml:space="preserve"> 作为本地知识快照，包含实体、关系、证据、报告、组织画像、处置规则、算法配置、来源原件、历史路径和分析投影。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页面状态至少包括：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当前页面；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查询文本和已提交文本；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查询模式；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选中的报告、攻击活动、组织和图谱根实体；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后端路径分析结果；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加载、就绪和离线状态；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页面历史栈。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前端数据原则：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后端连接成功时优先使用真实接口；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不再混用未标识的演示数据；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如果必须使用本地快照，应明确它是同步自 SQLite 的同源快照；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页面不得根据缺失字段擅自伪造数量或关系；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图谱布局状态与知识事实分离。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8. 后端总体设计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8.1 服务边界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后端分为两条业务链：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在线研判链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归档输入；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抽取可验证观测；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识别攻击活动候选；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匹配历史活动图；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补全缺失步骤；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预测后续行为；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生成证据、评分和建议；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保存冻结的分析快照；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不写历史知识图谱。</w:t>
      </w:r>
    </w:p>
    <w:p>
      <w:pPr>
        <w:pStyle w:val="Heading3"/>
      </w:pPr>
      <w:r>
        <w:rPr>
          <w:rFonts w:ascii="Arial" w:hAnsi="Arial" w:eastAsia="PingFang SC"/>
          <w:color w:val="444C57"/>
          <w:sz w:val="23"/>
        </w:rPr>
        <w:t>高保真入库链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保存原始来源；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活动分段；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分块并行抽取局部事件图；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稀疏组装完整活动图；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实体规范化和消歧；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生成主干与分支投影；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运行质量门；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对问题片段进行针对性返修；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进入人工/代理复核；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显式发布知识版本；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支持回滚。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8.2 来源归档与解析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每份来源必须保存：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发布机构和原始 URL；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发布时间和采集时间；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SHA-256；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MIME 类型；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许可与 TLP；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原始文件或可验证副本路径；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解析器名称和版本；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原文证据位置；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审核状态。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来源按内容哈希去重。同一内容再次提交时复用已有来源和证据锚点。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PDF、HTML、文本、JSON 和告警输入先转换为可定位文本。证据片段保存页码、段落、行号、字符范围、JSON Path 或表格位置。解析不能只保存一大段全文而失去定位能力。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8.3 攻击活动分段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抽取前先判断报告中存在几个独立攻击活动。分段依据包括：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攻击主体或恶意软件；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时间窗口；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目标或受害范围；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样本和基础设施；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明确的章节和上下文指代；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完整的投递、执行和后渗透过程。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背景、归因讨论、纯 IOC 附录、检测规则、图注和产品介绍不作为攻击步骤。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同一活动中的多种投递入口或载荷变体可以形成分支；不同攻击组织、时间批次或互不相连的案例应分开。无法确定时形成待复核活动，而不是强行混入其他簇。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8.4 分块并行事件图抽取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长报告按活动边界和结构切片。每个切片并行调用受 JSON Schema 约束的大模型，抽取局部事件图：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原子攻击行为；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行为之间的因果或效果依赖；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分支与汇合；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行为相关的工具、IOC、漏洞、资产和 ATT&amp;CK 技术；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每个节点和边的证据行号；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模态、否定和置信度。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默认并发受限，避免 API 瞬时过载。结果按来源哈希、模型和提示词版本缓存。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局部图组装为全局图时只连接有证据或强约束支持的关系。共享组织、工具、时间或基础设施只能形成跨活动关联候选，不能自动成为因果边。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8.5 节点设计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攻击路径中的主节点必须是简短、可识别的原子行为，例如：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“发送 NATO 主题钓鱼邮件”；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“用户打开 LNK”；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“PowerShell 下载载荷”；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“Jaguar Tooth 建立未认证访问”；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“收集 CLI 设备信息”。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不允许将一整句分析结论、报告标题或长段描述直接作为节点。长文本进入节点描述或证据片段。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节点应包含：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简短标签；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行为类型；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tactic / technique 映射；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时间和资产范围；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事实状态；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置信度；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证据引用；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相关上下文实体；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审核状态。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8.6 实体规范化与消歧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确定性规则优先处理强类型实体：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IPv4 / IPv6；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域名；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URL 和网络端点；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邮箱；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MD5 / SHA-1 / SHA-256；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CVE；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技术编号。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规则负责 refang、大小写、默认端口、IDNA、哈希算法和稳定 </w:t>
      </w:r>
      <w:r>
        <w:rPr>
          <w:rFonts w:ascii="Arial" w:hAnsi="Arial" w:eastAsia="PingFang SC"/>
          <w:color w:val="762831"/>
          <w:sz w:val="20"/>
        </w:rPr>
        <w:t>canonical_key</w:t>
      </w:r>
      <w:r>
        <w:rPr>
          <w:rFonts w:ascii="Arial" w:hAnsi="Arial" w:eastAsia="PingFang SC"/>
          <w:color w:val="242B34"/>
          <w:sz w:val="21"/>
        </w:rPr>
        <w:t xml:space="preserve">。同一 IOC 的不同写法合并到同一规范实体，但每次来源出现仍保留独立 </w:t>
      </w:r>
      <w:r>
        <w:rPr>
          <w:rFonts w:ascii="Arial" w:hAnsi="Arial" w:eastAsia="PingFang SC"/>
          <w:color w:val="762831"/>
          <w:sz w:val="20"/>
        </w:rPr>
        <w:t>entity_mention</w:t>
      </w:r>
      <w:r>
        <w:rPr>
          <w:rFonts w:ascii="Arial" w:hAnsi="Arial" w:eastAsia="PingFang SC"/>
          <w:color w:val="242B34"/>
          <w:sz w:val="21"/>
        </w:rPr>
        <w:t xml:space="preserve"> 和证据。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恶意软件、工具和组织采用：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external ID 和规范别名精确命中；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名称与别名候选召回；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向量语义、邻域、时间和来源联合打分；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阈值拒识；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模糊结果进入待复核。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仅凭名称相似不得自动合并。攻击行为实例不跨活动合并；跨报告对齐的是行为语义和实体身份，不是直接把两次具体行为变成同一个节点。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8.7 活动事实图与主干投影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后端先抽取尽可能完整的活动事实图，再由确定性模块选择主干。这样可以保留分支和细节，同时允许更换展示投影而不必重抽报告。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主干不是最长路径。主干应优先满足：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属于同一活动；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因果或效果依赖连续；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覆盖关键安全状态变化；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符合真实攻击过程；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证据充分；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避免将实现细节、重复动作和纯 IOC 当作主干；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在多个入口或分支中选择最能解释当前研判目标的核心路径。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系统支持 </w:t>
      </w:r>
      <w:r>
        <w:rPr>
          <w:rFonts w:ascii="Arial" w:hAnsi="Arial" w:eastAsia="PingFang SC"/>
          <w:color w:val="762831"/>
          <w:sz w:val="20"/>
        </w:rPr>
        <w:t>soc-triage</w:t>
      </w:r>
      <w:r>
        <w:rPr>
          <w:rFonts w:ascii="Arial" w:hAnsi="Arial" w:eastAsia="PingFang SC"/>
          <w:color w:val="242B34"/>
          <w:sz w:val="21"/>
        </w:rPr>
        <w:t xml:space="preserve"> 和 </w:t>
      </w:r>
      <w:r>
        <w:rPr>
          <w:rFonts w:ascii="Arial" w:hAnsi="Arial" w:eastAsia="PingFang SC"/>
          <w:color w:val="762831"/>
          <w:sz w:val="20"/>
        </w:rPr>
        <w:t>incident-response</w:t>
      </w:r>
      <w:r>
        <w:rPr>
          <w:rFonts w:ascii="Arial" w:hAnsi="Arial" w:eastAsia="PingFang SC"/>
          <w:color w:val="242B34"/>
          <w:sz w:val="21"/>
        </w:rPr>
        <w:t xml:space="preserve"> 两种投影：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SOC 投影更强调命中观测、检测缺口和下一步风险；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应急响应投影更强调完整过程、受影响资产、分支和处置。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投影保存主干节点、主干依赖、分支组、泳道位置、关键上下文和选择理由。投影是可重新计算的展示结果，不复制底层事实。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8.8 路径补全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补全流程不是让大模型自由续写。候选来自：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同一历史活动中已复核的前后继关系；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多份报告中对齐后的 Attack Flow 模式；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procedure 和工具前置条件；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技术共现与转移统计；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当前资产、平台、时间和攻击阶段。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候选经过约束过滤：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时间不能明显逆序；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平台和资产必须兼容；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前后安全状态必须连续；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不跨越不相关攻击活动；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必须能够给出历史路径或知识依据；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存在反证时降低分数或拒绝。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输出包括候选步骤、插入位置、评分分解、证据路径和需要补查的观测。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8.9 下一步预测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预测位于最后一个直接观测之后，使用：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历史 Attack Flow 后继；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技术共现/转移矩阵；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工具、平台和资产前置条件；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当前攻击阶段；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已观测分支。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预测输出 Top-K，不包装成确定事实。每个预测同时给出：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为什么会发生；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哪些历史路径支持；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哪些日志、事件或资产可以验证；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预测失效的条件。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8.10 组织归因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归因是次要任务，使用多证据加权而不是单 IOC 命中。评分建议拆分为：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特定恶意软件和工具重合；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技术组合；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有序路径相似；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基础设施复用和时间衰减；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目标行业和地区兼容；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来源可靠性；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反证扣分。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输出候选排序、支持和反证，不输出伪精确概率。大模型只负责汇总解释，不负责决定排序。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8.11 处置建议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处置建议先由规则和权威知识生成：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CVE → 厂商公告、CISA KEV、受影响产品和修复核查；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 技术 → 数据源、检测和缓解措施；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IOC → 日志回溯、同源排查和时间范围；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资产 → 隔离前置条件、凭据和恢复步骤；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预测行为 → 待验证信号和补充监测。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大模型只做去重、排序和案例化改写。最终建议保持可读和可导出，不自动执行。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8.12 质量门与针对性返修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质量门按问题类型判断：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来源证据是否可定位；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节点是否为原子行为；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边是否有自己的证据；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是否存在无证据跨活动连接；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图是否存在非法环或不合理逆序；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分支和汇合是否正确；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实体是否可规范化；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主干是否连续且符合攻击过程；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是否错误地把纯 IOC 报告强制生成路径。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当某一项失败时，只将问题片段、相关证据和错误原因注入修复提示词，让模型专注修复该局部问题。修复后重新运行确定性校验。一次返修仍无法通过的片段进入复核中心，不无限循环。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9. 传统算法与 AI 的分工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528"/>
        <w:gridCol w:w="4775"/>
        <w:gridCol w:w="3057"/>
      </w:tblGrid>
      <w:tr>
        <w:trPr>
          <w:tblHeader/>
        </w:trP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确定性算法 / 图算法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大模型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文档归档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哈希、MIME、URL、解析版本、证据定位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修复破碎文本、识别结构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强类型实体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正则、refang、校验、规范键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识别不规则上下文提及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活动分段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时间、章节、共享锚点和冲突约束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理解叙事归属并提出活动簇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事件图抽取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Schema 校验、类型白名单、证据行验证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从自然语言抽取行为、关系、分支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实体消歧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external ID、别名、向量/邻域评分、阈值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对 Top-K 候选给出语义解释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局部图组装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DAG、时间、资产、平台和活动边界约束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仅提出缺边候选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主干选择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图约束、状态变化、证据覆盖和任务投影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不负责最终主干裁决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路径补全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子图检索、K 路径、约束过滤、评分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解释候选和验证缺口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下一步预测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转移矩阵、历史后继、校准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将统计依据写成研判语言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归因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多证据加权、时间衰减、反证扣分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汇总支持与反证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处置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规则映射权威模板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去重和案例化改写</w:t>
            </w:r>
          </w:p>
        </w:tc>
      </w:tr>
      <w:tr>
        <w:tc>
          <w:tcPr>
            <w:tcW w:type="dxa" w:w="1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审计</w:t>
            </w:r>
          </w:p>
        </w:tc>
        <w:tc>
          <w:tcPr>
            <w:tcW w:type="dxa" w:w="477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版本、哈希、证据和快照</w:t>
            </w:r>
          </w:p>
        </w:tc>
        <w:tc>
          <w:tcPr>
            <w:tcW w:type="dxa" w:w="30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不拥有最终裁决权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总原则：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6C5C9"/>
          <w:left w:val="single" w:sz="4" w:space="0" w:color="E6C5C9"/>
          <w:bottom w:val="single" w:sz="4" w:space="0" w:color="E6C5C9"/>
          <w:right w:val="single" w:sz="4" w:space="0" w:color="E6C5C9"/>
          <w:insideH w:val="single" w:sz="4" w:space="0" w:color="E6C5C9"/>
          <w:insideV w:val="single" w:sz="4" w:space="0" w:color="E6C5C9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F"/>
          </w:tcPr>
          <w:p>
            <w:pPr>
              <w:spacing w:before="60" w:after="60" w:line="278" w:lineRule="auto"/>
            </w:pPr>
            <w:r>
              <w:rPr>
                <w:rFonts w:ascii="Arial" w:hAnsi="Arial" w:eastAsia="PingFang SC"/>
                <w:color w:val="242B34"/>
                <w:sz w:val="21"/>
              </w:rPr>
              <w:t>大模型负责阅读、提议和解释；确定性代码、统计模型和图算法负责校验、排序、约束和留痕。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10. 本体与标准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ARGUS 不把 STIX、ATT&amp;CK 和 Attack Flow 视为三选一。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10.1 STIX 2.1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用于通用 CTI 语义和交换：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intrusion-set</w:t>
      </w:r>
      <w:r>
        <w:rPr>
          <w:rFonts w:ascii="Arial" w:hAnsi="Arial" w:eastAsia="PingFang SC"/>
          <w:color w:val="242B34"/>
          <w:sz w:val="21"/>
        </w:rPr>
        <w:t>：攻击组织；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campaign</w:t>
      </w:r>
      <w:r>
        <w:rPr>
          <w:rFonts w:ascii="Arial" w:hAnsi="Arial" w:eastAsia="PingFang SC"/>
          <w:color w:val="242B34"/>
          <w:sz w:val="21"/>
        </w:rPr>
        <w:t>：已命名活动；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malware</w:t>
      </w:r>
      <w:r>
        <w:rPr>
          <w:rFonts w:ascii="Arial" w:hAnsi="Arial" w:eastAsia="PingFang SC"/>
          <w:color w:val="242B34"/>
          <w:sz w:val="21"/>
        </w:rPr>
        <w:t xml:space="preserve"> / </w:t>
      </w:r>
      <w:r>
        <w:rPr>
          <w:rFonts w:ascii="Arial" w:hAnsi="Arial" w:eastAsia="PingFang SC"/>
          <w:color w:val="762831"/>
          <w:sz w:val="20"/>
        </w:rPr>
        <w:t>tool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vulnerability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attack-pattern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indicator</w:t>
      </w:r>
      <w:r>
        <w:rPr>
          <w:rFonts w:ascii="Arial" w:hAnsi="Arial" w:eastAsia="PingFang SC"/>
          <w:color w:val="242B34"/>
          <w:sz w:val="21"/>
        </w:rPr>
        <w:t xml:space="preserve"> 与 SCO；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report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course-of-action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Relationship、Sighting、外部引用和版本。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STIX 是交换语义，不直接作为数据库物理表。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10.2 MITRE ATT&amp;CK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用于行为词表、泳道分类和跨报告语义对齐。行为实例映射到 ATT&amp;CK technique / sub-technique，但技术类型不能替代本次活动中的具体行为节点。ATT&amp;CK tactic 不代表严格时间顺序。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10.3 Attack Flow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用于表达一次攻击活动中的：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Attack Action；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Asset；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Condition；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AND / OR；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Effect；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分支和汇合。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ARGUS 内部活动事实图与 Attack Flow 兼容，并增加证据断言、事实状态、审核状态和展示投影。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10.4 CACAO 子集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用于只读处置方案和导出：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Investigation；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Detection；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Mitigation；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Remediation；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条件、目标和步骤说明。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比赛版不执行 CACAO 动作。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10.5 MISP 兼容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MISP 用于 Event、Attribute、Object、Galaxy、TLP 和社区 Feed 的导入导出。MISP correlation 只产生关联候选，不能直接作为攻击路径因果边。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11. 逻辑数据模型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11.1 来源证据层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SourceArtifact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保存原始文件或可验证副本的来源、许可证、TLP、哈希和存储路径。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SourceDocument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保存可解析文档的标题、发布机构、原始 URL、发布时间、正文和审核状态。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SourceSpan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保存页码、段落、行号、字符范围、选择器、短引文哈希和解析器版本。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11.2 规范知识层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CanonicalEntity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保存规范实体身份：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entity type；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label；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canonical key；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normalized value；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aliases；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external IDs；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first / last seen；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properties；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review state。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EntityMention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保存某个来源中对规范实体的一次具体提及，包括原始写法、规范值、证据片段、入库运行和置信度。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KnowledgeRelationship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保存可复用知识关系，例如 </w:t>
      </w:r>
      <w:r>
        <w:rPr>
          <w:rFonts w:ascii="Arial" w:hAnsi="Arial" w:eastAsia="PingFang SC"/>
          <w:color w:val="762831"/>
          <w:sz w:val="20"/>
        </w:rPr>
        <w:t>uses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targets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exploits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communicates-with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resolves-to</w:t>
      </w:r>
      <w:r>
        <w:rPr>
          <w:rFonts w:ascii="Arial" w:hAnsi="Arial" w:eastAsia="PingFang SC"/>
          <w:color w:val="242B34"/>
          <w:sz w:val="21"/>
        </w:rPr>
        <w:t>。知识关系不等于攻击过程依赖。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11.3 活动事实与攻击流层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ActivityPath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保存一个历史活动或已确认路径的边界、时间、受害范围、主来源和审核状态。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ActivityPathNode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保存活动中的行为实例。节点标签必须是原子行为，</w:t>
      </w:r>
      <w:r>
        <w:rPr>
          <w:rFonts w:ascii="Arial" w:hAnsi="Arial" w:eastAsia="PingFang SC"/>
          <w:color w:val="762831"/>
          <w:sz w:val="20"/>
        </w:rPr>
        <w:t>assertion_origin</w:t>
      </w:r>
      <w:r>
        <w:rPr>
          <w:rFonts w:ascii="Arial" w:hAnsi="Arial" w:eastAsia="PingFang SC"/>
          <w:color w:val="242B34"/>
          <w:sz w:val="21"/>
        </w:rPr>
        <w:t xml:space="preserve"> 区分来源观测、人工确认、算法补全和算法预测。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ActivityPathEdge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保存 </w:t>
      </w:r>
      <w:r>
        <w:rPr>
          <w:rFonts w:ascii="Arial" w:hAnsi="Arial" w:eastAsia="PingFang SC"/>
          <w:color w:val="762831"/>
          <w:sz w:val="20"/>
        </w:rPr>
        <w:t>sequence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enables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causes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conditional</w:t>
      </w:r>
      <w:r>
        <w:rPr>
          <w:rFonts w:ascii="Arial" w:hAnsi="Arial" w:eastAsia="PingFang SC"/>
          <w:color w:val="242B34"/>
          <w:sz w:val="21"/>
        </w:rPr>
        <w:t>、</w:t>
      </w:r>
      <w:r>
        <w:rPr>
          <w:rFonts w:ascii="Arial" w:hAnsi="Arial" w:eastAsia="PingFang SC"/>
          <w:color w:val="762831"/>
          <w:sz w:val="20"/>
        </w:rPr>
        <w:t>branch</w:t>
      </w:r>
      <w:r>
        <w:rPr>
          <w:rFonts w:ascii="Arial" w:hAnsi="Arial" w:eastAsia="PingFang SC"/>
          <w:color w:val="242B34"/>
          <w:sz w:val="21"/>
        </w:rPr>
        <w:t xml:space="preserve"> 和 </w:t>
      </w:r>
      <w:r>
        <w:rPr>
          <w:rFonts w:ascii="Arial" w:hAnsi="Arial" w:eastAsia="PingFang SC"/>
          <w:color w:val="762831"/>
          <w:sz w:val="20"/>
        </w:rPr>
        <w:t>merge</w:t>
      </w:r>
      <w:r>
        <w:rPr>
          <w:rFonts w:ascii="Arial" w:hAnsi="Arial" w:eastAsia="PingFang SC"/>
          <w:color w:val="242B34"/>
          <w:sz w:val="21"/>
        </w:rPr>
        <w:t xml:space="preserve">，支持 </w:t>
      </w:r>
      <w:r>
        <w:rPr>
          <w:rFonts w:ascii="Arial" w:hAnsi="Arial" w:eastAsia="PingFang SC"/>
          <w:color w:val="762831"/>
          <w:sz w:val="20"/>
        </w:rPr>
        <w:t>branch_group</w:t>
      </w:r>
      <w:r>
        <w:rPr>
          <w:rFonts w:ascii="Arial" w:hAnsi="Arial" w:eastAsia="PingFang SC"/>
          <w:color w:val="242B34"/>
          <w:sz w:val="21"/>
        </w:rPr>
        <w:t xml:space="preserve"> 和 </w:t>
      </w:r>
      <w:r>
        <w:rPr>
          <w:rFonts w:ascii="Arial" w:hAnsi="Arial" w:eastAsia="PingFang SC"/>
          <w:color w:val="762831"/>
          <w:sz w:val="20"/>
        </w:rPr>
        <w:t>condition_label</w:t>
      </w:r>
      <w:r>
        <w:rPr>
          <w:rFonts w:ascii="Arial" w:hAnsi="Arial" w:eastAsia="PingFang SC"/>
          <w:color w:val="242B34"/>
          <w:sz w:val="21"/>
        </w:rPr>
        <w:t>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ActionContextLink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将 IOC、工具、漏洞、资产、技术等上下文实体挂到具体行为节点，带角色和方向，例如：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delivers-payload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uses-tool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connects-to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exploits-vulnerability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on-asset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mapped-to-technique</w:t>
      </w:r>
      <w:r>
        <w:rPr>
          <w:rFonts w:ascii="Arial" w:hAnsi="Arial" w:eastAsia="PingFang SC"/>
          <w:color w:val="242B34"/>
          <w:sz w:val="21"/>
        </w:rPr>
        <w:t>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IOC 不直接排成攻击主干，而是挂到使用它的具体动作。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PathEvidenceLink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将节点或边连接到独立证据片段，区分：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supports / contradicts / context；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direct / corroborating / background；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机器提议、代理复核、人工确认和拒绝。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11.4 分析与投影层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PathAnalysisRun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冻结一次在线研判的输入、算法版本、知识快照和完整结果。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AnalysisProjection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 SOC 或应急响应视角下的主干、分支组、泳道和节点状态。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AttributionRun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保存候选组织、各分项得分、支持、反证和最终排序。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ResponseRule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保存实体、事件或阶段到 P0/P1/P2 处置模板的映射。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11.5 入库、审核与版本层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KnowledgeIngestionRun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保存暂存结果、质量门、图谱增量和路径结果。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ReviewRecord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记录接受、修改、拒绝、审核人、理由、前后状态和时间。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KnowledgeVersion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记录一次发布产生的增量，支持事务发布和回滚。</w:t>
      </w:r>
    </w:p>
    <w:p>
      <w:pPr>
        <w:pStyle w:val="Heading3"/>
      </w:pPr>
      <w:r>
        <w:rPr>
          <w:rFonts w:ascii="Arial" w:hAnsi="Arial" w:eastAsia="PingFang SC"/>
          <w:color w:val="762831"/>
          <w:sz w:val="22"/>
        </w:rPr>
        <w:t>AuditLog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记录重要操作、算法版本和用户动作。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12. 当前 SQLite 物理数据库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比赛版使用 </w:t>
      </w:r>
      <w:r>
        <w:rPr>
          <w:rFonts w:ascii="Arial" w:hAnsi="Arial" w:eastAsia="PingFang SC"/>
          <w:color w:val="762831"/>
          <w:sz w:val="20"/>
        </w:rPr>
        <w:t>data/argus_cti.db</w:t>
      </w:r>
      <w:r>
        <w:rPr>
          <w:rFonts w:ascii="Arial" w:hAnsi="Arial" w:eastAsia="PingFang SC"/>
          <w:color w:val="242B34"/>
          <w:sz w:val="21"/>
        </w:rPr>
        <w:t xml:space="preserve"> 作为唯一事实源。现有表可按职责分组：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主要表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原始来源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raw_reports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corpus_collections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source_artifacts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source_documents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source_spans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规范知识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entities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aliases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entity_mentions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relationships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evidence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历史路径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activity_paths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activity_path_nodes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activity_path_edges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action_context_links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路径证据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path_evidence_links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action_context_evidence_links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分析与投影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path_analysis_runs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analysis_projections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report_event_graphs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组织与归因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actor_profiles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attribution_runs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attribution_candidates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attribution_evidence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处置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response_rules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入库与版本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import_jobs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knowledge_ingestion_runs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knowledge_versions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审核与评测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review_records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gold_evaluation_cases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curated_extraction_baselines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模型与缓存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algorithm_configs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extraction_cache</w:t>
            </w:r>
          </w:p>
        </w:tc>
      </w:tr>
      <w:tr>
        <w:tc>
          <w:tcPr>
            <w:tcW w:type="dxa" w:w="205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审计</w:t>
            </w:r>
          </w:p>
        </w:tc>
        <w:tc>
          <w:tcPr>
            <w:tcW w:type="dxa" w:w="73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audit_log</w:t>
            </w:r>
            <w:r>
              <w:rPr>
                <w:rFonts w:ascii="Arial" w:hAnsi="Arial" w:eastAsia="PingFang SC"/>
                <w:color w:val="242B34"/>
                <w:sz w:val="19"/>
              </w:rPr>
              <w:t xml:space="preserve">, </w:t>
            </w:r>
            <w:r>
              <w:rPr>
                <w:rFonts w:ascii="Arial" w:hAnsi="Arial" w:eastAsia="PingFang SC"/>
                <w:color w:val="762831"/>
                <w:sz w:val="18"/>
              </w:rPr>
              <w:t>schema_migrations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12.1 关键约束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 xml:space="preserve">规范实体通过 </w:t>
      </w:r>
      <w:r>
        <w:rPr>
          <w:rFonts w:ascii="Arial" w:hAnsi="Arial" w:eastAsia="PingFang SC"/>
          <w:color w:val="762831"/>
          <w:sz w:val="20"/>
        </w:rPr>
        <w:t>canonical_key</w:t>
      </w:r>
      <w:r>
        <w:rPr>
          <w:rFonts w:ascii="Arial" w:hAnsi="Arial" w:eastAsia="PingFang SC"/>
          <w:color w:val="242B34"/>
          <w:sz w:val="21"/>
        </w:rPr>
        <w:t xml:space="preserve"> 唯一；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来源原件和文档通过 SHA-256 去重；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 xml:space="preserve">路径节点在同一活动内通过 </w:t>
      </w:r>
      <w:r>
        <w:rPr>
          <w:rFonts w:ascii="Arial" w:hAnsi="Arial" w:eastAsia="PingFang SC"/>
          <w:color w:val="762831"/>
          <w:sz w:val="20"/>
        </w:rPr>
        <w:t>occurrence_key</w:t>
      </w:r>
      <w:r>
        <w:rPr>
          <w:rFonts w:ascii="Arial" w:hAnsi="Arial" w:eastAsia="PingFang SC"/>
          <w:color w:val="242B34"/>
          <w:sz w:val="21"/>
        </w:rPr>
        <w:t xml:space="preserve"> 唯一；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路径边在同一路径、同一端点和同一类型下唯一；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证据必须绑定节点或边二者之一；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路径状态、审核状态和来源状态使用 CHECK 约束；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分析运行保存知识快照和算法版本；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知识发布和回滚有独立版本记录。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12.2 当前数据库需要继续收敛的地方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当前数据库经历过多轮实验，仍保留部分早期表与新表并行：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raw_reports</w:t>
      </w:r>
      <w:r>
        <w:rPr>
          <w:rFonts w:ascii="Arial" w:hAnsi="Arial" w:eastAsia="PingFang SC"/>
          <w:color w:val="242B34"/>
          <w:sz w:val="21"/>
        </w:rPr>
        <w:t xml:space="preserve"> 与 </w:t>
      </w:r>
      <w:r>
        <w:rPr>
          <w:rFonts w:ascii="Arial" w:hAnsi="Arial" w:eastAsia="PingFang SC"/>
          <w:color w:val="762831"/>
          <w:sz w:val="20"/>
        </w:rPr>
        <w:t>source_documents/source_artifacts</w:t>
      </w:r>
      <w:r>
        <w:rPr>
          <w:rFonts w:ascii="Arial" w:hAnsi="Arial" w:eastAsia="PingFang SC"/>
          <w:color w:val="242B34"/>
          <w:sz w:val="21"/>
        </w:rPr>
        <w:t xml:space="preserve"> 存在职责重叠；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evidence</w:t>
      </w:r>
      <w:r>
        <w:rPr>
          <w:rFonts w:ascii="Arial" w:hAnsi="Arial" w:eastAsia="PingFang SC"/>
          <w:color w:val="242B34"/>
          <w:sz w:val="21"/>
        </w:rPr>
        <w:t xml:space="preserve"> 是早期关系证据，</w:t>
      </w:r>
      <w:r>
        <w:rPr>
          <w:rFonts w:ascii="Arial" w:hAnsi="Arial" w:eastAsia="PingFang SC"/>
          <w:color w:val="762831"/>
          <w:sz w:val="20"/>
        </w:rPr>
        <w:t>path_evidence_links</w:t>
      </w:r>
      <w:r>
        <w:rPr>
          <w:rFonts w:ascii="Arial" w:hAnsi="Arial" w:eastAsia="PingFang SC"/>
          <w:color w:val="242B34"/>
          <w:sz w:val="21"/>
        </w:rPr>
        <w:t xml:space="preserve"> 是新的路径证据；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entities/relationships</w:t>
      </w:r>
      <w:r>
        <w:rPr>
          <w:rFonts w:ascii="Arial" w:hAnsi="Arial" w:eastAsia="PingFang SC"/>
          <w:color w:val="242B34"/>
          <w:sz w:val="21"/>
        </w:rPr>
        <w:t xml:space="preserve"> 同时承担通用知识和部分旧版路径表示；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report_event_graphs</w:t>
      </w:r>
      <w:r>
        <w:rPr>
          <w:rFonts w:ascii="Arial" w:hAnsi="Arial" w:eastAsia="PingFang SC"/>
          <w:color w:val="242B34"/>
          <w:sz w:val="21"/>
        </w:rPr>
        <w:t xml:space="preserve"> 保存抽取 JSON，而结构化历史路径位于 </w:t>
      </w:r>
      <w:r>
        <w:rPr>
          <w:rFonts w:ascii="Arial" w:hAnsi="Arial" w:eastAsia="PingFang SC"/>
          <w:color w:val="762831"/>
          <w:sz w:val="20"/>
        </w:rPr>
        <w:t>activity_path_*</w:t>
      </w:r>
      <w:r>
        <w:rPr>
          <w:rFonts w:ascii="Arial" w:hAnsi="Arial" w:eastAsia="PingFang SC"/>
          <w:color w:val="242B34"/>
          <w:sz w:val="21"/>
        </w:rPr>
        <w:t>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比赛前不应进行高风险大迁移。建议保持现有兼容层，只禁止新代码继续写入已废弃语义；比赛后再通过迁移将来源、证据和活动事实统一到新模型。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13. API 设计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13.1 当前已有接口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方法与路径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POST /v1/sources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归档来源并生成证据片段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POST /v1/path-analyses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在线路径分析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GET /v1/path-analyses/{id}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读取冻结分析结果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POST /v1/knowledge-ingestions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暂存高保真入库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GET /v1/knowledge-ingestions/{id}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读取入库预览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POST /v1/knowledge-ingestions/{id}/publish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发布知识版本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POST /v1/knowledge-versions/{id}/rollback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回滚知识版本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GET /v1/actor-knowledge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获取组织画像实时切片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GET /v1/path-fragment-reviews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获取待复核片段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POST /v1/path-fragment-reviews/{id}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保存片段审核决策</w:t>
            </w:r>
          </w:p>
        </w:tc>
      </w:tr>
      <w:tr>
        <w:tc>
          <w:tcPr>
            <w:tcW w:type="dxa" w:w="31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762831"/>
                <w:sz w:val="18"/>
              </w:rPr>
              <w:t>GET /v1/report-event-graphs/{id}</w:t>
            </w:r>
          </w:p>
        </w:tc>
        <w:tc>
          <w:tcPr>
            <w:tcW w:type="dxa" w:w="61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9"/>
              </w:rPr>
              <w:t>读取报告事件图和主干投影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 xml:space="preserve">前端通过同源 </w:t>
      </w:r>
      <w:r>
        <w:rPr>
          <w:rFonts w:ascii="Arial" w:hAnsi="Arial" w:eastAsia="PingFang SC"/>
          <w:color w:val="762831"/>
          <w:sz w:val="20"/>
        </w:rPr>
        <w:t>/api/*</w:t>
      </w:r>
      <w:r>
        <w:rPr>
          <w:rFonts w:ascii="Arial" w:hAnsi="Arial" w:eastAsia="PingFang SC"/>
          <w:color w:val="242B34"/>
          <w:sz w:val="21"/>
        </w:rPr>
        <w:t xml:space="preserve"> 转发，DeepSeek 密钥只保存在服务端。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13.2 建议补充的稳定接口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POST /v1/search</w:t>
      </w:r>
      <w:r>
        <w:rPr>
          <w:rFonts w:ascii="Arial" w:hAnsi="Arial" w:eastAsia="PingFang SC"/>
          <w:color w:val="242B34"/>
          <w:sz w:val="21"/>
        </w:rPr>
        <w:t>：统一实体、报告和组织检索；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GET /v1/entities/{id}</w:t>
      </w:r>
      <w:r>
        <w:rPr>
          <w:rFonts w:ascii="Arial" w:hAnsi="Arial" w:eastAsia="PingFang SC"/>
          <w:color w:val="242B34"/>
          <w:sz w:val="21"/>
        </w:rPr>
        <w:t>：实体详情、来源和一跳关系；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GET /v1/entities/{id}/graph</w:t>
      </w:r>
      <w:r>
        <w:rPr>
          <w:rFonts w:ascii="Arial" w:hAnsi="Arial" w:eastAsia="PingFang SC"/>
          <w:color w:val="242B34"/>
          <w:sz w:val="21"/>
        </w:rPr>
        <w:t>：按类型、关系和跳数返回图谱；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GET /v1/activities/{id}</w:t>
      </w:r>
      <w:r>
        <w:rPr>
          <w:rFonts w:ascii="Arial" w:hAnsi="Arial" w:eastAsia="PingFang SC"/>
          <w:color w:val="242B34"/>
          <w:sz w:val="21"/>
        </w:rPr>
        <w:t>：完整活动事实图；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GET /v1/activities/{id}/projection?goal=</w:t>
      </w:r>
      <w:r>
        <w:rPr>
          <w:rFonts w:ascii="Arial" w:hAnsi="Arial" w:eastAsia="PingFang SC"/>
          <w:color w:val="242B34"/>
          <w:sz w:val="21"/>
        </w:rPr>
        <w:t>：获取指定任务投影；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GET /v1/reports/{id}</w:t>
      </w:r>
      <w:r>
        <w:rPr>
          <w:rFonts w:ascii="Arial" w:hAnsi="Arial" w:eastAsia="PingFang SC"/>
          <w:color w:val="242B34"/>
          <w:sz w:val="21"/>
        </w:rPr>
        <w:t>：报告与分析结果；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GET /v1/actors</w:t>
      </w:r>
      <w:r>
        <w:rPr>
          <w:rFonts w:ascii="Arial" w:hAnsi="Arial" w:eastAsia="PingFang SC"/>
          <w:color w:val="242B34"/>
          <w:sz w:val="21"/>
        </w:rPr>
        <w:t xml:space="preserve"> 和 </w:t>
      </w:r>
      <w:r>
        <w:rPr>
          <w:rFonts w:ascii="Arial" w:hAnsi="Arial" w:eastAsia="PingFang SC"/>
          <w:color w:val="762831"/>
          <w:sz w:val="20"/>
        </w:rPr>
        <w:t>GET /v1/actors/{id}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POST /v1/response-plans</w:t>
      </w:r>
      <w:r>
        <w:rPr>
          <w:rFonts w:ascii="Arial" w:hAnsi="Arial" w:eastAsia="PingFang SC"/>
          <w:color w:val="242B34"/>
          <w:sz w:val="21"/>
        </w:rPr>
        <w:t>：根据冻结分析生成只读处置方案；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POST /v1/exports</w:t>
      </w:r>
      <w:r>
        <w:rPr>
          <w:rFonts w:ascii="Arial" w:hAnsi="Arial" w:eastAsia="PingFang SC"/>
          <w:color w:val="242B34"/>
          <w:sz w:val="21"/>
        </w:rPr>
        <w:t>：生成 Markdown、JSON、STIX、Attack Flow 或 CACAO 子集。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所有响应应包含：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schema_version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generated_at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knowledge_snapshot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algorithm_version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warnings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可追踪的实体、关系和证据 ID。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14. 数据来源与语料策略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14.1 数据来源优先级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第一层：规范和权威结构化数据。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MITRE ATT&amp;CK STIX；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CISA KEV；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NVD；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FIRST EPSS；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CWE / CAPEC。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第二层：一手威胁报告。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CISA / NCSC / CERT；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Microsoft；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Cisco Talos；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ESET；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Unit 42；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Mandiant 等。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第三层：IOC 与样本生态。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ThreatFox；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MalwareBazaar；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URLhaus；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MISP Feed。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14.2 论文数据集的使用方式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论文数据集只作为原始报告获取渠道，不使用其结构化标注作为 ARGUS 的直接答案。导入时：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保存数据集版本和许可证；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保存报告原文和 SHA-256；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核验原发布方 URL；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使用 ARGUS 自己的流程重新抽取；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保留数据集记录 ID，但不把其标签当作事实；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对演示案例进行代理辅助复核。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14.3 比赛版数据规模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建议保持精而不大：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约 50 份真实报告；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每个重点真实组织约 3 份报告；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20 条左右高质量完整分支路径；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5–10 个金标准或回归案例；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3 个重点演示案例；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ATT&amp;CK、Attack Flow 和 TIE 作为背景知识与预测基线。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15. 核心演示闭环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推荐使用跨邮件、终端和边界设备的综合情报包作为主案例，并保留 Jaguar Tooth 作为清晰的边界设备案例。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完整演示流程：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用户粘贴自然语言告警或威胁情报；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系统识别多个攻击活动簇，而不是直接生成一条链；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用户查看活动簇命中线索、未归属线索和待定缺边；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选择其中一个活动进入路径研判；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顶部显示直接观测、补全和预测；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图谱显示左到右主干、真实分支和上下文 IOC；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点击补全步骤查看历史来源和精确短引文；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泳道折叠/展开并与图谱联动；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页面下方展示 P0/P1/P2 处置建议；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最后查看候选归因、支持、反证和组织知识图谱；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导出带来源的研判报告；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如需沉淀，转到情报入库，经质量门和复核后发布知识版本。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这个闭环展示的价值是“从碎片告警到可执行调查依据”，不是单纯展示一张图。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16. 可靠性、安全与审计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16.1 数据可靠性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原文 SHA-256 固定；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每条证据保存位置和短引文；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来源可靠性与判断置信度分开；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模型结果缓存并记录模型、提示词和版本；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所有分析保存知识快照；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无来源结论不得进入已确认状态。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16.2 安全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API 密钥仅服务端保存；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原始上传限制大小和 MIME；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不自动下载或解压恶意样本；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URL 抓取设置白名单/隔离和超时；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导出内容进行 HTML/Markdown 转义；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不执行模型生成的命令；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不自动封禁、隔离或修改资产。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16.3 审计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记录：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来源导入；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模型和算法运行；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实体合并；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节点和边修订；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片段接受/拒绝；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知识发布和回滚；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导出；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用户触发的重要页面操作。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17. 质量评估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比赛版重点是可用和可信，不必包装成论文级评测，但需要保留基本指标：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实体规范化准确性；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节点是否为原子行为；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节点/边证据覆盖率；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活动分段合理性；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分支/汇合正确性；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主干连续性和攻击过程合理性；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补全是否有历史路径依据；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预测 Top-K 是否可解释；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跨报告合并是否依赖强锚点；</w:t>
      </w:r>
    </w:p>
    <w:p>
      <w:pPr>
        <w:pStyle w:val="ListBullet"/>
      </w:pPr>
      <w:r>
        <w:rPr>
          <w:rFonts w:ascii="Arial" w:hAnsi="Arial" w:eastAsia="PingFang SC"/>
          <w:color w:val="762831"/>
          <w:sz w:val="20"/>
        </w:rPr>
        <w:t>no-path</w:t>
      </w:r>
      <w:r>
        <w:rPr>
          <w:rFonts w:ascii="Arial" w:hAnsi="Arial" w:eastAsia="PingFang SC"/>
          <w:color w:val="242B34"/>
          <w:sz w:val="21"/>
        </w:rPr>
        <w:t xml:space="preserve"> 报告是否被正确处理；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页面从查询到证据、建议和导出的闭环是否可运行。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必须设置的硬指标：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已确认节点和边 100% 可回到 SourceSpan；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未标记的无源结论为 0；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长句或报告标题作为攻击步骤节点为 0；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不同攻击活动被无证据强连为一条路径为 0。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18. 实现状态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3616"/>
        <w:gridCol w:w="1914"/>
        <w:gridCol w:w="3830"/>
      </w:tblGrid>
      <w:tr>
        <w:trPr>
          <w:tblHeader/>
        </w:trP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C62B37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统一前端外壳与桌面页面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主导航、返回栈和主要页面已形成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综合查询与历史报告入口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本地 SQLite 快照驱动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IOC / 实体单页结果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仍需后端统一搜索接口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攻击活动候选与编辑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已实现演示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数据与真实抽取的稳定连接需继续收敛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攻击路径主图、泳道、建议、归因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已实现演示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展示完整，算法质量仍依赖数据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情报关系探索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实体逐跳展开和证据侧栏可用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攻击组织目录和画像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支持后端实时切片，离线时保留快照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情报入库和版本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部分实现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暂存、质量门、发布和回滚已有骨架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路径片段复核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部分实现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前端和接口已有，真实待审数据仍需扩充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来源归档与证据定位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已实现基础能力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PDF/HTML 多模态解析需增强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活动优先的分块并行抽取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已实现实验/入库链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需要更多真实报告回归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实体规范化与强类型合并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软实体消歧仍需完善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完整活动图与主干投影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部分实现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已有两类投影，复杂条件图仍需增强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在线路径补全与预测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部分实现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当前历史活动匹配引擎较保守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多证据归因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已有数据结构和演示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不是当前主任务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规则化处置建议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已实现演示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9FA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权威规则库覆盖需扩充</w:t>
            </w:r>
          </w:p>
        </w:tc>
      </w:tr>
      <w:tr>
        <w:tc>
          <w:tcPr>
            <w:tcW w:type="dxa" w:w="36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生产级 PostgreSQL 架构</w:t>
            </w:r>
          </w:p>
        </w:tc>
        <w:tc>
          <w:tcPr>
            <w:tcW w:type="dxa" w:w="19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设计确定</w:t>
            </w:r>
          </w:p>
        </w:tc>
        <w:tc>
          <w:tcPr>
            <w:tcW w:type="dxa" w:w="38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20" w:after="20" w:line="259" w:lineRule="auto"/>
            </w:pPr>
            <w:r>
              <w:rPr>
                <w:rFonts w:ascii="Arial" w:hAnsi="Arial" w:eastAsia="PingFang SC"/>
                <w:color w:val="242B34"/>
                <w:sz w:val="18"/>
              </w:rPr>
              <w:t>比赛后实施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19. 实施路线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阶段一：比赛稳定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固定 3 个重点演示案例；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统一前端和真实数据契约；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清除未标识演示数据和无效知识图；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验证所有推荐搜索；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完成查询、路径、证据、建议、归因和导出闭环；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锁定模型、提示词、数据库和快照版本。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阶段二：后端收敛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 xml:space="preserve">统一 </w:t>
      </w:r>
      <w:r>
        <w:rPr>
          <w:rFonts w:ascii="Arial" w:hAnsi="Arial" w:eastAsia="PingFang SC"/>
          <w:color w:val="762831"/>
          <w:sz w:val="20"/>
        </w:rPr>
        <w:t>raw_reports</w:t>
      </w:r>
      <w:r>
        <w:rPr>
          <w:rFonts w:ascii="Arial" w:hAnsi="Arial" w:eastAsia="PingFang SC"/>
          <w:color w:val="242B34"/>
          <w:sz w:val="21"/>
        </w:rPr>
        <w:t xml:space="preserve"> 与新来源模型；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停止使用旧版“报告提及”关系生成路径；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 xml:space="preserve">将行为上下文全部迁移到 </w:t>
      </w:r>
      <w:r>
        <w:rPr>
          <w:rFonts w:ascii="Arial" w:hAnsi="Arial" w:eastAsia="PingFang SC"/>
          <w:color w:val="762831"/>
          <w:sz w:val="20"/>
        </w:rPr>
        <w:t>action_context_links</w:t>
      </w:r>
      <w:r>
        <w:rPr>
          <w:rFonts w:ascii="Arial" w:hAnsi="Arial" w:eastAsia="PingFang SC"/>
          <w:color w:val="242B34"/>
          <w:sz w:val="21"/>
        </w:rPr>
        <w:t>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增强活动分段、条件分支和多活动支持；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建立稳定统一搜索与活动查询接口；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扩充待复核真实片段。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阶段三：数据与评测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扩充 50 份高质量报告；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建立 20 条分支路径和 5–10 个回归案例；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逐组织完善画像和历史活动；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建立跨报告强锚点合并测试；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对节点、边、主干、分支、补全和预测分别评估。</w:t>
      </w:r>
    </w:p>
    <w:p>
      <w:pPr>
        <w:pStyle w:val="Heading2"/>
      </w:pPr>
      <w:r>
        <w:rPr>
          <w:rFonts w:ascii="Arial" w:hAnsi="Arial" w:eastAsia="PingFang SC"/>
          <w:color w:val="242B34"/>
          <w:sz w:val="27"/>
        </w:rPr>
        <w:t>阶段四：生产化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迁移 PostgreSQL、pgvector 和对象存储；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增加任务队列和后台解析；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增加权限、组织隔离和 TLP 控制；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增加 Connector、STIX/TAXII、MISP 和 CACAO 导出；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在性能需要时增加只读图投影。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20. 验收标准</w:t>
      </w:r>
    </w:p>
    <w:p>
      <w:pPr>
        <w:spacing w:after="120" w:line="278" w:lineRule="auto"/>
      </w:pPr>
      <w:r>
        <w:rPr>
          <w:rFonts w:ascii="Arial" w:hAnsi="Arial" w:eastAsia="PingFang SC"/>
          <w:color w:val="242B34"/>
          <w:sz w:val="21"/>
        </w:rPr>
        <w:t>一个可接受的比赛版本必须满足：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用户能从首页输入 IOC、自然语言告警或报告；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推荐搜索进入的页面全部有真实可读内容；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多活动输入先展示活动簇；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攻击路径不是固定直线，能够表达分支和上下文；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主干节点是原子行为，IOC 挂到具体行为；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直接观测、补全和预测清楚区分；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点击节点或关系能够看到来源证据；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泳道与图谱联动且可折叠；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处置建议突出、可读、可导出；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归因位于末端但包含支持、反证和可解释路径；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情报图谱和其他页面使用统一外壳；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所有返回操作回到真实上一级；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后端不可用时明确提示，不能静默展示伪造结果；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 xml:space="preserve">纯 IOC 或无攻击过程报告可作为 </w:t>
      </w:r>
      <w:r>
        <w:rPr>
          <w:rFonts w:ascii="Arial" w:hAnsi="Arial" w:eastAsia="PingFang SC"/>
          <w:color w:val="762831"/>
          <w:sz w:val="20"/>
        </w:rPr>
        <w:t>no-path</w:t>
      </w:r>
      <w:r>
        <w:rPr>
          <w:rFonts w:ascii="Arial" w:hAnsi="Arial" w:eastAsia="PingFang SC"/>
          <w:color w:val="242B34"/>
          <w:sz w:val="21"/>
        </w:rPr>
        <w:t xml:space="preserve"> 合法入库；</w:t>
      </w:r>
    </w:p>
    <w:p>
      <w:pPr>
        <w:pStyle w:val="ListNumber"/>
      </w:pPr>
      <w:r>
        <w:rPr>
          <w:rFonts w:ascii="Arial" w:hAnsi="Arial" w:eastAsia="PingFang SC"/>
          <w:color w:val="242B34"/>
          <w:sz w:val="21"/>
        </w:rPr>
        <w:t>知识入库必须经过质量门、复核和版本发布。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21. 术语表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IOC：</w:t>
      </w:r>
      <w:r>
        <w:rPr>
          <w:rFonts w:ascii="Arial" w:hAnsi="Arial" w:eastAsia="PingFang SC"/>
          <w:color w:val="242B34"/>
          <w:sz w:val="21"/>
        </w:rPr>
        <w:t xml:space="preserve"> IP、域名、URL、Hash 等可用于检测和关联的技术线索。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APT：</w:t>
      </w:r>
      <w:r>
        <w:rPr>
          <w:rFonts w:ascii="Arial" w:hAnsi="Arial" w:eastAsia="PingFang SC"/>
          <w:color w:val="242B34"/>
          <w:sz w:val="21"/>
        </w:rPr>
        <w:t xml:space="preserve"> 具备明确目标、长期潜伏和持续技战术演进特征的高级持续性威胁。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攻击活动：</w:t>
      </w:r>
      <w:r>
        <w:rPr>
          <w:rFonts w:ascii="Arial" w:hAnsi="Arial" w:eastAsia="PingFang SC"/>
          <w:color w:val="242B34"/>
          <w:sz w:val="21"/>
        </w:rPr>
        <w:t xml:space="preserve"> 在一定主体、目标、时间和技术上下文中发生的一组相关攻击行为。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活动簇：</w:t>
      </w:r>
      <w:r>
        <w:rPr>
          <w:rFonts w:ascii="Arial" w:hAnsi="Arial" w:eastAsia="PingFang SC"/>
          <w:color w:val="242B34"/>
          <w:sz w:val="21"/>
        </w:rPr>
        <w:t xml:space="preserve"> 系统根据证据暂时聚合的攻击活动候选，可能待复核。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行为实例：</w:t>
      </w:r>
      <w:r>
        <w:rPr>
          <w:rFonts w:ascii="Arial" w:hAnsi="Arial" w:eastAsia="PingFang SC"/>
          <w:color w:val="242B34"/>
          <w:sz w:val="21"/>
        </w:rPr>
        <w:t xml:space="preserve"> 某次攻击中发生的具体原子动作。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主干：</w:t>
      </w:r>
      <w:r>
        <w:rPr>
          <w:rFonts w:ascii="Arial" w:hAnsi="Arial" w:eastAsia="PingFang SC"/>
          <w:color w:val="242B34"/>
          <w:sz w:val="21"/>
        </w:rPr>
        <w:t xml:space="preserve"> 最能解释关键安全状态变化的核心攻击过程，不等于最长路径。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支线：</w:t>
      </w:r>
      <w:r>
        <w:rPr>
          <w:rFonts w:ascii="Arial" w:hAnsi="Arial" w:eastAsia="PingFang SC"/>
          <w:color w:val="242B34"/>
          <w:sz w:val="21"/>
        </w:rPr>
        <w:t xml:space="preserve"> 与主过程相关的替代入口、并行动作、实现细节或补充行为。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补全：</w:t>
      </w:r>
      <w:r>
        <w:rPr>
          <w:rFonts w:ascii="Arial" w:hAnsi="Arial" w:eastAsia="PingFang SC"/>
          <w:color w:val="242B34"/>
          <w:sz w:val="21"/>
        </w:rPr>
        <w:t xml:space="preserve"> 在已观测节点之间依据历史路径和约束恢复缺失步骤。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预测：</w:t>
      </w:r>
      <w:r>
        <w:rPr>
          <w:rFonts w:ascii="Arial" w:hAnsi="Arial" w:eastAsia="PingFang SC"/>
          <w:color w:val="242B34"/>
          <w:sz w:val="21"/>
        </w:rPr>
        <w:t xml:space="preserve"> 在最后直接观测之后给出可能后续行为。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SourceSpan：</w:t>
      </w:r>
      <w:r>
        <w:rPr>
          <w:rFonts w:ascii="Arial" w:hAnsi="Arial" w:eastAsia="PingFang SC"/>
          <w:color w:val="242B34"/>
          <w:sz w:val="21"/>
        </w:rPr>
        <w:t xml:space="preserve"> 可以精确定位到原始来源的最小证据片段。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知识快照：</w:t>
      </w:r>
      <w:r>
        <w:rPr>
          <w:rFonts w:ascii="Arial" w:hAnsi="Arial" w:eastAsia="PingFang SC"/>
          <w:color w:val="242B34"/>
          <w:sz w:val="21"/>
        </w:rPr>
        <w:t xml:space="preserve"> 一次算法运行所使用的冻结实体、关系和版本状态。</w:t>
      </w:r>
    </w:p>
    <w:p>
      <w:pPr>
        <w:pStyle w:val="ListBullet"/>
      </w:pPr>
      <w:r>
        <w:rPr>
          <w:rFonts w:ascii="Arial" w:hAnsi="Arial" w:eastAsia="PingFang SC"/>
          <w:b/>
          <w:color w:val="242B34"/>
          <w:sz w:val="21"/>
        </w:rPr>
        <w:t>投影：</w:t>
      </w:r>
      <w:r>
        <w:rPr>
          <w:rFonts w:ascii="Arial" w:hAnsi="Arial" w:eastAsia="PingFang SC"/>
          <w:color w:val="242B34"/>
          <w:sz w:val="21"/>
        </w:rPr>
        <w:t xml:space="preserve"> 从完整事实图计算出的主干、泳道和展示状态。</w:t>
      </w:r>
    </w:p>
    <w:p>
      <w:pPr>
        <w:pStyle w:val="Heading1"/>
      </w:pPr>
      <w:r>
        <w:rPr>
          <w:rFonts w:ascii="Arial" w:hAnsi="Arial" w:eastAsia="PingFang SC"/>
          <w:color w:val="C62B37"/>
          <w:sz w:val="34"/>
        </w:rPr>
        <w:t>22. 参考标准与项目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OASIS STIX 2.1：https://docs.oasis-open.org/cti/stix/v2.1/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MITRE ATT&amp;CK：https://attack.mitre.org/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MITRE ATT&amp;CK STIX Data：https://github.com/mitre-attack/attack-stix-data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Center for Threat-Informed Defense Attack Flow：https://center-for-threat-informed-defense.github.io/attack-flow/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OASIS CACAO 2.0：https://docs.oasis-open.org/cacao/security-playbooks/v2.0/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OpenCTI：https://docs.opencti.io/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MISP：https://www.misp-project.org/</w:t>
      </w:r>
    </w:p>
    <w:p>
      <w:pPr>
        <w:pStyle w:val="ListBullet"/>
      </w:pPr>
      <w:r>
        <w:rPr>
          <w:rFonts w:ascii="Arial" w:hAnsi="Arial" w:eastAsia="PingFang SC"/>
          <w:color w:val="242B34"/>
          <w:sz w:val="21"/>
        </w:rPr>
        <w:t>Technique Inference Engine：https://github.com/center-for-threat-informed-defense/technique-inference-engine</w:t>
      </w:r>
    </w:p>
    <w:p>
      <w:pPr>
        <w:spacing w:after="120" w:line="278" w:lineRule="auto"/>
      </w:pPr>
      <w:r>
        <w:rPr>
          <w:rFonts w:ascii="Arial" w:hAnsi="Arial" w:eastAsia="PingFang SC"/>
          <w:b/>
          <w:color w:val="242B34"/>
          <w:sz w:val="21"/>
        </w:rPr>
        <w:t>结论：</w:t>
      </w:r>
      <w:r>
        <w:rPr>
          <w:rFonts w:ascii="Arial" w:hAnsi="Arial" w:eastAsia="PingFang SC"/>
          <w:color w:val="242B34"/>
          <w:sz w:val="21"/>
        </w:rPr>
        <w:t xml:space="preserve"> ARGUS 的最终产品不是一张攻击图，而是一套从真实来源、碎片观测、活动分段、路径还原、证据审计到处置建议的完整研判链。图谱和泳道只是承载这条链的两种视图；真正形成购买价值的是可追踪的补全、预测、调查依据和行动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color w:val="656F7A"/>
        <w:sz w:val="18"/>
      </w:rPr>
      <w:t xml:space="preserve">第 </w:t>
    </w:r>
    <w:fldSimple w:instr="PAGE"/>
    <w:r>
      <w:rPr>
        <w:rFonts w:ascii="Arial" w:hAnsi="Arial" w:eastAsia="PingFang SC"/>
        <w:color w:val="656F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7" w:color="E2E5E9"/>
      </w:pBdr>
    </w:pPr>
    <w:r>
      <w:rPr>
        <w:rFonts w:ascii="Arial" w:hAnsi="Arial" w:eastAsia="PingFang SC"/>
        <w:b/>
        <w:color w:val="656F7A"/>
        <w:sz w:val="17"/>
      </w:rPr>
      <w:t>ARGUS 系统设计说明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PingFang SC"/>
      <w:color w:val="24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C62B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42B3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444C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ARGUS 前端、后端与数据库总体设计说明</dc:title>
  <dc:subject>APT 技战术数据服务平台系统设计</dc:subject>
  <dc:creator>ARGUS 项目组</dc:creator>
  <cp:keywords>ARGUS, APT, 威胁情报, 攻击路径, STIX, ATT&amp;CK, Attack 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