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6E"/>
          <w:sz w:val="44"/>
        </w:rPr>
        <w:t>arXiv Quantitative Finance 精選論文報告</w:t>
      </w:r>
    </w:p>
    <w:p>
      <w:pPr>
        <w:jc w:val="center"/>
      </w:pPr>
      <w:r>
        <w:rPr>
          <w:i/>
          <w:color w:val="666666"/>
          <w:sz w:val="26"/>
        </w:rPr>
        <w:t>Weekly Digest — 2026-06-27</w:t>
      </w:r>
    </w:p>
    <w:p/>
    <w:p>
      <w:pPr>
        <w:pStyle w:val="Heading1"/>
      </w:pPr>
      <w:r>
        <w:t>總覽</w:t>
      </w:r>
    </w:p>
    <w:p>
      <w:r>
        <w:rPr>
          <w:b/>
        </w:rPr>
        <w:t>本週 arXiv Quantitative Finance (q-fin) 共刊登 24 篇新論文</w:t>
      </w:r>
      <w:r>
        <w:t>，以下精選 3 篇與量化交易、風險管理、衍生品定價高度相關的文章，進行重點摘要與評論。</w:t>
      </w:r>
    </w:p>
    <w:p/>
    <w:p>
      <w:pPr>
        <w:pStyle w:val="Heading1"/>
      </w:pPr>
      <w:r>
        <w:rPr>
          <w:color w:val="1A1A6E"/>
        </w:rPr>
        <w:t>Paper 1: Portfolio Optimization for Commodity ETFs under Heavy-Tailed Returns</w:t>
      </w:r>
    </w:p>
    <w:p>
      <w:pPr>
        <w:spacing w:after="40"/>
      </w:pPr>
      <w:r>
        <w:rPr>
          <w:b/>
          <w:sz w:val="20"/>
        </w:rPr>
        <w:t xml:space="preserve">🔗 arXiv: </w:t>
      </w:r>
      <w:r>
        <w:rPr>
          <w:sz w:val="20"/>
        </w:rPr>
        <w:t>2606.26625</w:t>
      </w:r>
    </w:p>
    <w:p>
      <w:pPr>
        <w:spacing w:after="40"/>
      </w:pPr>
      <w:r>
        <w:rPr>
          <w:b/>
          <w:sz w:val="20"/>
        </w:rPr>
        <w:t xml:space="preserve">👤 Authors: </w:t>
      </w:r>
      <w:r>
        <w:rPr>
          <w:sz w:val="20"/>
        </w:rPr>
        <w:t>Nicholas Appiah, Ali Jaffri, Dilmi C.W. Hettiachchi-Halpe-Kankanamalage, Svetlozar T. Rachev</w:t>
      </w:r>
    </w:p>
    <w:p>
      <w:pPr>
        <w:spacing w:after="40"/>
      </w:pPr>
      <w:r>
        <w:rPr>
          <w:b/>
          <w:sz w:val="20"/>
        </w:rPr>
        <w:t xml:space="preserve">🏷️ Subjects: </w:t>
      </w:r>
      <w:r>
        <w:rPr>
          <w:sz w:val="20"/>
        </w:rPr>
        <w:t>Portfolio Management (q-fin.PM); Risk Management (q-fin.RM)</w:t>
      </w:r>
    </w:p>
    <w:p>
      <w:pPr>
        <w:spacing w:after="120"/>
      </w:pPr>
      <w:r>
        <w:rPr>
          <w:b/>
          <w:sz w:val="20"/>
        </w:rPr>
        <w:t xml:space="preserve">📂 Category: </w:t>
      </w:r>
      <w:r>
        <w:rPr>
          <w:sz w:val="20"/>
        </w:rPr>
        <w:t>📊 資產配置與風險管理</w:t>
      </w:r>
    </w:p>
    <w:p>
      <w:pPr>
        <w:pStyle w:val="Heading2"/>
      </w:pPr>
      <w:r>
        <w:t>Abstract</w:t>
      </w:r>
    </w:p>
    <w:p>
      <w:pPr>
        <w:spacing w:line="320" w:lineRule="exact"/>
      </w:pPr>
      <w:r>
        <w:t>This paper examines portfolio optimization for commodity exchange-traded funds (ETFs) under heavy-tailed return behavior. Using daily Bloomberg data for 30 U.S.-listed commodity ETFs from 12 December 2018 to 16 December 2024, we study funds spanning agriculture, energy, metals, and broad commodity index exposure. We compare a passive buy-and-hold portfolio with rolling-window optimized portfolios formed under mean–variance and conditional value-at-risk (CVaR) criteria, considering both long-only and restricted long–short strategies.</w:t>
        <w:br/>
        <w:br/>
      </w:r>
      <w:r>
        <w:t>The results showed substantial heterogeneity across commodity sectors, with energy and broad commodity index funds displaying pronounced volatility, skewness, and excess kurtosis. Historical optimization indicated that minimum-risk and CVaR-based portfolios provided more stable cumulative performance than tangent portfolios and generally improved Sharpe, Calmar, and STARR₀.₉₅ ratios. Extreme-value diagnostics showed that optimized portfolios remained exposed to heavy downside tails, so improved risk-adjusted performance did not eliminate extreme-loss risk.</w:t>
        <w:br/>
        <w:br/>
      </w:r>
      <w:r>
        <w:t>A dynamic extension based on ARMA–GARCH marginal models, Student-t copula dependence, and one-step-ahead predictive scenarios improved performance mainly when combined with minimum-risk or CVaR-based objectives. Dynamic mean–variance tangent portfolios performed less reliably, reflecting sensitivity to expected-return estimation error. Transaction-cost robustness checks further showed that the practical value of dynamic optimization depended on turnover control.</w:t>
        <w:br/>
        <w:br/>
      </w:r>
    </w:p>
    <w:p>
      <w:pPr>
        <w:pStyle w:val="Heading2"/>
      </w:pPr>
      <w:r>
        <w:t>評論與應用</w:t>
      </w:r>
    </w:p>
    <w:p>
      <w:pPr>
        <w:spacing w:line="320" w:lineRule="exact"/>
      </w:pPr>
      <w:r>
        <w:t>本篇文章與您關注的原油、黃金等商品期貨交易高度相關。作者使用 30 檔商品 ETF（涵蓋能源、金屬、農業），比較均值-方差與 CVaR 兩種優化框架在厚尾報酬下的表現。核心發現：downside-risk-aware 的配置策略（如最小風險、CVaR）遠優於傳統 mean-variance tangent portfolio，尤其在商品市場的厚尾特性下。然而優化投組仍無法消除極端尾部風險，需搭配明確的 tail-risk 診斷。</w:t>
        <w:br/>
        <w:br/>
        <w:t>實務啟示：在做油、黃金的期貨配置時，應優先考慮 CVaR 或 min-risk 框架，並搭配 ARMA-GARCH 動態預測，同時嚴格控制週轉率以降低交易成本侵蝕。</w:t>
      </w:r>
    </w:p>
    <w:p/>
    <w:p>
      <w:pPr>
        <w:pStyle w:val="Heading1"/>
      </w:pPr>
      <w:r>
        <w:rPr>
          <w:color w:val="1A1A6E"/>
        </w:rPr>
        <w:t>Paper 2: Robust Hedging Valuation Adjustment under Liquidity-Demand Stress</w:t>
      </w:r>
    </w:p>
    <w:p>
      <w:pPr>
        <w:spacing w:after="40"/>
      </w:pPr>
      <w:r>
        <w:rPr>
          <w:b/>
          <w:sz w:val="20"/>
        </w:rPr>
        <w:t xml:space="preserve">🔗 arXiv: </w:t>
      </w:r>
      <w:r>
        <w:rPr>
          <w:sz w:val="20"/>
        </w:rPr>
        <w:t>2606.26731</w:t>
      </w:r>
    </w:p>
    <w:p>
      <w:pPr>
        <w:spacing w:after="40"/>
      </w:pPr>
      <w:r>
        <w:rPr>
          <w:b/>
          <w:sz w:val="20"/>
        </w:rPr>
        <w:t xml:space="preserve">👤 Authors: </w:t>
      </w:r>
      <w:r>
        <w:rPr>
          <w:sz w:val="20"/>
        </w:rPr>
        <w:t>Takayuki Sakuma</w:t>
      </w:r>
    </w:p>
    <w:p>
      <w:pPr>
        <w:spacing w:after="40"/>
      </w:pPr>
      <w:r>
        <w:rPr>
          <w:b/>
          <w:sz w:val="20"/>
        </w:rPr>
        <w:t xml:space="preserve">🏷️ Subjects: </w:t>
      </w:r>
      <w:r>
        <w:rPr>
          <w:sz w:val="20"/>
        </w:rPr>
        <w:t>Risk Management (q-fin.RM); Computational Finance (q-fin.CP)</w:t>
      </w:r>
    </w:p>
    <w:p>
      <w:pPr>
        <w:spacing w:after="120"/>
      </w:pPr>
      <w:r>
        <w:rPr>
          <w:b/>
          <w:sz w:val="20"/>
        </w:rPr>
        <w:t xml:space="preserve">📂 Category: </w:t>
      </w:r>
      <w:r>
        <w:rPr>
          <w:sz w:val="20"/>
        </w:rPr>
        <w:t>🛡️ 避險與流動性風險</w:t>
      </w:r>
    </w:p>
    <w:p>
      <w:pPr>
        <w:pStyle w:val="Heading2"/>
      </w:pPr>
      <w:r>
        <w:t>Abstract</w:t>
      </w:r>
    </w:p>
    <w:p>
      <w:pPr>
        <w:spacing w:line="320" w:lineRule="exact"/>
      </w:pPr>
      <w:r>
        <w:t>This paper develops a robust hedging valuation adjustment (HVA) measure for dynamic hedging. Simulated rebalancing and maturity-unwind trades generate a loss distribution for each no-trade-band rule, and we define robust HVA as the worst-case expected loss over a relative-entropy neighborhood of that distribution. Because band width affects turnover, the same relative-entropy radius applied to different bands can imply different levels of demand-liquidity stress. We distinguish a fixed-radius convention from a fixed benchmark-stress convention and show that wider no-trade bands lower rebalancing costs but raise hedge-error risk.</w:t>
        <w:br/>
        <w:br/>
      </w:r>
    </w:p>
    <w:p>
      <w:pPr>
        <w:pStyle w:val="Heading2"/>
      </w:pPr>
      <w:r>
        <w:t>評論與應用</w:t>
      </w:r>
    </w:p>
    <w:p>
      <w:pPr>
        <w:spacing w:line="320" w:lineRule="exact"/>
      </w:pPr>
      <w:r>
        <w:t>這篇文章提出了一個新穎的「穩健避險估值調整（HVA）」指標，特別針對流動性緊縮情境。核心概念：利用 no-trade band（不交易區間）來控制再平衡頻率，並在相對熵鄰域內計算 worst-case 預期損失。</w:t>
        <w:br/>
        <w:br/>
        <w:t>對您實務交易的意義：在做期貨避險時，band width 的選擇至關重要——太窄則週轉成本高，太寬則避險誤差大。本文提供了一個量化框架來權衡兩者，並可應用於四巫日前後的流動性風險管理。</w:t>
      </w:r>
    </w:p>
    <w:p/>
    <w:p>
      <w:pPr>
        <w:pStyle w:val="Heading1"/>
      </w:pPr>
      <w:r>
        <w:rPr>
          <w:color w:val="1A1A6E"/>
        </w:rPr>
        <w:t>Paper 3: Option Prices from Operational-Time Reaction-Boundary Lattices</w:t>
      </w:r>
    </w:p>
    <w:p>
      <w:pPr>
        <w:spacing w:after="40"/>
      </w:pPr>
      <w:r>
        <w:rPr>
          <w:b/>
          <w:sz w:val="20"/>
        </w:rPr>
        <w:t xml:space="preserve">🔗 arXiv: </w:t>
      </w:r>
      <w:r>
        <w:rPr>
          <w:sz w:val="20"/>
        </w:rPr>
        <w:t>2606.09564</w:t>
      </w:r>
    </w:p>
    <w:p>
      <w:pPr>
        <w:spacing w:after="40"/>
      </w:pPr>
      <w:r>
        <w:rPr>
          <w:b/>
          <w:sz w:val="20"/>
        </w:rPr>
        <w:t xml:space="preserve">👤 Authors: </w:t>
      </w:r>
      <w:r>
        <w:rPr>
          <w:sz w:val="20"/>
        </w:rPr>
        <w:t>Chris Angstmann, Tim Gebbie</w:t>
      </w:r>
    </w:p>
    <w:p>
      <w:pPr>
        <w:spacing w:after="40"/>
      </w:pPr>
      <w:r>
        <w:rPr>
          <w:b/>
          <w:sz w:val="20"/>
        </w:rPr>
        <w:t xml:space="preserve">🏷️ Subjects: </w:t>
      </w:r>
      <w:r>
        <w:rPr>
          <w:sz w:val="20"/>
        </w:rPr>
        <w:t>Pricing of Securities (q-fin.PR); Mathematical Finance (q-fin.MF); Trading and Market Microstructure (q-fin.TR)</w:t>
      </w:r>
    </w:p>
    <w:p>
      <w:pPr>
        <w:spacing w:after="120"/>
      </w:pPr>
      <w:r>
        <w:rPr>
          <w:b/>
          <w:sz w:val="20"/>
        </w:rPr>
        <w:t xml:space="preserve">📂 Category: </w:t>
      </w:r>
      <w:r>
        <w:rPr>
          <w:sz w:val="20"/>
        </w:rPr>
        <w:t>💰 選擇權定價與微結構</w:t>
      </w:r>
    </w:p>
    <w:p>
      <w:pPr>
        <w:pStyle w:val="Heading2"/>
      </w:pPr>
      <w:r>
        <w:t>Abstract</w:t>
      </w:r>
    </w:p>
    <w:p>
      <w:pPr>
        <w:spacing w:line="320" w:lineRule="exact"/>
      </w:pPr>
      <w:r>
        <w:t>We consider the role of a continuum operational time u and its mapping to calendar time t and how these relate to event time for option pricing problems. We derive option-pricing equations from an operational-time Markov lattice rather than from a calendar-time diffusion. The primitive model is a nearest-neighbour log-price lattice with state- and time-dependent transition probabilities. Its Chapman-Kolmogorov decomposition yields discrete forward and backward equations, which converge under local finite-variance scaling to the usual continuum adjoint pair.</w:t>
        <w:br/>
        <w:br/>
      </w:r>
      <w:r>
        <w:t>In price variables, the backward equation gives a generalized European pricing PDE and reduces to Black-Scholes-Merton under the risk-neutral drift restriction and constant volatility. Interpreted as a reaction-boundary model for limit-order-book mid-prices, the construction identifies local volatility with an activity-rescaled risk-neutral bid-ask reaction-boundary variance. The framework separates the operational kernel, calendar-time projection, and pricing-measure choice, to clarify how unspanned clock, jump, or renewal risks can lead to incomplete-market pricing.</w:t>
        <w:br/>
        <w:br/>
      </w:r>
    </w:p>
    <w:p>
      <w:pPr>
        <w:pStyle w:val="Heading2"/>
      </w:pPr>
      <w:r>
        <w:t>評論與應用</w:t>
      </w:r>
    </w:p>
    <w:p>
      <w:pPr>
        <w:spacing w:line="320" w:lineRule="exact"/>
      </w:pPr>
      <w:r>
        <w:t>本篇文章從一個非常有趣的角度重新審視選擇權定價——用「運算時間（operational time）」取代日曆時間，並從 limit order book 的反應邊界 lattice 推導定價方程式。這套框架能自然地處理跳躍風險、時鐘風險（clock risk）等不完全市場因素。</w:t>
        <w:br/>
        <w:br/>
        <w:t>與您的關聯：四巫日前後市場微結構發生顯著變化（價差擴大、流動性不均），傳統 BSM 模型假設的連續時間擴散在此情境下失真。這篇提供的 operational-time lattice 框架可能更適合描述事件密集期間的選擇權價格行為。</w:t>
      </w:r>
    </w:p>
    <w:p/>
    <w:p>
      <w:pPr>
        <w:pStyle w:val="Heading1"/>
      </w:pPr>
      <w:r>
        <w:t>總結</w:t>
      </w:r>
    </w:p>
    <w:p>
      <w:r>
        <w:t>本週三篇精選論文分別涵蓋了商品 ETF 投組優化（厚尾報酬下的 CVaR 框架）、流動性緊縮下的穩健避險調整（HVA 指標），以及基於運算時間的選擇權定價模型（operational-time lattice）。三篇文章在實務上分別對應到資產配置、風險管理、衍生品定價三個面向，且都與商品期貨、選擇權交易有直接或間接的關聯。</w:t>
      </w:r>
    </w:p>
    <w:p>
      <w:pPr>
        <w:jc w:val="center"/>
      </w:pPr>
      <w:r>
        <w:rPr>
          <w:i/>
          <w:color w:val="999999"/>
          <w:sz w:val="18"/>
        </w:rPr>
        <w:t>— Report generated on 2026-06-27 11:50 Taiwan Time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