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麻将后台充值系统优化方案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根据登陆账号所属的渠道号和代理级别显示对应的价格表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eastAsia="zh-CN"/>
        </w:rPr>
        <w:t>渠道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 w:eastAsia="zh-CN"/>
        </w:rPr>
        <w:t>ID：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7501001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亲友文山麻将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普通代理价格表</w:t>
      </w:r>
    </w:p>
    <w:tbl>
      <w:tblPr>
        <w:tblStyle w:val="3"/>
        <w:tblW w:w="28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金额（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元）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房卡（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140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520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4000</w:t>
            </w:r>
          </w:p>
        </w:tc>
      </w:tr>
    </w:tbl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高级代理价格表</w:t>
      </w:r>
    </w:p>
    <w:tbl>
      <w:tblPr>
        <w:tblStyle w:val="3"/>
        <w:tblpPr w:leftFromText="180" w:rightFromText="180" w:vertAnchor="text" w:horzAnchor="page" w:tblpX="1806" w:tblpY="36"/>
        <w:tblOverlap w:val="never"/>
        <w:tblW w:w="28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金额（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元）</w:t>
            </w:r>
          </w:p>
        </w:tc>
        <w:tc>
          <w:tcPr>
            <w:tcW w:w="14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房卡（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550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1300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5000</w:t>
            </w:r>
          </w:p>
        </w:tc>
        <w:tc>
          <w:tcPr>
            <w:tcW w:w="14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50000</w:t>
            </w:r>
          </w:p>
        </w:tc>
      </w:tr>
    </w:tbl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eastAsia="zh-CN"/>
        </w:rPr>
        <w:t>渠道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 w:eastAsia="zh-CN"/>
        </w:rPr>
        <w:t>ID：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7501000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阿诗玛飞小鸡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普通代理价格表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高级代理价格表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eastAsia="zh-CN"/>
        </w:rPr>
        <w:t>渠道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  <w:lang w:val="en-US" w:eastAsia="zh-CN"/>
        </w:rPr>
        <w:t>ID：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 7501003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亲友楚雄麻将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普通代理价格表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高级代理价格表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234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2017-06-09T03:24:38Z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