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五週 Python 與人工智慧</w:t>
        <w:br/>
        <w:t>課程總覽與授課指南</w:t>
      </w:r>
    </w:p>
    <w:p>
      <w:pPr>
        <w:pStyle w:val="Subtitle"/>
      </w:pPr>
      <w:r>
        <w:rPr>
          <w:rFonts w:ascii="Microsoft JhengHei" w:hAnsi="Microsoft JhengHei" w:eastAsia="Microsoft JhengHei"/>
        </w:rPr>
        <w:t>總時數15小時  每週180分鐘  繁體中文零基礎教材</w:t>
      </w:r>
    </w:p>
    <w:p>
      <w:r>
        <w:rPr>
          <w:rFonts w:ascii="Microsoft JhengHei" w:hAnsi="Microsoft JhengHei" w:eastAsia="Microsoft JhengHei"/>
        </w:rPr>
        <w:t>本課從Python基本操作開始，以生活計算、資料整理、影像處理與簡易監督式分類逐週累積，讓學員能讀懂小型程式、修改輸入、完成作品並說明結果。每週170分鐘教學活動加10分鐘休息，五週合計850分鐘教學活動及50分鐘休息。</w:t>
      </w:r>
    </w:p>
    <w:p>
      <w:pPr>
        <w:pStyle w:val="Heading2"/>
      </w:pPr>
      <w:r>
        <w:t>課程配置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週次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主題與教材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當週作品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Python 起步與生活計算</w:t>
              <w:br/>
              <w:t>第1至3章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完成飲料訂單計算器，列出品項、杯數、總價與找零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條件判斷與重複處理</w:t>
              <w:br/>
              <w:t>第4至5章與第7章串列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完成多筆訂單運費計算與總額統計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函數與資料整理</w:t>
              <w:br/>
              <w:t>第6至9章選讀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完成成績摘要函數，保存為文字報告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NumPy 與 OpenCV 影像處理</w:t>
              <w:br/>
              <w:t>第10章影像與陣列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完成一條可重跑的影像處理流程</w:t>
            </w:r>
          </w:p>
        </w:tc>
      </w:tr>
      <w:tr>
        <w:tc>
          <w:tcPr>
            <w:tcW w:type="dxa" w:w="6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47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AI 分類入門與成果發表</w:t>
              <w:br/>
              <w:t>第11章與第15至16章概念</w:t>
            </w:r>
          </w:p>
        </w:tc>
        <w:tc>
          <w:tcPr>
            <w:tcW w:type="dxa" w:w="38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以平均RGB特徵建立紅綠藍色卡分類器，評估保留資料與陌生灰色樣本</w:t>
            </w:r>
          </w:p>
        </w:tc>
      </w:tr>
    </w:tbl>
    <w:p>
      <w:pPr>
        <w:pStyle w:val="Heading2"/>
      </w:pPr>
      <w:r>
        <w:t>學習範圍</w:t>
      </w:r>
    </w:p>
    <w:p>
      <w:r>
        <w:rPr>
          <w:rFonts w:ascii="Microsoft JhengHei" w:hAnsi="Microsoft JhengHei" w:eastAsia="Microsoft JhengHei"/>
        </w:rPr>
        <w:t>第1至7章為程式基礎主線，選取第8章檔案與例外、第9章匯入模組、第10章影像與NumPy、第11章機器學習概念。第12至16章以應用對照及延伸閱讀銜接。15小時不安排完整物件導向、巢狀迴圈、Office自動化、即時攝影機、人臉識別、OCR或深度模型部署。</w:t>
      </w:r>
    </w:p>
    <w:p>
      <w:r>
        <w:rPr>
          <w:rFonts w:ascii="Microsoft JhengHei" w:hAnsi="Microsoft JhengHei" w:eastAsia="Microsoft JhengHei"/>
        </w:rPr>
        <w:t>第5週的平均RGB最近中心分類器為配合零基礎與時數新增的簡化教學案例，對應教材第11章監督式學習及第16章資料、訓練、測試流程；不是教材原有的TFLite或Teachable Machine模型。</w:t>
      </w:r>
    </w:p>
    <w:p>
      <w:r/>
    </w:p>
    <w:p>
      <w:pPr>
        <w:pStyle w:val="Heading1"/>
      </w:pPr>
      <w:r>
        <w:t>課前環境與開課流程</w:t>
      </w:r>
    </w:p>
    <w:p>
      <w:r>
        <w:rPr>
          <w:rFonts w:ascii="Microsoft JhengHei" w:hAnsi="Microsoft JhengHei" w:eastAsia="Microsoft JhengHei"/>
        </w:rPr>
        <w:t>建議教室統一使用Python 3.12與JupyterLab。本機環境安裝完成後，核心活動可離線執行。第1至3週以標準函式庫為主；第4至5週使用NumPy、OpenCV與Pillow。每週檔案可以獨立由上而下執行。</w:t>
      </w:r>
    </w:p>
    <w:p>
      <w:pPr>
        <w:pStyle w:val="Heading2"/>
      </w:pPr>
      <w:r>
        <w:t>Windows 課前安裝</w:t>
      </w:r>
    </w:p>
    <w:p>
      <w:r>
        <w:rPr>
          <w:rFonts w:ascii="Microsoft JhengHei" w:hAnsi="Microsoft JhengHei" w:eastAsia="Microsoft JhengHei"/>
        </w:rPr>
        <w:t>先安裝可使用py命令的Python 3.12。將整個教學包解壓縮到可寫入的資料夾，在該資料夾開啟PowerShell，逐行執行下列命令。第一次安裝需要網路，請於上課前完成。</w:t>
      </w:r>
    </w:p>
    <w:p>
      <w:pPr>
        <w:spacing w:after="80"/>
      </w:pPr>
      <w:r>
        <w:rPr>
          <w:rFonts w:ascii="Microsoft JhengHei" w:hAnsi="Microsoft JhengHei" w:eastAsia="Microsoft JhengHei"/>
        </w:rPr>
        <w:t>py -3.12 -m venv .venv</w:t>
      </w:r>
    </w:p>
    <w:p>
      <w:pPr>
        <w:spacing w:after="80"/>
      </w:pPr>
      <w:r>
        <w:rPr>
          <w:rFonts w:ascii="Microsoft JhengHei" w:hAnsi="Microsoft JhengHei" w:eastAsia="Microsoft JhengHei"/>
        </w:rPr>
        <w:t>.\.venv\Scripts\python.exe -m pip install -r requirements.txt</w:t>
      </w:r>
    </w:p>
    <w:p>
      <w:pPr>
        <w:spacing w:after="80"/>
      </w:pPr>
      <w:r>
        <w:rPr>
          <w:rFonts w:ascii="Microsoft JhengHei" w:hAnsi="Microsoft JhengHei" w:eastAsia="Microsoft JhengHei"/>
        </w:rPr>
        <w:t>.\.venv\Scripts\python.exe -m jupyter lab</w:t>
      </w:r>
    </w:p>
    <w:p>
      <w:pPr>
        <w:pStyle w:val="Heading2"/>
      </w:pPr>
      <w:r>
        <w:t>學員第一次開啟 Notebook</w:t>
      </w:r>
    </w:p>
    <w:p>
      <w:r>
        <w:rPr>
          <w:rFonts w:ascii="Microsoft JhengHei" w:hAnsi="Microsoft JhengHei" w:eastAsia="Microsoft JhengHei"/>
        </w:rPr>
        <w:t>瀏覽器開啟JupyterLab後，在左側檔案區進入第1週，雙擊W01_學員實作.ipynb，選擇Python 3核心。點第一個程式格，按Shift+Enter。以另存新檔建立含姓名的副本；Ctrl+S儲存。程式格會出現執行數字與輸出，文字格則顯示說明。</w:t>
      </w:r>
    </w:p>
    <w:p>
      <w:pPr>
        <w:pStyle w:val="Heading2"/>
      </w:pPr>
      <w:r>
        <w:t>課前驗收</w:t>
      </w:r>
    </w:p>
    <w:p>
      <w:r>
        <w:rPr>
          <w:rFonts w:ascii="Microsoft JhengHei" w:hAnsi="Microsoft JhengHei" w:eastAsia="Microsoft JhengHei"/>
        </w:rPr>
        <w:t>講師先執行第1週問候語、第4週版本與色塊示範、第5週完整解答，確認可顯示圖片與寫入outputs。若套件找不到，核對Notebook核心對應的Python環境。OpenCV使用headless版本，適合Notebook內嵌顯示；本課不使用cv2.imshow視窗。</w:t>
      </w:r>
    </w:p>
    <w:p>
      <w:pPr>
        <w:pStyle w:val="Heading2"/>
      </w:pPr>
      <w:r>
        <w:t>備援方式</w:t>
      </w:r>
    </w:p>
    <w:p>
      <w:r>
        <w:rPr>
          <w:rFonts w:ascii="Microsoft JhengHei" w:hAnsi="Microsoft JhengHei" w:eastAsia="Microsoft JhengHei"/>
        </w:rPr>
        <w:t>每兩人一組配對，保留一台已驗收的備用電腦。安裝失敗者先共機操作，課後修復。Google Colab可作備援：上傳單週ipynb，先確認numpy、cv2、PIL可匯入，必要時安裝requirements中的核心套件。Colab需要網路，離開前下載Notebook與outputs內成果，不能只依賴暫存磁碟。核心實作不依賴外部資料路徑。</w:t>
      </w:r>
    </w:p>
    <w:p>
      <w:r/>
    </w:p>
    <w:p>
      <w:pPr>
        <w:pStyle w:val="Heading1"/>
      </w:pPr>
      <w:r>
        <w:t>檔案使用與教材對照</w:t>
      </w:r>
    </w:p>
    <w:p>
      <w:r>
        <w:rPr>
          <w:rFonts w:ascii="Microsoft JhengHei" w:hAnsi="Microsoft JhengHei" w:eastAsia="Microsoft JhengHei"/>
        </w:rPr>
        <w:t>每週包含學員實作ipynb、講師解答ipynb、逐字講稿docx及教學簡報pptx。W1-01等單元編號在三種教材中一致。講稿時間表列出簡報頁碼；原教材圖文頁也列在對應單元內。先發學員版，解答版於練習或課後核對使用。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週次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直接引用的原教材投影片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CH01PPT.ppt 第12頁；CH03PPT.ppt 第5頁；CH03PPT.ppt 第23頁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CH04PPT.ppt 第28頁；CH05PPT.ppt 第8頁；CH05PPT.ppt 第13頁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CH06PPT.ppt 第7頁；CH06PPT.ppt 第32頁；CH07PPT.ppt 第41頁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CH10PPT.ppt 第34頁；CH10PPT.ppt 第13頁；CH10PPT.ppt 第17頁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CH11PPT.ppt 第11頁；CH11PPT.ppt 第19頁；CH16PPT.ppt 第4頁</w:t>
            </w:r>
          </w:p>
        </w:tc>
      </w:tr>
    </w:tbl>
    <w:p>
      <w:r>
        <w:rPr>
          <w:rFonts w:ascii="Microsoft JhengHei" w:hAnsi="Microsoft JhengHei" w:eastAsia="Microsoft JhengHei"/>
        </w:rPr>
        <w:t>原教材圖文以完整頁面嵌入以保留版面與圖解，新增的教學文字、程式碼與練習可在PowerPoint編輯。原頁中的執行環境、檔名及套件版本僅供對照；實際操作以Notebook與本課環境指南為準。完整原PPT仍保留在教材資料夾。</w:t>
      </w:r>
    </w:p>
    <w:p>
      <w:pPr>
        <w:pStyle w:val="Heading2"/>
      </w:pPr>
      <w:r>
        <w:t>各章延伸路線</w:t>
      </w:r>
    </w:p>
    <w:p>
      <w:r>
        <w:rPr>
          <w:rFonts w:ascii="Microsoft JhengHei" w:hAnsi="Microsoft JhengHei" w:eastAsia="Microsoft JhengHei"/>
        </w:rPr>
        <w:t>完成第3週後可延伸第8章類別與第9章Office自動化。完成第4週後可延伸第10章Webcam。完成第5週後，可依序閱讀第12章人臉偵測、第13章手勢與姿態、第14章整合、第15章預訓練影像分類及OCR、第16章Teachable Machine。這些延伸需另安排環境驗證與授課時數。</w:t>
      </w:r>
    </w:p>
    <w:p>
      <w:pPr>
        <w:pStyle w:val="Heading2"/>
      </w:pPr>
      <w:r>
        <w:t>操作參考文件</w:t>
      </w:r>
    </w:p>
    <w:p>
      <w:r>
        <w:rPr>
          <w:rFonts w:ascii="Microsoft JhengHei" w:hAnsi="Microsoft JhengHei" w:eastAsia="Microsoft JhengHei"/>
        </w:rPr>
        <w:t>Jupyter Notebook執行儲存格說明：https://jupyter-notebook.readthedocs.io/en/v7.5.2/examples/Notebook/Running%20Code.html</w:t>
      </w:r>
    </w:p>
    <w:p>
      <w:r>
        <w:rPr>
          <w:rFonts w:ascii="Microsoft JhengHei" w:hAnsi="Microsoft JhengHei" w:eastAsia="Microsoft JhengHei"/>
        </w:rPr>
        <w:t>OpenCV影像操作說明：https://docs.opencv.org/4.12.0/d5/d98/tutorial_mat_operations.html</w:t>
      </w:r>
    </w:p>
    <w:p>
      <w:r/>
    </w:p>
    <w:p>
      <w:pPr>
        <w:pStyle w:val="Heading1"/>
      </w:pPr>
      <w:r>
        <w:t>學習檢核與評量</w:t>
      </w:r>
    </w:p>
    <w:p>
      <w:r>
        <w:rPr>
          <w:rFonts w:ascii="Microsoft JhengHei" w:hAnsi="Microsoft JhengHei" w:eastAsia="Microsoft JhengHei"/>
        </w:rPr>
        <w:t>形成性評量以每週作品與口頭解釋為主，不要求背誦全部語法。每週至少保留兩組輸入的預測與結果，交件前重新啟動核心並全部執行。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週次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最低完成標準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測試A：105、95；測試B：80、20。輸出須含品項、杯數、總價、找零。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五筆付款20、119、100、101、200；總付款540、免運3筆。空串列為0、0。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3人、平均66.67、及格2人；空資料顯示無資料，避免除以零或格式錯誤。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兩者shape=(60,90)，像素只含0或255；讀回binary.png應成功。</w:t>
            </w:r>
          </w:p>
        </w:tc>
      </w:tr>
      <w:tr>
        <w:tc>
          <w:tcPr>
            <w:tcW w:type="dxa" w:w="8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842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CSV有6筆結果；中心以npz保存；結論包含6/6、人工色卡限制、灰色被迫分類。</w:t>
            </w:r>
          </w:p>
        </w:tc>
      </w:tr>
    </w:tbl>
    <w:p>
      <w:pPr>
        <w:pStyle w:val="Heading2"/>
      </w:pPr>
      <w:r>
        <w:t>期末專題評量表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面向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配分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滿分標準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可執行性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30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乾淨核心可重跑，輸出CSV與模型中心。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概念解釋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能說明平均RGB、中心、訓練與推論。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評估方法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訓練與測試分開，列出6筆結果與正確率。</w:t>
            </w:r>
          </w:p>
        </w:tc>
      </w:tr>
      <w:tr>
        <w:tc>
          <w:tcPr>
            <w:tcW w:type="dxa" w:w="15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限制與表達</w:t>
            </w:r>
          </w:p>
        </w:tc>
        <w:tc>
          <w:tcPr>
            <w:tcW w:type="dxa" w:w="7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</w:t>
            </w:r>
          </w:p>
        </w:tc>
        <w:tc>
          <w:tcPr>
            <w:tcW w:type="dxa" w:w="6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說明人工色卡範圍、灰色案例及距離不是機率。</w:t>
            </w:r>
          </w:p>
        </w:tc>
      </w:tr>
    </w:tbl>
    <w:p>
      <w:r>
        <w:rPr>
          <w:rFonts w:ascii="Microsoft JhengHei" w:hAnsi="Microsoft JhengHei" w:eastAsia="Microsoft JhengHei"/>
        </w:rPr>
        <w:t>各面向依完成程度給分：全部符合給該面向滿分，完成主要部分但需提示給約70%，僅少量可辨識成果給約40%，未呈現給0分。總分60為達標，且必須具備可重跑與訓練測試分離兩項核心證據。</w:t>
      </w:r>
    </w:p>
    <w:p>
      <w:pPr>
        <w:pStyle w:val="Heading2"/>
      </w:pPr>
      <w:r>
        <w:t>差異化教學與時間調整</w:t>
      </w:r>
    </w:p>
    <w:p>
      <w:r>
        <w:rPr>
          <w:rFonts w:ascii="Microsoft JhengHei" w:hAnsi="Microsoft JhengHei" w:eastAsia="Microsoft JhengHei"/>
        </w:rPr>
        <w:t>落後組先成功跑示範並只改一個輸入，教師以第一個錯誤為介入點。進階組增加邊界案例或寫成函數，不提早引入新套件。第5週發表預設最多8組每組90秒，保留8分鐘整理；超過8組採兩組互講，再抽樣全班分享，維持180分鐘。</w:t>
      </w:r>
    </w:p>
    <w:p>
      <w:r/>
    </w:p>
    <w:p>
      <w:pPr>
        <w:pStyle w:val="Heading1"/>
      </w:pPr>
      <w:r>
        <w:t>常見問題與講師處理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症狀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8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/>
                <w:sz w:val="20"/>
              </w:rPr>
              <w:t>檢查與處理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NameError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確認名稱拼字，再依順序執行定義所在格。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IndentationError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區塊用四個空格，檢查冒號，不混用Tab。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ValueError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檢查文字是否可轉型；第3週加入try與範圍檢查。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套件找不到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先印sys.executable，確認核心與安裝環境一致。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執行一直忙碌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中斷核心，檢查while更新條件，必要時重新啟動。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圖片紅藍交換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OpenCV BGR轉成RGB後再以Pillow顯示。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讀圖結果None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檢查路徑與編碼；使用本課位元組讀取工具。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總額只剩最後一筆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檢查初始化是否錯放迴圈內。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全部執行結果改變</w:t>
            </w:r>
          </w:p>
        </w:tc>
        <w:tc>
          <w:tcPr>
            <w:tcW w:type="dxa" w:w="70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移除隱藏執行順序依賴，練習函數勿留未完成版本。</w:t>
            </w:r>
          </w:p>
        </w:tc>
      </w:tr>
    </w:tbl>
    <w:p>
      <w:pPr>
        <w:pStyle w:val="Heading2"/>
      </w:pPr>
      <w:r>
        <w:t>作品提交清單</w:t>
      </w:r>
    </w:p>
    <w:p>
      <w:r>
        <w:rPr>
          <w:rFonts w:ascii="Microsoft JhengHei" w:hAnsi="Microsoft JhengHei" w:eastAsia="Microsoft JhengHei"/>
        </w:rPr>
        <w:t>每週提交含姓名的ipynb，保留實際輸出與練習說明。第3週另交final_report.txt，第4週另交binary.png，第5週另交predictions.csv、color_model.npz及conclusion.txt。outputs以啟動Notebook時的工作目錄為基準，用Path.resolve可查實際位置。</w:t>
      </w:r>
    </w:p>
    <w:p>
      <w:pPr>
        <w:pStyle w:val="Heading2"/>
      </w:pPr>
      <w:r>
        <w:t>逐字稿使用提醒</w:t>
      </w:r>
    </w:p>
    <w:p>
      <w:r>
        <w:rPr>
          <w:rFonts w:ascii="Microsoft JhengHei" w:hAnsi="Microsoft JhengHei" w:eastAsia="Microsoft JhengHei"/>
        </w:rPr>
        <w:t>逐字稿包含開場、概念、操作提示、練習口令、答案與收束。教師在標記時間內搭配實際指圖、打字、等待回應與巡視，不應把練習時間改成連續朗讀。授課前先用自己的語速演練，必要時刪減延伸解說，保留動手做與檢核。</w:t>
      </w:r>
    </w:p>
    <w:sectPr w:rsidR="00FC693F" w:rsidRPr="0006063C" w:rsidSect="00034616">
      <w:footerReference w:type="default" r:id="rId9"/>
      <w:pgSz w:w="11909" w:h="16834"/>
      <w:pgMar w:top="979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sz w:val="18"/>
      </w:rPr>
      <w:t xml:space="preserve">講師用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