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2FDC8">
      <w:pPr>
        <w:spacing w:line="300" w:lineRule="auto"/>
        <w:rPr>
          <w:rFonts w:ascii="Times New Roman" w:hAnsi="Times New Roman" w:eastAsia="宋体" w:cs="Times New Roman"/>
          <w:sz w:val="24"/>
          <w:szCs w:val="24"/>
          <w14:ligatures w14:val="none"/>
        </w:rPr>
      </w:pPr>
      <w:r>
        <w:rPr>
          <w:rFonts w:hint="eastAsia" w:ascii="Times New Roman" w:hAnsi="Times New Roman" w:eastAsia="宋体" w:cs="Times New Roman"/>
          <w:sz w:val="24"/>
          <w:szCs w:val="24"/>
          <w14:ligatures w14:val="none"/>
        </w:rPr>
        <w:t>附录一、研究报告格式</w:t>
      </w:r>
    </w:p>
    <w:p w14:paraId="6B8EEA19">
      <w:pPr>
        <w:spacing w:line="480" w:lineRule="auto"/>
        <w:jc w:val="center"/>
        <w:rPr>
          <w:rFonts w:ascii="Times New Roman" w:hAnsi="Times New Roman" w:eastAsia="黑体" w:cs="Times New Roman"/>
          <w:b/>
          <w:bCs/>
          <w:sz w:val="32"/>
          <w:szCs w:val="32"/>
          <w14:ligatures w14:val="none"/>
        </w:rPr>
      </w:pPr>
      <w:r>
        <w:rPr>
          <w:rFonts w:hint="eastAsia" w:ascii="Times New Roman" w:hAnsi="Times New Roman" w:eastAsia="黑体" w:cs="Times New Roman"/>
          <w:b/>
          <w:bCs/>
          <w:sz w:val="32"/>
          <w:szCs w:val="32"/>
          <w14:ligatures w14:val="none"/>
        </w:rPr>
        <w:t>对Christensen</w:t>
      </w:r>
      <w:r>
        <w:rPr>
          <w:rFonts w:hint="eastAsia" w:ascii="Times New Roman" w:hAnsi="Times New Roman" w:eastAsia="黑体" w:cs="Times New Roman"/>
          <w:b/>
          <w:bCs/>
          <w:i/>
          <w:iCs/>
          <w:sz w:val="32"/>
          <w:szCs w:val="32"/>
          <w14:ligatures w14:val="none"/>
        </w:rPr>
        <w:t>(</w:t>
      </w:r>
      <w:r>
        <w:rPr>
          <w:rFonts w:hint="eastAsia" w:ascii="Times New Roman" w:hAnsi="Times New Roman" w:eastAsia="黑体" w:cs="Times New Roman"/>
          <w:b/>
          <w:bCs/>
          <w:i/>
          <w:iCs/>
          <w:sz w:val="32"/>
          <w:szCs w:val="32"/>
          <w:lang w:val="en-US" w:eastAsia="zh-CN"/>
          <w14:ligatures w14:val="none"/>
        </w:rPr>
        <w:t>2018</w:t>
      </w:r>
      <w:r>
        <w:rPr>
          <w:rFonts w:hint="eastAsia" w:ascii="Times New Roman" w:hAnsi="Times New Roman" w:eastAsia="黑体" w:cs="Times New Roman"/>
          <w:b/>
          <w:bCs/>
          <w:i/>
          <w:iCs/>
          <w:sz w:val="32"/>
          <w:szCs w:val="32"/>
          <w14:ligatures w14:val="none"/>
        </w:rPr>
        <w:t>)</w:t>
      </w:r>
      <w:r>
        <w:rPr>
          <w:rFonts w:hint="eastAsia" w:ascii="Times New Roman" w:hAnsi="Times New Roman" w:eastAsia="黑体" w:cs="Times New Roman"/>
          <w:b/>
          <w:bCs/>
          <w:sz w:val="32"/>
          <w:szCs w:val="32"/>
          <w14:ligatures w14:val="none"/>
        </w:rPr>
        <w:t>研究结果的计算可重复性检验</w:t>
      </w:r>
    </w:p>
    <w:p w14:paraId="145B83CE">
      <w:pPr>
        <w:spacing w:line="300" w:lineRule="auto"/>
        <w:rPr>
          <w:rFonts w:ascii="Times New Roman" w:hAnsi="Times New Roman" w:eastAsia="宋体" w:cs="Times New Roman"/>
          <w:b/>
          <w:bCs/>
          <w:szCs w:val="21"/>
          <w14:ligatures w14:val="none"/>
        </w:rPr>
      </w:pPr>
    </w:p>
    <w:p w14:paraId="012DBFE0">
      <w:pPr>
        <w:spacing w:line="300" w:lineRule="auto"/>
        <w:rPr>
          <w:rFonts w:hint="eastAsia"/>
        </w:rPr>
      </w:pPr>
      <w:r>
        <w:rPr>
          <w:rFonts w:hint="eastAsia" w:ascii="Times New Roman" w:hAnsi="Times New Roman" w:eastAsia="宋体" w:cs="Times New Roman"/>
          <w:b/>
          <w:bCs/>
          <w:szCs w:val="21"/>
          <w14:ligatures w14:val="none"/>
        </w:rPr>
        <w:t>摘要</w:t>
      </w:r>
      <w:r>
        <w:rPr>
          <w:rFonts w:hint="eastAsia" w:ascii="Times New Roman" w:hAnsi="Times New Roman" w:eastAsia="宋体" w:cs="Times New Roman"/>
          <w:szCs w:val="21"/>
          <w14:ligatures w14:val="none"/>
        </w:rPr>
        <w:t>：</w:t>
      </w:r>
      <w:r>
        <w:t>20</w:t>
      </w:r>
      <w:r>
        <w:rPr>
          <w:rFonts w:hint="eastAsia"/>
        </w:rPr>
        <w:t>开放性体验（Openness to Experience）指个体对新奇经验和观念的喜爱，它与许多认知过程存在联系。例如，开放性体验水平较高的人通常比开放性体验水平较低的人更具创造力，也拥有更广泛的一般知识。</w:t>
      </w:r>
    </w:p>
    <w:p w14:paraId="315AED2F">
      <w:pPr>
        <w:spacing w:line="300" w:lineRule="auto"/>
        <w:rPr>
          <w:rFonts w:hint="eastAsia"/>
        </w:rPr>
      </w:pPr>
    </w:p>
    <w:p w14:paraId="1E532059">
      <w:pPr>
        <w:spacing w:line="300" w:lineRule="auto"/>
        <w:rPr>
          <w:rFonts w:hint="eastAsia"/>
        </w:rPr>
      </w:pPr>
      <w:r>
        <w:rPr>
          <w:rFonts w:hint="eastAsia"/>
        </w:rPr>
        <w:t>在本研究中，我们采用网络科学方法，考察高开放性体验组与低开放性体验组在语义记忆组织方式上是否存在差异。共有 516 名成年人完成了 NEO-FFI-3、Big Five Aspect Scales 中的开放性体验量表，以及一项语义言语流畅性任务。随后，研究者将样本平均分为高开放性体验组（n = 258）和低开放性体验组（n = 258）。接着，研究者根据参与者在言语流畅性任务中的反应构建语义网络。</w:t>
      </w:r>
    </w:p>
    <w:p w14:paraId="4379E062">
      <w:pPr>
        <w:spacing w:line="300" w:lineRule="auto"/>
        <w:rPr>
          <w:rFonts w:hint="eastAsia"/>
        </w:rPr>
      </w:pPr>
    </w:p>
    <w:p w14:paraId="393B1E78">
      <w:pPr>
        <w:spacing w:line="300" w:lineRule="auto"/>
        <w:rPr>
          <w:rFonts w:hint="eastAsia"/>
        </w:rPr>
      </w:pPr>
      <w:r>
        <w:rPr>
          <w:rFonts w:hint="eastAsia"/>
        </w:rPr>
        <w:t>结果显示，与低开放性体验组相比，高开放性体验组的语义网络具有更强的互联性和灵活性，并且其联想的局部组织也更好。我们还发现，高开放性体验组平均生成的反应数量更多，并且提供了更多独特反应。总体而言，研究结果表明，开放性体验与语义记忆结构有关。</w:t>
      </w:r>
    </w:p>
    <w:p w14:paraId="682288AE">
      <w:pPr>
        <w:spacing w:line="300" w:lineRule="auto"/>
        <w:rPr>
          <w:rFonts w:hint="eastAsia"/>
        </w:rPr>
      </w:pPr>
    </w:p>
    <w:p w14:paraId="7EF28954">
      <w:pPr>
        <w:spacing w:line="300" w:lineRule="auto"/>
        <w:rPr>
          <w:rFonts w:hint="eastAsia" w:ascii="Times New Roman" w:hAnsi="Times New Roman" w:eastAsia="宋体" w:cs="Times New Roman"/>
          <w:szCs w:val="21"/>
          <w:lang w:val="en-US" w:eastAsia="zh-CN"/>
          <w14:ligatures w14:val="none"/>
        </w:rPr>
      </w:pPr>
      <w:r>
        <w:rPr>
          <w:rFonts w:hint="eastAsia" w:ascii="Times New Roman" w:hAnsi="Times New Roman" w:eastAsia="宋体" w:cs="Times New Roman"/>
          <w:b/>
          <w:bCs/>
          <w:szCs w:val="21"/>
          <w14:ligatures w14:val="none"/>
        </w:rPr>
        <w:t>关键词</w:t>
      </w:r>
      <w:r>
        <w:rPr>
          <w:rFonts w:hint="eastAsia" w:ascii="Times New Roman" w:hAnsi="Times New Roman" w:eastAsia="宋体" w:cs="Times New Roman"/>
          <w:szCs w:val="21"/>
          <w14:ligatures w14:val="none"/>
        </w:rPr>
        <w:t>：</w:t>
      </w:r>
      <w:r>
        <w:rPr>
          <w:rFonts w:hint="eastAsia" w:ascii="Times New Roman" w:hAnsi="Times New Roman" w:eastAsia="宋体" w:cs="Times New Roman"/>
          <w:szCs w:val="21"/>
          <w:lang w:val="en-US" w:eastAsia="zh-CN"/>
          <w14:ligatures w14:val="none"/>
        </w:rPr>
        <w:t>经验开放性；语义记忆；网络分析；语义网络</w:t>
      </w:r>
    </w:p>
    <w:p w14:paraId="2EDC7BE2">
      <w:pPr>
        <w:spacing w:line="300" w:lineRule="auto"/>
        <w:rPr>
          <w:rFonts w:hint="default" w:ascii="Times New Roman" w:hAnsi="Times New Roman" w:eastAsia="宋体" w:cs="Times New Roman"/>
          <w:szCs w:val="21"/>
          <w:lang w:val="en-US" w:eastAsia="zh-CN"/>
          <w14:ligatures w14:val="none"/>
        </w:rPr>
      </w:pPr>
    </w:p>
    <w:p w14:paraId="398B6562">
      <w:pPr>
        <w:spacing w:line="300" w:lineRule="auto"/>
        <w:rPr>
          <w:rFonts w:ascii="Times New Roman" w:hAnsi="Times New Roman" w:eastAsia="宋体" w:cs="Times New Roman"/>
          <w:sz w:val="28"/>
          <w:szCs w:val="28"/>
          <w14:ligatures w14:val="none"/>
        </w:rPr>
      </w:pPr>
      <w:r>
        <w:rPr>
          <w:rFonts w:ascii="Times New Roman" w:hAnsi="Times New Roman" w:eastAsia="宋体" w:cs="Times New Roman"/>
          <w:sz w:val="28"/>
          <w:szCs w:val="28"/>
          <w14:ligatures w14:val="none"/>
        </w:rPr>
        <w:t>1</w:t>
      </w:r>
      <w:r>
        <w:rPr>
          <w:rFonts w:hint="eastAsia" w:ascii="Times New Roman" w:hAnsi="Times New Roman" w:eastAsia="宋体" w:cs="Times New Roman"/>
          <w:sz w:val="28"/>
          <w:szCs w:val="28"/>
          <w14:ligatures w14:val="none"/>
        </w:rPr>
        <w:t xml:space="preserve"> 引言</w:t>
      </w:r>
    </w:p>
    <w:p w14:paraId="33BD42D5">
      <w:pPr>
        <w:spacing w:line="300" w:lineRule="auto"/>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.1 所选文献</w:t>
      </w:r>
    </w:p>
    <w:p w14:paraId="7EB9C43C">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文献：Remotely Close Associations: Openness to Experience and Semantic Memory Structure</w:t>
      </w:r>
    </w:p>
    <w:p w14:paraId="37AA305A">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数据及代码：https://osf.io/craky/overview</w:t>
      </w:r>
    </w:p>
    <w:p w14:paraId="170DBE98">
      <w:pPr>
        <w:spacing w:line="300" w:lineRule="auto"/>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.2 文献介绍</w:t>
      </w:r>
    </w:p>
    <w:p w14:paraId="25ECDB1D">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Christensen、Kenett、Cotter、Beaty 和 Silvia 的研究《Remotely Close Associations: Openness to Experience and Semantic Memory Structure》关注人格特质中的开放性体验与语义记忆结构之间的关系。以往研究表明，开放性体验与创造力、智力、工作记忆和知识广度等认知变量密切相关，高开放性体验个体通常更具好奇心、想象力和创造性，也更倾向于积累广泛的一般知识。然而，已有研究较少直接考察开放性体验是否与语义记忆的组织结构有关。因此，该研究将语义记忆视为可能连接开放性体验与认知表现的重要机制，并采用网络科学方法对这一问题进行检验。</w:t>
      </w:r>
    </w:p>
    <w:p w14:paraId="3C2891D7">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该研究的主要问题是：高开放性体验个体与低开放性体验个体在语义记忆的网络结构上是否存在差异。研究者预测，由于开放性体验与创造力关系密切，而高创造力个体通常具有更互联、更灵活的语义网络，因此高开放性体验组的语义网络也应表现出类似特征，即平均最短路径长度（ASPL）更低、模块化程度（Q）更低，反映其语义概念之间联系更紧密、结构更灵活。研究同时考察了两组在语义言语流畅性任务中的行为表现差异，包括总反应数量和独特反应数量。</w:t>
      </w:r>
    </w:p>
    <w:p w14:paraId="595AE395">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研究共纳入 516 名成年人，参与者完成开放性体验量表和动物类别语义言语流畅性任务。研究者依据开放性体验得分将样本平均分为高开放性体验组和低开放性体验组，并根据两组在语义流畅性任务中的动物词反应构建语义网络。结果显示，与低开放性体验组相比，高开放性体验组生成的反应数量更多，独特反应也更多。在网络结构方面，高开放性体验组的语义网络表现出更低的平均最短路径长度、更低的模块化程度以及更高的聚类系数，说明其语义网络更互联、更灵活，并具有更好的局部组织。进一步的 bootstrap 部分网络分析也支持这些结果。</w:t>
      </w:r>
    </w:p>
    <w:p w14:paraId="3F47BB08">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总体而言，该研究认为开放性体验不仅与创造力和知识积累等一般认知特征有关，也与语义记忆的结构性特征有关。高开放性体验个体的语义记忆网络可能更有利于概念之间的激活扩散、联想转换和远距离概念提取，从而使其在语义流畅性任务中表现出更多、更独特的反应。研究结论支持了人格差异可能与语义信息的组织、提取和应用方式直接相关的观点。</w:t>
      </w:r>
    </w:p>
    <w:p w14:paraId="3DDEEEC8">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2 </w:t>
      </w:r>
      <w:r>
        <w:rPr>
          <w:rFonts w:hint="eastAsia" w:ascii="Times New Roman" w:hAnsi="Times New Roman" w:eastAsia="宋体" w:cs="Times New Roman"/>
          <w:b/>
          <w:bCs/>
          <w:sz w:val="28"/>
          <w:szCs w:val="28"/>
          <w14:ligatures w14:val="none"/>
        </w:rPr>
        <w:t>方法</w:t>
      </w:r>
    </w:p>
    <w:p w14:paraId="2C7B566F">
      <w:pPr>
        <w:spacing w:line="300" w:lineRule="auto"/>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2</w:t>
      </w:r>
      <w:r>
        <w:rPr>
          <w:rFonts w:hint="eastAsia" w:ascii="Times New Roman" w:hAnsi="Times New Roman" w:eastAsia="宋体" w:cs="Times New Roman"/>
          <w:b/>
          <w:bCs/>
          <w:szCs w:val="24"/>
          <w14:ligatures w14:val="none"/>
        </w:rPr>
        <w:t>.1 原研究方法简介</w:t>
      </w:r>
    </w:p>
    <w:p w14:paraId="2E09937C">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2.1 原研究方法简介</w:t>
      </w:r>
    </w:p>
    <w:p w14:paraId="5DA74832">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Christensen 等人的研究采用组间比较设计，考察开放性体验高低不同的个体在语义记忆结构上是否存在差异。原研究共纳入 516 名成年人，参与者完成开放性体验相关问卷，包括 NEO-FFI-3 和 Big Five Aspect Scales 中的开放性体验相关量表，同时完成动物类别的语义言语流畅性任务。该任务要求参与者在限定时间内尽可能多地生成动物名称，用于反映其语义记忆中动物概念的提取和组织方式。</w:t>
      </w:r>
    </w:p>
    <w:p w14:paraId="3E53BB41">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在分组方面，原研究首先根据开放性体验相关问卷计算开放性体验潜变量得分。由于开放性体验与认知能力、智力自评等变量存在较强联系，原研究在构造开放性体验指标时排除了与智力或认知能力明显相关的题项，以减少认知能力对语义网络结构的混淆影响。随后，研究者根据开放性体验潜变量得分对全部样本进行排序，并将样本平均分为低开放性体验组和高开放性体验组，每组各 258 人。</w:t>
      </w:r>
    </w:p>
    <w:p w14:paraId="0B789B32">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原研究的数据分析主要包括行为分析和语义网络分析两个部分。行为分析关注两组在动物语义流畅性任务中的表现差异，包括参与者生成动物词的总数量，以及高、低开放性体验组各自生成的独特动物词数量。研究者使用相关分析检验开放性体验得分与总反应数量之间的关系，使用独立样本 t 检验比较两组总反应数量的差异，并使用 McNemar 检验比较两组独特反应数量的差异。</w:t>
      </w:r>
    </w:p>
    <w:p w14:paraId="23413402">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语义网络分析则是原研究的核心。研究者将动物词作为网络节点，将不同动物词之间的共现关系或相似性作为网络边，分别构建高开放性体验组和低开放性体验组的语义网络。为了保证两组网络可以直接比较，原研究首先删除出现次数过少的词条，并对两组网络节点进行等化处理，使两组网络包含相同的动物词节点。随后，研究者使用余弦相似性计算词条之间的关联程度，并采用 Triangulated Maximally Filtered Graph（TMFG）方法构建语义网络。最后，研究者计算三个主要网络指标：平均最短路径长度（ASPL）、聚类系数（CC）和模块化程度（Q）。其中，较低的 ASPL 表示网络中概念之间的距离更短、互联性更强；较高的 CC 表示局部联想组织更紧密；较低的 Q 表示网络模块划分较弱、结构更灵活。原研究进一步通过部分网络 bootstrap 方法，在保留不同比例节点的条件下重复构建网络，以检验高、低开放性体验组网络差异的稳定性。</w:t>
      </w:r>
    </w:p>
    <w:p w14:paraId="57651FA1">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2.2 复现部分、数据与代码说明</w:t>
      </w:r>
    </w:p>
    <w:p w14:paraId="797B0632">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次复现主要选取原文结果中的行为分析和语义网络分析部分进行计算可重复性检验。具体而言，复现内容包括：（1）开放性体验相关量表的信度检验；（2）动物语义流畅性任务中总反应数量与开放性体验潜变量得分之间的相关分析；（3）高、低开放性体验组在总反应数量上的独立样本 t 检验；（4）高、低开放性体验组独特动物词数量的 McNemar 检验及效应量计算；（5）高、低开放性体验组语义网络的构建；（6）两组完整网络的 ASPL、CC 和 Q 指标计算；（7）部分网络 bootstrap 检验；（8）敏感性分析及 Cytoscape 网络输入文件导出。</w:t>
      </w:r>
    </w:p>
    <w:p w14:paraId="4E42D4F8">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本次复现使用的数据主要包括两个文件。第一个文件为 `FINAL fluency.csv`，包含参与者在动物语义流畅性任务中的原始回答，是语义网络构建和行为分析的基础数据。第二个文件为 `FINAL open.csv`，包含开放性体验相关问卷数据及作者已经计算好的开放性体验潜变量得分，其中 `no_int` 变量用于按照原研究逻辑划分高、低开放性体验组。由于原研究中开放性体验潜变量的构建涉及 Mplus 中的验证性因素分析，本次复现未重新执行 Mplus 潜变量建模，而是直接使用作者提供的 `FINAL open.csv` 中的 `no_int` 变量进行分组。因此，本次复现重点检验的是原文在清洗语义流畅性数据之后的行为统计、语义网络构建和网络差异检验结果，而不是完整复现原文中开放性体验潜变量的生成过程。</w:t>
      </w:r>
    </w:p>
    <w:p w14:paraId="692E9C6D">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在代码方面，原作者提供了 R 代码，主要使用 `SemNetCleaner` 对语义流畅性回答进行清洗，使用 `psych` 计算量表信度，使用 `NetworkToolbox` 构建 TMFG 网络并计算网络指标，同时使用部分网络 bootstrap 方法比较高、低开放性体验组的网络结构差异。原代码还将网络导出为 Cytoscape 可读取的文件，用于后续网络可视化。</w:t>
      </w:r>
    </w:p>
    <w:p w14:paraId="1798C76A">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本次复现并未完全逐行运行作者原始代码，而是在保留原分析流程的基础上编写了兼容当前 R 包版本的复现脚本。这样处理的主要原因是作者原代码中使用的部分函数名称或接口已经发生变化，例如 `semnetcleaner()`、`autoDeStr()`、`cosine()`、`partboot()` 和 `partboot.test()` 等旧版函数在当前版本的 `SemNetCleaner` 或 `SemNeT` 中已经被改名、移动或替代。因此，本次复现改用当前版本中可用的函数完成相同或近似的分析流程，例如使用 `textcleaner()` 清洗文本，使用 `similarity(method = "cosine")` 计算余弦相似性，使用 `bootSemNeT()` 进行部分网络 bootstrap，并使用 `test.bootSemNeT()` 对 bootstrap 结果进行统计检验。</w:t>
      </w:r>
    </w:p>
    <w:p w14:paraId="12D24C18">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具体复现流程如下。首先，读取 `FINAL fluency.csv` 和 `FINAL open.csv`，并检查两个数据文件的样本量和被试顺序是否一致。其次，对语义流畅性原始回答进行文本清洗，将参与者生成的动物词转换为二值矩阵，即每一行代表一名参与者，每一列代表一个动物词，单元格中的 1 表示该参与者生成过该动物词，0 表示未生成。随后，根据作者原代码中的说明进行手工修正，例如将混合词 `catefrog` 拆分为 `cat` 和 `frog`，并对第 386 行和第 499 行缺失的动物回答进行手工补录。</w:t>
      </w:r>
    </w:p>
    <w:p w14:paraId="67DC26B1">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完成数据清洗后，将动物词二值矩阵与开放性体验潜变量数据合并，并按照 `no_int` 得分从低到高排序，将前一半参与者划分为低开放性体验组，后一半参与者划分为高开放性体验组。之后进行行为分析，包括计算每名参与者的动物总反应数、检验总反应数与开放性体验得分之间的相关、比较高低组总反应数差异，以及比较两组独特动物词数量差异。</w:t>
      </w:r>
    </w:p>
    <w:p w14:paraId="6EA39994">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在语义网络分析中，首先删除出现次数过少的动物词，并对高、低开放性体验组的动物词节点进行等化处理，以保证两组网络具有相同节点集合。随后，使用余弦相似性矩阵表示动物词之间的关联程度，并基于 TMFG 方法分别构建高、低开放性体验组的语义网络。接着计算两组网络的 ASPL、CC 和 Q 三项指标，并与原文报告结果进行比较。最后，使用部分网络 bootstrap 方法在 50%、60%、70%、80% 和 90% 节点保留比例下重复构建网络，每种比例重复 1000 次，以检验两组网络指标差异是否稳定。同时，本次复现还运行了敏感性分析，用于考察结果是否受到节点等化方式或低频词条处理方式的影响。</w:t>
      </w:r>
    </w:p>
    <w:p w14:paraId="136DFC5D">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总体而言，本次复现的重点是检验原文中可由公开数据和 R 代码直接得到的核心结果，包括行为层面的语义流畅性结果和网络层面的语义记忆结构结果。由于当前 R 包版本与作者原代码所依赖的旧版本存在函数接口差异，本次复现脚本对函数调用方式进行了必要调整，但分析思路仍尽量保持与原研究一致。</w:t>
      </w:r>
    </w:p>
    <w:p w14:paraId="1F5823CC">
      <w:pPr>
        <w:spacing w:line="300" w:lineRule="auto"/>
        <w:rPr>
          <w:rFonts w:ascii="Times New Roman" w:hAnsi="Times New Roman" w:eastAsia="宋体" w:cs="Times New Roman"/>
          <w:b/>
          <w:bCs/>
          <w:szCs w:val="24"/>
          <w14:ligatures w14:val="none"/>
        </w:rPr>
      </w:pPr>
    </w:p>
    <w:p w14:paraId="13621205">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w:t>
      </w:r>
      <w:r>
        <w:rPr>
          <w:rFonts w:ascii="Times New Roman" w:hAnsi="Times New Roman" w:eastAsia="宋体" w:cs="Times New Roman"/>
          <w:b/>
          <w:bCs/>
          <w:szCs w:val="24"/>
          <w14:ligatures w14:val="none"/>
        </w:rPr>
        <w:t xml:space="preserve">.2 </w:t>
      </w:r>
      <w:r>
        <w:rPr>
          <w:rFonts w:hint="eastAsia" w:ascii="Times New Roman" w:hAnsi="Times New Roman" w:eastAsia="宋体" w:cs="Times New Roman"/>
          <w:b/>
          <w:bCs/>
          <w:szCs w:val="24"/>
          <w14:ligatures w14:val="none"/>
        </w:rPr>
        <w:t>复现思路与R包</w:t>
      </w:r>
    </w:p>
    <w:p w14:paraId="31BC48A8">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本次复现主要针对原文中可以通过公开数据和 R 代码直接检验的结果进行重复分析。具体而言，复现内容包括以下几个部分。</w:t>
      </w:r>
    </w:p>
    <w:p w14:paraId="5F0F6F8F">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首先，复现开放性体验相关量表的信度检验。根据作者原代码，本研究分别计算 BFAS Openness、BFAS Intellect 和 NEO Openness 相关题项的 Cronbach’s alpha，用于检验原文报告的量表内部一致性结果。</w:t>
      </w:r>
    </w:p>
    <w:p w14:paraId="687C9CC2">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其次，复现动物语义流畅性任务的行为分析结果。该部分包括三个分析：第一，计算每名被试生成动物词的总数量，并检验总反应数量与开放性体验潜变量得分之间的 Pearson 相关；第二，根据开放性体验潜变量得分将样本划分为高、低开放性体验组，并使用独立样本 t 检验比较两组在总反应数量上的差异；第三，统计高、低开放性体验组各自生成的独特动物词数量，并使用 McNemar 检验比较两组独特反应出现比例的差异，同时计算相应效应量。</w:t>
      </w:r>
    </w:p>
    <w:p w14:paraId="5F6A5023">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第三，复现语义网络构建和网络指标计算。具体步骤为：先对动物语义流畅性任务的原始回答进行清洗和二值化处理，将每个动物词作为一个网络节点；随后删除出现次数过少的词条，并对高、低开放性体验组的节点集合进行等化处理，保证两组网络基于相同节点进行比较；接着使用余弦相似性计算动物词之间的关联程度，并采用 TMFG 方法分别构建高开放性体验组和低开放性体验组的语义网络；最后计算两组网络的平均最短路径长度（ASPL）、聚类系数（CC）和模块化程度（Q），并与原文报告结果进行比较。</w:t>
      </w:r>
    </w:p>
    <w:p w14:paraId="7388FA50">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第四，复现部分网络 bootstrap 检验。该分析通过在 50%、60%、70%、80% 和 90% 节点保留比例下重复抽取节点并重新构建网络，检验高、低开放性体验组在 ASPL、CC 和 Q 三个网络指标上的差异是否稳定。本次复现按照原文思路设置 1000 次 bootstrap，并对每个节点保留比例下的结果进行统计检验。</w:t>
      </w:r>
    </w:p>
    <w:p w14:paraId="2E1F5A7A">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第五，进行敏感性分析和网络文件导出。敏感性分析主要用于检验结果是否受到节点等化方式或低频词条处理方式的影响。此外，本次复现还导出了高、低开放性体验组的 Cytoscape 输入文件，用于后续网络可视化。</w:t>
      </w:r>
    </w:p>
    <w:p w14:paraId="76C07648">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本次复现主要使用的 R 包包括 `psych`、`SemNetCleaner`、`SemNeT` 和 `NetworkToolbox`。其中，`psych` 用于计算量表信度；`SemNetCleaner` 用于清洗动物语义流畅性任务中的文本反应，并生成二值化反应矩阵；`SemNeT` 用于计算余弦相似性、等化网络节点、构建 TMFG 语义网络、计算网络指标，以及进行部分网络 bootstrap 检验；`NetworkToolbox` 主要用于兼容作者原始代码中的 TMFG 语义网络分析流程。此外，相关分析、t 检验和 McNemar 检验主要使用 R 自带的统计函数完成。</w:t>
      </w:r>
    </w:p>
    <w:p w14:paraId="158F7A42">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需要说明的是，原作者代码中使用了一些旧版函数，例如 `semnetcleaner()`、`autoDeStr()`、`cosine()`、`partboot()` 和 `partboot.test()`。由于这些函数在当前版本的相关 R 包中已经改名、移动或被替代，本次复现并未完全逐行运行原代码，而是在保持原始分析逻辑一致的前提下，使用当前可用的函数进行替代，例如使用 `textcleaner()` 进行文本清洗，使用 `similarity(method = "cosine")` 计算余弦相似性，使用 `bootSemNeT()` 和 `test.bootSemNeT()` 完成部分网络 bootstrap 分析。</w:t>
      </w:r>
    </w:p>
    <w:p w14:paraId="2B4FF486">
      <w:pPr>
        <w:spacing w:line="300" w:lineRule="auto"/>
        <w:rPr>
          <w:rFonts w:ascii="Times New Roman" w:hAnsi="Times New Roman" w:eastAsia="宋体" w:cs="Times New Roman"/>
          <w:b/>
          <w:bCs/>
          <w:sz w:val="28"/>
          <w:szCs w:val="36"/>
          <w14:ligatures w14:val="none"/>
        </w:rPr>
      </w:pPr>
      <w:r>
        <w:rPr>
          <w:rFonts w:ascii="Times New Roman" w:hAnsi="Times New Roman" w:eastAsia="宋体" w:cs="Times New Roman"/>
          <w:b/>
          <w:bCs/>
          <w:sz w:val="28"/>
          <w:szCs w:val="36"/>
          <w14:ligatures w14:val="none"/>
        </w:rPr>
        <w:t xml:space="preserve">3 </w:t>
      </w:r>
      <w:r>
        <w:rPr>
          <w:rFonts w:hint="eastAsia" w:ascii="Times New Roman" w:hAnsi="Times New Roman" w:eastAsia="宋体" w:cs="Times New Roman"/>
          <w:b/>
          <w:bCs/>
          <w:sz w:val="28"/>
          <w:szCs w:val="36"/>
          <w14:ligatures w14:val="none"/>
        </w:rPr>
        <w:t>结果</w:t>
      </w:r>
    </w:p>
    <w:p w14:paraId="35647AB1">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 xml:space="preserve">3.1 </w:t>
      </w:r>
      <w:r>
        <w:rPr>
          <w:rFonts w:ascii="Times New Roman" w:hAnsi="Times New Roman" w:eastAsia="宋体" w:cs="Times New Roman"/>
          <w:b/>
          <w:bCs/>
          <w:szCs w:val="24"/>
          <w14:ligatures w14:val="none"/>
        </w:rPr>
        <w:t>描述</w:t>
      </w:r>
      <w:r>
        <w:rPr>
          <w:rFonts w:hint="eastAsia" w:ascii="Times New Roman" w:hAnsi="Times New Roman" w:eastAsia="宋体" w:cs="Times New Roman"/>
          <w:b/>
          <w:bCs/>
          <w:szCs w:val="24"/>
          <w14:ligatures w14:val="none"/>
        </w:rPr>
        <w:t>性</w:t>
      </w:r>
      <w:r>
        <w:rPr>
          <w:rFonts w:ascii="Times New Roman" w:hAnsi="Times New Roman" w:eastAsia="宋体" w:cs="Times New Roman"/>
          <w:b/>
          <w:bCs/>
          <w:szCs w:val="24"/>
          <w14:ligatures w14:val="none"/>
        </w:rPr>
        <w:t>统计</w:t>
      </w:r>
    </w:p>
    <w:p w14:paraId="6AC3B31D">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对原文献描述性统计进行重复的结果，并汇总表格：</w:t>
      </w:r>
    </w:p>
    <w:p w14:paraId="70BB3F11">
      <w:pPr>
        <w:spacing w:line="300" w:lineRule="auto"/>
        <w:jc w:val="center"/>
        <w:rPr>
          <w:rFonts w:hint="eastAsia" w:ascii="Times New Roman" w:hAnsi="Times New Roman" w:eastAsia="黑体" w:cs="Times New Roman"/>
          <w:b/>
          <w:bCs/>
          <w:sz w:val="18"/>
          <w:szCs w:val="18"/>
          <w:lang w:eastAsia="zh-CN"/>
          <w14:ligatures w14:val="none"/>
        </w:rPr>
      </w:pPr>
      <w:r>
        <w:rPr>
          <w:rFonts w:ascii="Times New Roman" w:hAnsi="Times New Roman" w:eastAsia="黑体" w:cs="Times New Roman"/>
          <w:b/>
          <w:bCs/>
          <w:sz w:val="18"/>
          <w:szCs w:val="18"/>
          <w14:ligatures w14:val="none"/>
        </w:rPr>
        <w:t xml:space="preserve">表 1 </w:t>
      </w:r>
      <w:r>
        <w:rPr>
          <w:rFonts w:hint="eastAsia" w:ascii="Times New Roman" w:hAnsi="Times New Roman" w:eastAsia="黑体" w:cs="Times New Roman"/>
          <w:b/>
          <w:bCs/>
          <w:sz w:val="18"/>
          <w:szCs w:val="18"/>
          <w14:ligatures w14:val="none"/>
        </w:rPr>
        <w:t>复现结</w:t>
      </w:r>
      <w:r>
        <w:rPr>
          <w:rFonts w:ascii="Times New Roman" w:hAnsi="Times New Roman" w:eastAsia="黑体" w:cs="Times New Roman"/>
          <w:b/>
          <w:bCs/>
          <w:sz w:val="18"/>
          <w:szCs w:val="18"/>
          <w14:ligatures w14:val="none"/>
        </w:rPr>
        <w:t>果</w:t>
      </w:r>
      <w:r>
        <w:rPr>
          <w:rFonts w:hint="eastAsia" w:ascii="Times New Roman" w:hAnsi="Times New Roman" w:eastAsia="黑体" w:cs="Times New Roman"/>
          <w:b/>
          <w:bCs/>
          <w:sz w:val="18"/>
          <w:szCs w:val="18"/>
          <w14:ligatures w14:val="none"/>
        </w:rPr>
        <w:t>的</w:t>
      </w:r>
      <w:r>
        <w:rPr>
          <w:rFonts w:ascii="Times New Roman" w:hAnsi="Times New Roman" w:eastAsia="黑体" w:cs="Times New Roman"/>
          <w:b/>
          <w:bCs/>
          <w:sz w:val="18"/>
          <w:szCs w:val="18"/>
          <w14:ligatures w14:val="none"/>
        </w:rPr>
        <w:t>描述性统计</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lang w:val="en-US" w:eastAsia="zh-CN"/>
          <w14:ligatures w14:val="none"/>
        </w:rPr>
        <w:t>总反应数</w:t>
      </w:r>
      <w:r>
        <w:rPr>
          <w:rFonts w:hint="eastAsia" w:ascii="Times New Roman" w:hAnsi="Times New Roman" w:eastAsia="黑体" w:cs="Times New Roman"/>
          <w:b/>
          <w:bCs/>
          <w:sz w:val="18"/>
          <w:szCs w:val="18"/>
          <w:lang w:eastAsia="zh-CN"/>
          <w14:ligatures w14:val="none"/>
        </w:rPr>
        <w:t>）</w:t>
      </w: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5103B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5" w:type="dxa"/>
            <w:tcBorders>
              <w:top w:val="single" w:color="auto" w:sz="12" w:space="0"/>
            </w:tcBorders>
          </w:tcPr>
          <w:p w14:paraId="5A6F5FB7">
            <w:pPr>
              <w:spacing w:line="360" w:lineRule="auto"/>
              <w:rPr>
                <w:rFonts w:ascii="Times New Roman" w:hAnsi="Times New Roman" w:eastAsia="宋体" w:cs="Times New Roman"/>
                <w:sz w:val="18"/>
                <w:szCs w:val="18"/>
                <w14:ligatures w14:val="none"/>
              </w:rPr>
            </w:pPr>
          </w:p>
        </w:tc>
        <w:tc>
          <w:tcPr>
            <w:tcW w:w="3555" w:type="dxa"/>
            <w:gridSpan w:val="3"/>
            <w:tcBorders>
              <w:top w:val="single" w:color="auto" w:sz="12" w:space="0"/>
            </w:tcBorders>
          </w:tcPr>
          <w:p w14:paraId="7DB7E8F0">
            <w:pPr>
              <w:spacing w:line="360" w:lineRule="auto"/>
              <w:jc w:val="center"/>
              <w:rPr>
                <w:rFonts w:hint="eastAsia" w:ascii="Times New Roman" w:hAnsi="Times New Roman" w:eastAsia="宋体" w:cs="Times New Roman"/>
                <w:sz w:val="18"/>
                <w:szCs w:val="18"/>
                <w:lang w:eastAsia="zh-CN"/>
                <w14:ligatures w14:val="none"/>
              </w:rPr>
            </w:pPr>
            <w:r>
              <w:rPr>
                <w:rFonts w:hint="eastAsia" w:ascii="Times New Roman" w:hAnsi="Times New Roman" w:eastAsia="宋体" w:cs="Times New Roman"/>
                <w:sz w:val="18"/>
                <w:szCs w:val="18"/>
                <w:lang w:val="en-US" w:eastAsia="zh-CN"/>
                <w14:ligatures w14:val="none"/>
              </w:rPr>
              <w:t>高开放性组</w:t>
            </w:r>
          </w:p>
        </w:tc>
        <w:tc>
          <w:tcPr>
            <w:tcW w:w="3556" w:type="dxa"/>
            <w:gridSpan w:val="3"/>
            <w:tcBorders>
              <w:top w:val="single" w:color="auto" w:sz="12" w:space="0"/>
            </w:tcBorders>
          </w:tcPr>
          <w:p w14:paraId="137029E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低开放性组</w:t>
            </w:r>
          </w:p>
        </w:tc>
      </w:tr>
      <w:tr w14:paraId="26726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5" w:type="dxa"/>
            <w:tcBorders>
              <w:bottom w:val="single" w:color="auto" w:sz="4" w:space="0"/>
            </w:tcBorders>
          </w:tcPr>
          <w:p w14:paraId="166E6FC6">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tcPr>
          <w:p w14:paraId="25C2AE5C">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8A7D870">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Mean</w:t>
            </w:r>
          </w:p>
        </w:tc>
        <w:tc>
          <w:tcPr>
            <w:tcW w:w="1185" w:type="dxa"/>
            <w:tcBorders>
              <w:bottom w:val="single" w:color="auto" w:sz="4" w:space="0"/>
            </w:tcBorders>
          </w:tcPr>
          <w:p w14:paraId="1A271270">
            <w:pPr>
              <w:spacing w:line="36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 w:val="18"/>
                <w:szCs w:val="18"/>
                <w14:ligatures w14:val="none"/>
              </w:rPr>
              <w:t>SD</w:t>
            </w:r>
          </w:p>
        </w:tc>
        <w:tc>
          <w:tcPr>
            <w:tcW w:w="1185" w:type="dxa"/>
            <w:tcBorders>
              <w:bottom w:val="single" w:color="auto" w:sz="4" w:space="0"/>
            </w:tcBorders>
          </w:tcPr>
          <w:p w14:paraId="67FB0CAE">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25225FAE">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Mean</w:t>
            </w:r>
          </w:p>
        </w:tc>
        <w:tc>
          <w:tcPr>
            <w:tcW w:w="1186" w:type="dxa"/>
            <w:tcBorders>
              <w:bottom w:val="single" w:color="auto" w:sz="4" w:space="0"/>
            </w:tcBorders>
          </w:tcPr>
          <w:p w14:paraId="32BD6257">
            <w:pPr>
              <w:spacing w:line="36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 w:val="18"/>
                <w:szCs w:val="18"/>
                <w14:ligatures w14:val="none"/>
              </w:rPr>
              <w:t>SD</w:t>
            </w:r>
          </w:p>
        </w:tc>
      </w:tr>
      <w:tr w14:paraId="4AB5F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85" w:type="dxa"/>
            <w:tcBorders>
              <w:top w:val="single" w:color="auto" w:sz="4" w:space="0"/>
            </w:tcBorders>
            <w:vAlign w:val="center"/>
          </w:tcPr>
          <w:p w14:paraId="0EA86E1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原研究</w:t>
            </w:r>
          </w:p>
          <w:p w14:paraId="6E943EBF">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185" w:type="dxa"/>
            <w:tcBorders>
              <w:top w:val="single" w:color="auto" w:sz="4" w:space="0"/>
            </w:tcBorders>
            <w:vAlign w:val="center"/>
          </w:tcPr>
          <w:p w14:paraId="48380FC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258</w:t>
            </w:r>
          </w:p>
        </w:tc>
        <w:tc>
          <w:tcPr>
            <w:tcW w:w="1185" w:type="dxa"/>
            <w:tcBorders>
              <w:top w:val="single" w:color="auto" w:sz="4" w:space="0"/>
            </w:tcBorders>
            <w:vAlign w:val="center"/>
          </w:tcPr>
          <w:p w14:paraId="29C2692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17.83</w:t>
            </w:r>
          </w:p>
        </w:tc>
        <w:tc>
          <w:tcPr>
            <w:tcW w:w="1185" w:type="dxa"/>
            <w:tcBorders>
              <w:top w:val="single" w:color="auto" w:sz="4" w:space="0"/>
            </w:tcBorders>
            <w:vAlign w:val="center"/>
          </w:tcPr>
          <w:p w14:paraId="22492D40">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4.63</w:t>
            </w:r>
          </w:p>
        </w:tc>
        <w:tc>
          <w:tcPr>
            <w:tcW w:w="1185" w:type="dxa"/>
            <w:tcBorders>
              <w:top w:val="single" w:color="auto" w:sz="4" w:space="0"/>
            </w:tcBorders>
            <w:vAlign w:val="center"/>
          </w:tcPr>
          <w:p w14:paraId="6C59C48B">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258</w:t>
            </w:r>
          </w:p>
        </w:tc>
        <w:tc>
          <w:tcPr>
            <w:tcW w:w="1185" w:type="dxa"/>
            <w:tcBorders>
              <w:top w:val="single" w:color="auto" w:sz="4" w:space="0"/>
            </w:tcBorders>
            <w:vAlign w:val="center"/>
          </w:tcPr>
          <w:p w14:paraId="4AD5EF9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16.41</w:t>
            </w:r>
          </w:p>
        </w:tc>
        <w:tc>
          <w:tcPr>
            <w:tcW w:w="1186" w:type="dxa"/>
            <w:tcBorders>
              <w:top w:val="single" w:color="auto" w:sz="4" w:space="0"/>
            </w:tcBorders>
            <w:vAlign w:val="center"/>
          </w:tcPr>
          <w:p w14:paraId="0C559807">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4.49</w:t>
            </w:r>
          </w:p>
        </w:tc>
      </w:tr>
      <w:tr w14:paraId="7A0BB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vAlign w:val="center"/>
          </w:tcPr>
          <w:p w14:paraId="41D34B2B">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185" w:type="dxa"/>
            <w:vAlign w:val="center"/>
          </w:tcPr>
          <w:p w14:paraId="61F79938">
            <w:pPr>
              <w:spacing w:line="48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258</w:t>
            </w:r>
          </w:p>
        </w:tc>
        <w:tc>
          <w:tcPr>
            <w:tcW w:w="1185" w:type="dxa"/>
            <w:vAlign w:val="center"/>
          </w:tcPr>
          <w:p w14:paraId="72BDE90F">
            <w:pPr>
              <w:spacing w:line="48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18.174</w:t>
            </w:r>
          </w:p>
        </w:tc>
        <w:tc>
          <w:tcPr>
            <w:tcW w:w="1185" w:type="dxa"/>
            <w:vAlign w:val="center"/>
          </w:tcPr>
          <w:p w14:paraId="7AA2DDFB">
            <w:pPr>
              <w:spacing w:line="48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4.588</w:t>
            </w:r>
          </w:p>
        </w:tc>
        <w:tc>
          <w:tcPr>
            <w:tcW w:w="1185" w:type="dxa"/>
            <w:vAlign w:val="center"/>
          </w:tcPr>
          <w:p w14:paraId="552AD7D9">
            <w:pPr>
              <w:spacing w:line="48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258</w:t>
            </w:r>
          </w:p>
        </w:tc>
        <w:tc>
          <w:tcPr>
            <w:tcW w:w="1185" w:type="dxa"/>
            <w:vAlign w:val="center"/>
          </w:tcPr>
          <w:p w14:paraId="67A78ECC">
            <w:pPr>
              <w:spacing w:line="48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16.919</w:t>
            </w:r>
          </w:p>
        </w:tc>
        <w:tc>
          <w:tcPr>
            <w:tcW w:w="1186" w:type="dxa"/>
            <w:vAlign w:val="center"/>
          </w:tcPr>
          <w:p w14:paraId="221E28B0">
            <w:pPr>
              <w:spacing w:line="48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4.356</w:t>
            </w:r>
          </w:p>
        </w:tc>
      </w:tr>
      <w:tr w14:paraId="3CCED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vAlign w:val="center"/>
          </w:tcPr>
          <w:p w14:paraId="2E555524">
            <w:pPr>
              <w:spacing w:line="48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Cs w:val="24"/>
                <w14:ligatures w14:val="none"/>
              </w:rPr>
              <w:t>δ</w:t>
            </w:r>
          </w:p>
        </w:tc>
        <w:tc>
          <w:tcPr>
            <w:tcW w:w="1185" w:type="dxa"/>
            <w:vAlign w:val="center"/>
          </w:tcPr>
          <w:p w14:paraId="1AB0162E">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0.00%</w:t>
            </w:r>
          </w:p>
        </w:tc>
        <w:tc>
          <w:tcPr>
            <w:tcW w:w="1185" w:type="dxa"/>
            <w:vAlign w:val="center"/>
          </w:tcPr>
          <w:p w14:paraId="704F9CDA">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1.90%</w:t>
            </w:r>
          </w:p>
        </w:tc>
        <w:tc>
          <w:tcPr>
            <w:tcW w:w="1185" w:type="dxa"/>
            <w:vAlign w:val="center"/>
          </w:tcPr>
          <w:p w14:paraId="3941559A">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0.92%</w:t>
            </w:r>
          </w:p>
        </w:tc>
        <w:tc>
          <w:tcPr>
            <w:tcW w:w="1185" w:type="dxa"/>
            <w:vAlign w:val="center"/>
          </w:tcPr>
          <w:p w14:paraId="1A7DB8E8">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0.00%</w:t>
            </w:r>
          </w:p>
        </w:tc>
        <w:tc>
          <w:tcPr>
            <w:tcW w:w="1185" w:type="dxa"/>
            <w:vAlign w:val="center"/>
          </w:tcPr>
          <w:p w14:paraId="642B6C74">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3.01%</w:t>
            </w:r>
          </w:p>
        </w:tc>
        <w:tc>
          <w:tcPr>
            <w:tcW w:w="1186" w:type="dxa"/>
            <w:vAlign w:val="center"/>
          </w:tcPr>
          <w:p w14:paraId="70EC859D">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3.07%</w:t>
            </w:r>
          </w:p>
        </w:tc>
      </w:tr>
      <w:tr w14:paraId="3E1E5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tcBorders>
              <w:bottom w:val="single" w:color="auto" w:sz="12" w:space="0"/>
            </w:tcBorders>
            <w:vAlign w:val="center"/>
          </w:tcPr>
          <w:p w14:paraId="6567580C">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评级</w:t>
            </w:r>
          </w:p>
        </w:tc>
        <w:tc>
          <w:tcPr>
            <w:tcW w:w="1185" w:type="dxa"/>
            <w:tcBorders>
              <w:bottom w:val="single" w:color="auto" w:sz="12" w:space="0"/>
            </w:tcBorders>
            <w:vAlign w:val="center"/>
          </w:tcPr>
          <w:p w14:paraId="48A9B068">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1185" w:type="dxa"/>
            <w:tcBorders>
              <w:bottom w:val="single" w:color="auto" w:sz="12" w:space="0"/>
            </w:tcBorders>
            <w:vAlign w:val="center"/>
          </w:tcPr>
          <w:p w14:paraId="30E15CC6">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偏差较小</w:t>
            </w:r>
          </w:p>
        </w:tc>
        <w:tc>
          <w:tcPr>
            <w:tcW w:w="1185" w:type="dxa"/>
            <w:tcBorders>
              <w:bottom w:val="single" w:color="auto" w:sz="12" w:space="0"/>
            </w:tcBorders>
            <w:vAlign w:val="center"/>
          </w:tcPr>
          <w:p w14:paraId="50B0ED59">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偏差较小</w:t>
            </w:r>
          </w:p>
        </w:tc>
        <w:tc>
          <w:tcPr>
            <w:tcW w:w="1185" w:type="dxa"/>
            <w:tcBorders>
              <w:bottom w:val="single" w:color="auto" w:sz="12" w:space="0"/>
            </w:tcBorders>
            <w:shd w:val="clear" w:color="auto" w:fill="auto"/>
            <w:vAlign w:val="center"/>
          </w:tcPr>
          <w:p w14:paraId="2E8E4BDF">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c>
          <w:tcPr>
            <w:tcW w:w="1185" w:type="dxa"/>
            <w:tcBorders>
              <w:bottom w:val="single" w:color="auto" w:sz="12" w:space="0"/>
            </w:tcBorders>
            <w:shd w:val="clear" w:color="auto" w:fill="auto"/>
            <w:vAlign w:val="center"/>
          </w:tcPr>
          <w:p w14:paraId="24016A01">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偏差较小</w:t>
            </w:r>
          </w:p>
        </w:tc>
        <w:tc>
          <w:tcPr>
            <w:tcW w:w="1186" w:type="dxa"/>
            <w:tcBorders>
              <w:bottom w:val="single" w:color="auto" w:sz="12" w:space="0"/>
            </w:tcBorders>
            <w:shd w:val="clear" w:color="auto" w:fill="auto"/>
            <w:vAlign w:val="center"/>
          </w:tcPr>
          <w:p w14:paraId="654C607C">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偏差较小</w:t>
            </w:r>
          </w:p>
        </w:tc>
      </w:tr>
    </w:tbl>
    <w:p w14:paraId="12B6A7C1">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表 1（续）复现结果的描述性统计（补充指标）</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4"/>
        <w:gridCol w:w="1591"/>
        <w:gridCol w:w="1599"/>
        <w:gridCol w:w="1100"/>
        <w:gridCol w:w="1578"/>
      </w:tblGrid>
      <w:tr w14:paraId="10683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12" w:space="0"/>
              <w:left w:val="nil"/>
              <w:bottom w:val="single" w:color="000000" w:sz="4" w:space="0"/>
              <w:right w:val="nil"/>
              <w:tl2br w:val="nil"/>
            </w:tcBorders>
            <w:shd w:val="clear" w:color="auto" w:fill="FFFFFF"/>
            <w:vAlign w:val="center"/>
          </w:tcPr>
          <w:p w14:paraId="539AAD5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指标</w:t>
            </w:r>
          </w:p>
        </w:tc>
        <w:tc>
          <w:tcPr>
            <w:tcW w:w="1701" w:type="dxa"/>
            <w:tcBorders>
              <w:top w:val="single" w:color="000000" w:sz="12" w:space="0"/>
              <w:left w:val="nil"/>
              <w:bottom w:val="single" w:color="000000" w:sz="4" w:space="0"/>
              <w:right w:val="nil"/>
            </w:tcBorders>
            <w:shd w:val="clear" w:color="auto" w:fill="FFFFFF"/>
            <w:vAlign w:val="center"/>
          </w:tcPr>
          <w:p w14:paraId="2758EB89">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原文献报告结果</w:t>
            </w:r>
          </w:p>
        </w:tc>
        <w:tc>
          <w:tcPr>
            <w:tcW w:w="1701" w:type="dxa"/>
            <w:tcBorders>
              <w:top w:val="single" w:color="000000" w:sz="12" w:space="0"/>
              <w:left w:val="nil"/>
              <w:bottom w:val="single" w:color="000000" w:sz="4" w:space="0"/>
              <w:right w:val="nil"/>
            </w:tcBorders>
            <w:shd w:val="clear" w:color="auto" w:fill="FFFFFF"/>
            <w:vAlign w:val="center"/>
          </w:tcPr>
          <w:p w14:paraId="57AC6AA9">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本研究</w:t>
            </w:r>
          </w:p>
        </w:tc>
        <w:tc>
          <w:tcPr>
            <w:tcW w:w="1134" w:type="dxa"/>
            <w:tcBorders>
              <w:top w:val="single" w:color="000000" w:sz="12" w:space="0"/>
              <w:left w:val="nil"/>
              <w:bottom w:val="single" w:color="000000" w:sz="4" w:space="0"/>
              <w:right w:val="nil"/>
            </w:tcBorders>
            <w:shd w:val="clear" w:color="auto" w:fill="FFFFFF"/>
            <w:vAlign w:val="center"/>
          </w:tcPr>
          <w:p w14:paraId="1210D65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δ</w:t>
            </w:r>
          </w:p>
        </w:tc>
        <w:tc>
          <w:tcPr>
            <w:tcW w:w="1701" w:type="dxa"/>
            <w:tcBorders>
              <w:top w:val="single" w:color="000000" w:sz="12" w:space="0"/>
              <w:left w:val="nil"/>
              <w:bottom w:val="single" w:color="000000" w:sz="4" w:space="0"/>
              <w:right w:val="nil"/>
            </w:tcBorders>
            <w:shd w:val="clear" w:color="auto" w:fill="FFFFFF"/>
            <w:vAlign w:val="center"/>
          </w:tcPr>
          <w:p w14:paraId="36A05F2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r>
      <w:tr w14:paraId="338C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4" w:space="0"/>
              <w:left w:val="nil"/>
              <w:bottom w:val="nil"/>
              <w:right w:val="nil"/>
            </w:tcBorders>
            <w:shd w:val="clear" w:color="auto" w:fill="FFFFFF"/>
            <w:vAlign w:val="center"/>
          </w:tcPr>
          <w:p w14:paraId="4F2FD19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总样本N</w:t>
            </w:r>
          </w:p>
        </w:tc>
        <w:tc>
          <w:tcPr>
            <w:tcW w:w="1701" w:type="dxa"/>
            <w:tcBorders>
              <w:top w:val="single" w:color="000000" w:sz="4" w:space="0"/>
              <w:left w:val="nil"/>
              <w:bottom w:val="nil"/>
              <w:right w:val="nil"/>
            </w:tcBorders>
            <w:shd w:val="clear" w:color="auto" w:fill="FFFFFF"/>
            <w:vAlign w:val="center"/>
          </w:tcPr>
          <w:p w14:paraId="217B7A2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516</w:t>
            </w:r>
          </w:p>
        </w:tc>
        <w:tc>
          <w:tcPr>
            <w:tcW w:w="1701" w:type="dxa"/>
            <w:tcBorders>
              <w:top w:val="single" w:color="000000" w:sz="4" w:space="0"/>
              <w:left w:val="nil"/>
              <w:bottom w:val="nil"/>
              <w:right w:val="nil"/>
            </w:tcBorders>
            <w:shd w:val="clear" w:color="auto" w:fill="FFFFFF"/>
            <w:vAlign w:val="center"/>
          </w:tcPr>
          <w:p w14:paraId="7374854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516</w:t>
            </w:r>
          </w:p>
        </w:tc>
        <w:tc>
          <w:tcPr>
            <w:tcW w:w="1134" w:type="dxa"/>
            <w:tcBorders>
              <w:top w:val="single" w:color="000000" w:sz="4" w:space="0"/>
              <w:left w:val="nil"/>
              <w:bottom w:val="nil"/>
              <w:right w:val="nil"/>
            </w:tcBorders>
            <w:shd w:val="clear" w:color="auto" w:fill="FFFFFF"/>
            <w:vAlign w:val="center"/>
          </w:tcPr>
          <w:p w14:paraId="117F8F5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0.00%</w:t>
            </w:r>
          </w:p>
        </w:tc>
        <w:tc>
          <w:tcPr>
            <w:tcW w:w="1701" w:type="dxa"/>
            <w:tcBorders>
              <w:top w:val="single" w:color="000000" w:sz="4" w:space="0"/>
              <w:left w:val="nil"/>
              <w:bottom w:val="nil"/>
              <w:right w:val="nil"/>
            </w:tcBorders>
            <w:shd w:val="clear" w:color="auto" w:fill="FFFFFF"/>
            <w:vAlign w:val="center"/>
          </w:tcPr>
          <w:p w14:paraId="3E31F30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4F354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nil"/>
              <w:left w:val="nil"/>
              <w:bottom w:val="nil"/>
              <w:right w:val="nil"/>
            </w:tcBorders>
            <w:shd w:val="clear" w:color="auto" w:fill="FFFFFF"/>
            <w:vAlign w:val="center"/>
          </w:tcPr>
          <w:p w14:paraId="4927A8EC">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独特反应总数</w:t>
            </w:r>
          </w:p>
        </w:tc>
        <w:tc>
          <w:tcPr>
            <w:tcW w:w="1701" w:type="dxa"/>
            <w:tcBorders>
              <w:top w:val="nil"/>
              <w:left w:val="nil"/>
              <w:bottom w:val="nil"/>
              <w:right w:val="nil"/>
            </w:tcBorders>
            <w:shd w:val="clear" w:color="auto" w:fill="FFFFFF"/>
            <w:vAlign w:val="center"/>
          </w:tcPr>
          <w:p w14:paraId="11E5A4E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345</w:t>
            </w:r>
          </w:p>
        </w:tc>
        <w:tc>
          <w:tcPr>
            <w:tcW w:w="1701" w:type="dxa"/>
            <w:tcBorders>
              <w:top w:val="nil"/>
              <w:left w:val="nil"/>
              <w:bottom w:val="nil"/>
              <w:right w:val="nil"/>
            </w:tcBorders>
            <w:shd w:val="clear" w:color="auto" w:fill="FFFFFF"/>
            <w:vAlign w:val="center"/>
          </w:tcPr>
          <w:p w14:paraId="291643B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368</w:t>
            </w:r>
          </w:p>
        </w:tc>
        <w:tc>
          <w:tcPr>
            <w:tcW w:w="1134" w:type="dxa"/>
            <w:tcBorders>
              <w:top w:val="nil"/>
              <w:left w:val="nil"/>
              <w:bottom w:val="nil"/>
              <w:right w:val="nil"/>
            </w:tcBorders>
            <w:shd w:val="clear" w:color="auto" w:fill="FFFFFF"/>
            <w:vAlign w:val="center"/>
          </w:tcPr>
          <w:p w14:paraId="5B8EBD3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6.25%</w:t>
            </w:r>
          </w:p>
        </w:tc>
        <w:tc>
          <w:tcPr>
            <w:tcW w:w="1701" w:type="dxa"/>
            <w:tcBorders>
              <w:top w:val="nil"/>
              <w:left w:val="nil"/>
              <w:bottom w:val="nil"/>
              <w:right w:val="nil"/>
            </w:tcBorders>
            <w:shd w:val="clear" w:color="auto" w:fill="FFFFFF"/>
            <w:vAlign w:val="center"/>
          </w:tcPr>
          <w:p w14:paraId="12F531C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43495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nil"/>
              <w:left w:val="nil"/>
              <w:bottom w:val="nil"/>
              <w:right w:val="nil"/>
            </w:tcBorders>
            <w:shd w:val="clear" w:color="auto" w:fill="FFFFFF"/>
            <w:vAlign w:val="center"/>
          </w:tcPr>
          <w:p w14:paraId="4EB19E7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高开放组独特反应数</w:t>
            </w:r>
          </w:p>
        </w:tc>
        <w:tc>
          <w:tcPr>
            <w:tcW w:w="1701" w:type="dxa"/>
            <w:tcBorders>
              <w:top w:val="nil"/>
              <w:left w:val="nil"/>
              <w:bottom w:val="nil"/>
              <w:right w:val="nil"/>
            </w:tcBorders>
            <w:shd w:val="clear" w:color="auto" w:fill="FFFFFF"/>
            <w:vAlign w:val="center"/>
          </w:tcPr>
          <w:p w14:paraId="088AEBA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299</w:t>
            </w:r>
          </w:p>
        </w:tc>
        <w:tc>
          <w:tcPr>
            <w:tcW w:w="1701" w:type="dxa"/>
            <w:tcBorders>
              <w:top w:val="nil"/>
              <w:left w:val="nil"/>
              <w:bottom w:val="nil"/>
              <w:right w:val="nil"/>
            </w:tcBorders>
            <w:shd w:val="clear" w:color="auto" w:fill="FFFFFF"/>
            <w:vAlign w:val="center"/>
          </w:tcPr>
          <w:p w14:paraId="40B879D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317</w:t>
            </w:r>
          </w:p>
        </w:tc>
        <w:tc>
          <w:tcPr>
            <w:tcW w:w="1134" w:type="dxa"/>
            <w:tcBorders>
              <w:top w:val="nil"/>
              <w:left w:val="nil"/>
              <w:bottom w:val="nil"/>
              <w:right w:val="nil"/>
            </w:tcBorders>
            <w:shd w:val="clear" w:color="auto" w:fill="FFFFFF"/>
            <w:vAlign w:val="center"/>
          </w:tcPr>
          <w:p w14:paraId="0E2936D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5.68%</w:t>
            </w:r>
          </w:p>
        </w:tc>
        <w:tc>
          <w:tcPr>
            <w:tcW w:w="1701" w:type="dxa"/>
            <w:tcBorders>
              <w:top w:val="nil"/>
              <w:left w:val="nil"/>
              <w:bottom w:val="nil"/>
              <w:right w:val="nil"/>
            </w:tcBorders>
            <w:shd w:val="clear" w:color="auto" w:fill="FFFFFF"/>
            <w:vAlign w:val="center"/>
          </w:tcPr>
          <w:p w14:paraId="7743098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1869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nil"/>
              <w:left w:val="nil"/>
              <w:bottom w:val="nil"/>
              <w:right w:val="nil"/>
            </w:tcBorders>
            <w:shd w:val="clear" w:color="auto" w:fill="FFFFFF"/>
            <w:vAlign w:val="center"/>
          </w:tcPr>
          <w:p w14:paraId="65795F0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低开放组独特反应数</w:t>
            </w:r>
          </w:p>
        </w:tc>
        <w:tc>
          <w:tcPr>
            <w:tcW w:w="1701" w:type="dxa"/>
            <w:tcBorders>
              <w:top w:val="nil"/>
              <w:left w:val="nil"/>
              <w:bottom w:val="nil"/>
              <w:right w:val="nil"/>
            </w:tcBorders>
            <w:shd w:val="clear" w:color="auto" w:fill="FFFFFF"/>
            <w:vAlign w:val="center"/>
          </w:tcPr>
          <w:p w14:paraId="46E4B0D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249</w:t>
            </w:r>
          </w:p>
        </w:tc>
        <w:tc>
          <w:tcPr>
            <w:tcW w:w="1701" w:type="dxa"/>
            <w:tcBorders>
              <w:top w:val="nil"/>
              <w:left w:val="nil"/>
              <w:bottom w:val="nil"/>
              <w:right w:val="nil"/>
            </w:tcBorders>
            <w:shd w:val="clear" w:color="auto" w:fill="FFFFFF"/>
            <w:vAlign w:val="center"/>
          </w:tcPr>
          <w:p w14:paraId="1B977C7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265</w:t>
            </w:r>
          </w:p>
        </w:tc>
        <w:tc>
          <w:tcPr>
            <w:tcW w:w="1134" w:type="dxa"/>
            <w:tcBorders>
              <w:top w:val="nil"/>
              <w:left w:val="nil"/>
              <w:bottom w:val="nil"/>
              <w:right w:val="nil"/>
            </w:tcBorders>
            <w:shd w:val="clear" w:color="auto" w:fill="FFFFFF"/>
            <w:vAlign w:val="center"/>
          </w:tcPr>
          <w:p w14:paraId="515C290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6.04%</w:t>
            </w:r>
          </w:p>
        </w:tc>
        <w:tc>
          <w:tcPr>
            <w:tcW w:w="1701" w:type="dxa"/>
            <w:tcBorders>
              <w:top w:val="nil"/>
              <w:left w:val="nil"/>
              <w:bottom w:val="nil"/>
              <w:right w:val="nil"/>
            </w:tcBorders>
            <w:shd w:val="clear" w:color="auto" w:fill="FFFFFF"/>
            <w:vAlign w:val="center"/>
          </w:tcPr>
          <w:p w14:paraId="4E1CC2E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7C5F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nil"/>
              <w:left w:val="nil"/>
              <w:bottom w:val="nil"/>
              <w:right w:val="nil"/>
            </w:tcBorders>
            <w:shd w:val="clear" w:color="auto" w:fill="FFFFFF"/>
            <w:vAlign w:val="center"/>
          </w:tcPr>
          <w:p w14:paraId="2E3EF9A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仅高开放组出现的独特反应数</w:t>
            </w:r>
          </w:p>
        </w:tc>
        <w:tc>
          <w:tcPr>
            <w:tcW w:w="1701" w:type="dxa"/>
            <w:tcBorders>
              <w:top w:val="nil"/>
              <w:left w:val="nil"/>
              <w:bottom w:val="nil"/>
              <w:right w:val="nil"/>
            </w:tcBorders>
            <w:shd w:val="clear" w:color="auto" w:fill="FFFFFF"/>
            <w:vAlign w:val="center"/>
          </w:tcPr>
          <w:p w14:paraId="3F155A9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96</w:t>
            </w:r>
          </w:p>
        </w:tc>
        <w:tc>
          <w:tcPr>
            <w:tcW w:w="1701" w:type="dxa"/>
            <w:tcBorders>
              <w:top w:val="nil"/>
              <w:left w:val="nil"/>
              <w:bottom w:val="nil"/>
              <w:right w:val="nil"/>
            </w:tcBorders>
            <w:shd w:val="clear" w:color="auto" w:fill="FFFFFF"/>
            <w:vAlign w:val="center"/>
          </w:tcPr>
          <w:p w14:paraId="1EBE1E7C">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103</w:t>
            </w:r>
          </w:p>
        </w:tc>
        <w:tc>
          <w:tcPr>
            <w:tcW w:w="1134" w:type="dxa"/>
            <w:tcBorders>
              <w:top w:val="nil"/>
              <w:left w:val="nil"/>
              <w:bottom w:val="nil"/>
              <w:right w:val="nil"/>
            </w:tcBorders>
            <w:shd w:val="clear" w:color="auto" w:fill="FFFFFF"/>
            <w:vAlign w:val="center"/>
          </w:tcPr>
          <w:p w14:paraId="329FFF9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6.80%</w:t>
            </w:r>
          </w:p>
        </w:tc>
        <w:tc>
          <w:tcPr>
            <w:tcW w:w="1701" w:type="dxa"/>
            <w:tcBorders>
              <w:top w:val="nil"/>
              <w:left w:val="nil"/>
              <w:bottom w:val="nil"/>
              <w:right w:val="nil"/>
            </w:tcBorders>
            <w:shd w:val="clear" w:color="auto" w:fill="FFFFFF"/>
            <w:vAlign w:val="center"/>
          </w:tcPr>
          <w:p w14:paraId="1380F07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5CC2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nil"/>
              <w:left w:val="nil"/>
              <w:bottom w:val="nil"/>
              <w:right w:val="nil"/>
            </w:tcBorders>
            <w:shd w:val="clear" w:color="auto" w:fill="FFFFFF"/>
            <w:vAlign w:val="center"/>
          </w:tcPr>
          <w:p w14:paraId="51D5F78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仅低开放组出现的独特反应数</w:t>
            </w:r>
          </w:p>
        </w:tc>
        <w:tc>
          <w:tcPr>
            <w:tcW w:w="1701" w:type="dxa"/>
            <w:tcBorders>
              <w:top w:val="nil"/>
              <w:left w:val="nil"/>
              <w:bottom w:val="nil"/>
              <w:right w:val="nil"/>
            </w:tcBorders>
            <w:shd w:val="clear" w:color="auto" w:fill="FFFFFF"/>
            <w:vAlign w:val="center"/>
          </w:tcPr>
          <w:p w14:paraId="3BA7046D">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46</w:t>
            </w:r>
          </w:p>
        </w:tc>
        <w:tc>
          <w:tcPr>
            <w:tcW w:w="1701" w:type="dxa"/>
            <w:tcBorders>
              <w:top w:val="nil"/>
              <w:left w:val="nil"/>
              <w:bottom w:val="nil"/>
              <w:right w:val="nil"/>
            </w:tcBorders>
            <w:shd w:val="clear" w:color="auto" w:fill="FFFFFF"/>
            <w:vAlign w:val="center"/>
          </w:tcPr>
          <w:p w14:paraId="5069CCE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51</w:t>
            </w:r>
          </w:p>
        </w:tc>
        <w:tc>
          <w:tcPr>
            <w:tcW w:w="1134" w:type="dxa"/>
            <w:tcBorders>
              <w:top w:val="nil"/>
              <w:left w:val="nil"/>
              <w:bottom w:val="nil"/>
              <w:right w:val="nil"/>
            </w:tcBorders>
            <w:shd w:val="clear" w:color="auto" w:fill="FFFFFF"/>
            <w:vAlign w:val="center"/>
          </w:tcPr>
          <w:p w14:paraId="48FC45AD">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9.80%</w:t>
            </w:r>
          </w:p>
        </w:tc>
        <w:tc>
          <w:tcPr>
            <w:tcW w:w="1701" w:type="dxa"/>
            <w:tcBorders>
              <w:top w:val="nil"/>
              <w:left w:val="nil"/>
              <w:bottom w:val="nil"/>
              <w:right w:val="nil"/>
            </w:tcBorders>
            <w:shd w:val="clear" w:color="auto" w:fill="FFFFFF"/>
            <w:vAlign w:val="center"/>
          </w:tcPr>
          <w:p w14:paraId="0CFD663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55CEF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nil"/>
              <w:left w:val="nil"/>
              <w:bottom w:val="nil"/>
              <w:right w:val="nil"/>
            </w:tcBorders>
            <w:shd w:val="clear" w:color="auto" w:fill="FFFFFF"/>
            <w:vAlign w:val="center"/>
          </w:tcPr>
          <w:p w14:paraId="05DAE0A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BFAS Openness α</w:t>
            </w:r>
          </w:p>
        </w:tc>
        <w:tc>
          <w:tcPr>
            <w:tcW w:w="1701" w:type="dxa"/>
            <w:tcBorders>
              <w:top w:val="nil"/>
              <w:left w:val="nil"/>
              <w:bottom w:val="nil"/>
              <w:right w:val="nil"/>
            </w:tcBorders>
            <w:shd w:val="clear" w:color="auto" w:fill="FFFFFF"/>
            <w:vAlign w:val="center"/>
          </w:tcPr>
          <w:p w14:paraId="3F241B9D">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0.7</w:t>
            </w:r>
          </w:p>
        </w:tc>
        <w:tc>
          <w:tcPr>
            <w:tcW w:w="1701" w:type="dxa"/>
            <w:tcBorders>
              <w:top w:val="nil"/>
              <w:left w:val="nil"/>
              <w:bottom w:val="nil"/>
              <w:right w:val="nil"/>
            </w:tcBorders>
            <w:shd w:val="clear" w:color="auto" w:fill="FFFFFF"/>
            <w:vAlign w:val="center"/>
          </w:tcPr>
          <w:p w14:paraId="7B00A0AC">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0.766</w:t>
            </w:r>
          </w:p>
        </w:tc>
        <w:tc>
          <w:tcPr>
            <w:tcW w:w="1134" w:type="dxa"/>
            <w:tcBorders>
              <w:top w:val="nil"/>
              <w:left w:val="nil"/>
              <w:bottom w:val="nil"/>
              <w:right w:val="nil"/>
            </w:tcBorders>
            <w:shd w:val="clear" w:color="auto" w:fill="FFFFFF"/>
            <w:vAlign w:val="center"/>
          </w:tcPr>
          <w:p w14:paraId="2E83FC5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8.64%</w:t>
            </w:r>
          </w:p>
        </w:tc>
        <w:tc>
          <w:tcPr>
            <w:tcW w:w="1701" w:type="dxa"/>
            <w:tcBorders>
              <w:top w:val="nil"/>
              <w:left w:val="nil"/>
              <w:bottom w:val="nil"/>
              <w:right w:val="nil"/>
            </w:tcBorders>
            <w:shd w:val="clear" w:color="auto" w:fill="FFFFFF"/>
            <w:vAlign w:val="center"/>
          </w:tcPr>
          <w:p w14:paraId="29FEBD1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13AA1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nil"/>
              <w:left w:val="nil"/>
              <w:bottom w:val="nil"/>
              <w:right w:val="nil"/>
            </w:tcBorders>
            <w:shd w:val="clear" w:color="auto" w:fill="FFFFFF"/>
            <w:vAlign w:val="center"/>
          </w:tcPr>
          <w:p w14:paraId="1E38FF0D">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BFAS Intellect α</w:t>
            </w:r>
          </w:p>
        </w:tc>
        <w:tc>
          <w:tcPr>
            <w:tcW w:w="1701" w:type="dxa"/>
            <w:tcBorders>
              <w:top w:val="nil"/>
              <w:left w:val="nil"/>
              <w:bottom w:val="nil"/>
              <w:right w:val="nil"/>
            </w:tcBorders>
            <w:shd w:val="clear" w:color="auto" w:fill="FFFFFF"/>
            <w:vAlign w:val="center"/>
          </w:tcPr>
          <w:p w14:paraId="511A0AF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0.78</w:t>
            </w:r>
          </w:p>
        </w:tc>
        <w:tc>
          <w:tcPr>
            <w:tcW w:w="1701" w:type="dxa"/>
            <w:tcBorders>
              <w:top w:val="nil"/>
              <w:left w:val="nil"/>
              <w:bottom w:val="nil"/>
              <w:right w:val="nil"/>
            </w:tcBorders>
            <w:shd w:val="clear" w:color="auto" w:fill="FFFFFF"/>
            <w:vAlign w:val="center"/>
          </w:tcPr>
          <w:p w14:paraId="43FF932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0.688</w:t>
            </w:r>
          </w:p>
        </w:tc>
        <w:tc>
          <w:tcPr>
            <w:tcW w:w="1134" w:type="dxa"/>
            <w:tcBorders>
              <w:top w:val="nil"/>
              <w:left w:val="nil"/>
              <w:bottom w:val="nil"/>
              <w:right w:val="nil"/>
            </w:tcBorders>
            <w:shd w:val="clear" w:color="auto" w:fill="FFFFFF"/>
            <w:vAlign w:val="center"/>
          </w:tcPr>
          <w:p w14:paraId="1C18DDB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13.40%</w:t>
            </w:r>
          </w:p>
        </w:tc>
        <w:tc>
          <w:tcPr>
            <w:tcW w:w="1701" w:type="dxa"/>
            <w:tcBorders>
              <w:top w:val="nil"/>
              <w:left w:val="nil"/>
              <w:bottom w:val="nil"/>
              <w:right w:val="nil"/>
            </w:tcBorders>
            <w:shd w:val="clear" w:color="auto" w:fill="FFFFFF"/>
            <w:vAlign w:val="center"/>
          </w:tcPr>
          <w:p w14:paraId="2AA93B1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01A1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nil"/>
              <w:left w:val="nil"/>
              <w:bottom w:val="single" w:color="000000" w:sz="12" w:space="0"/>
              <w:right w:val="nil"/>
            </w:tcBorders>
            <w:shd w:val="clear" w:color="auto" w:fill="FFFFFF"/>
            <w:vAlign w:val="center"/>
          </w:tcPr>
          <w:p w14:paraId="1FB2B42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NEO Openness α</w:t>
            </w:r>
          </w:p>
        </w:tc>
        <w:tc>
          <w:tcPr>
            <w:tcW w:w="1701" w:type="dxa"/>
            <w:tcBorders>
              <w:top w:val="nil"/>
              <w:left w:val="nil"/>
              <w:bottom w:val="single" w:color="000000" w:sz="12" w:space="0"/>
              <w:right w:val="nil"/>
            </w:tcBorders>
            <w:shd w:val="clear" w:color="auto" w:fill="FFFFFF"/>
            <w:vAlign w:val="center"/>
          </w:tcPr>
          <w:p w14:paraId="658DD0F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0.75</w:t>
            </w:r>
          </w:p>
        </w:tc>
        <w:tc>
          <w:tcPr>
            <w:tcW w:w="1701" w:type="dxa"/>
            <w:tcBorders>
              <w:top w:val="nil"/>
              <w:left w:val="nil"/>
              <w:bottom w:val="single" w:color="000000" w:sz="12" w:space="0"/>
              <w:right w:val="nil"/>
            </w:tcBorders>
            <w:shd w:val="clear" w:color="auto" w:fill="FFFFFF"/>
            <w:vAlign w:val="center"/>
          </w:tcPr>
          <w:p w14:paraId="478BD54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0.755</w:t>
            </w:r>
          </w:p>
        </w:tc>
        <w:tc>
          <w:tcPr>
            <w:tcW w:w="1134" w:type="dxa"/>
            <w:tcBorders>
              <w:top w:val="nil"/>
              <w:left w:val="nil"/>
              <w:bottom w:val="single" w:color="000000" w:sz="12" w:space="0"/>
              <w:right w:val="nil"/>
            </w:tcBorders>
            <w:shd w:val="clear" w:color="auto" w:fill="FFFFFF"/>
            <w:vAlign w:val="center"/>
          </w:tcPr>
          <w:p w14:paraId="2C91D229">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0.67%</w:t>
            </w:r>
          </w:p>
        </w:tc>
        <w:tc>
          <w:tcPr>
            <w:tcW w:w="1701" w:type="dxa"/>
            <w:tcBorders>
              <w:top w:val="nil"/>
              <w:left w:val="nil"/>
              <w:bottom w:val="single" w:color="000000" w:sz="12" w:space="0"/>
              <w:right w:val="nil"/>
            </w:tcBorders>
            <w:shd w:val="clear" w:color="auto" w:fill="FFFFFF"/>
            <w:vAlign w:val="center"/>
          </w:tcPr>
          <w:p w14:paraId="59C9CB2C">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bl>
    <w:p w14:paraId="2898BC76">
      <w:pPr>
        <w:spacing w:line="480" w:lineRule="auto"/>
        <w:rPr>
          <w:rFonts w:hint="eastAsia" w:ascii="Times New Roman" w:hAnsi="Times New Roman" w:eastAsia="宋体" w:cs="Times New Roman"/>
          <w:b/>
          <w:bCs/>
          <w:szCs w:val="24"/>
          <w14:ligatures w14:val="none"/>
        </w:rPr>
      </w:pPr>
    </w:p>
    <w:p w14:paraId="2C0D08E8">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 推断性统计</w:t>
      </w:r>
    </w:p>
    <w:p w14:paraId="0B1B6B60">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报告对原文献推断性统计进行重复的结果，并汇总表格：</w:t>
      </w:r>
    </w:p>
    <w:p w14:paraId="35F2F31B">
      <w:pPr>
        <w:widowControl/>
        <w:jc w:val="left"/>
        <w:rPr>
          <w:rFonts w:ascii="Times New Roman" w:hAnsi="Times New Roman" w:eastAsia="黑体" w:cs="Times New Roman"/>
          <w:b/>
          <w:bCs/>
          <w:sz w:val="18"/>
          <w:szCs w:val="18"/>
          <w14:ligatures w14:val="none"/>
        </w:rPr>
      </w:pPr>
    </w:p>
    <w:p w14:paraId="4465133F">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2</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复现结</w:t>
      </w:r>
      <w:r>
        <w:rPr>
          <w:rFonts w:ascii="Times New Roman" w:hAnsi="Times New Roman" w:eastAsia="黑体" w:cs="Times New Roman"/>
          <w:b/>
          <w:bCs/>
          <w:sz w:val="18"/>
          <w:szCs w:val="18"/>
          <w14:ligatures w14:val="none"/>
        </w:rPr>
        <w:t>果</w:t>
      </w:r>
      <w:r>
        <w:rPr>
          <w:rFonts w:hint="eastAsia" w:ascii="Times New Roman" w:hAnsi="Times New Roman" w:eastAsia="黑体" w:cs="Times New Roman"/>
          <w:b/>
          <w:bCs/>
          <w:sz w:val="18"/>
          <w:szCs w:val="18"/>
          <w14:ligatures w14:val="none"/>
        </w:rPr>
        <w:t>的推断性</w:t>
      </w:r>
      <w:r>
        <w:rPr>
          <w:rFonts w:ascii="Times New Roman" w:hAnsi="Times New Roman" w:eastAsia="黑体" w:cs="Times New Roman"/>
          <w:b/>
          <w:bCs/>
          <w:sz w:val="18"/>
          <w:szCs w:val="18"/>
          <w14:ligatures w14:val="none"/>
        </w:rPr>
        <w:t>统计</w:t>
      </w:r>
    </w:p>
    <w:tbl>
      <w:tblPr>
        <w:tblStyle w:val="5"/>
        <w:tblW w:w="582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0"/>
        <w:gridCol w:w="2731"/>
        <w:gridCol w:w="1090"/>
        <w:gridCol w:w="1322"/>
        <w:gridCol w:w="1054"/>
        <w:gridCol w:w="1973"/>
      </w:tblGrid>
      <w:tr w14:paraId="2C575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single" w:color="000000" w:sz="12" w:space="0"/>
              <w:left w:val="nil"/>
              <w:bottom w:val="single" w:color="000000" w:sz="4" w:space="0"/>
              <w:right w:val="nil"/>
              <w:tl2br w:val="nil"/>
            </w:tcBorders>
            <w:shd w:val="clear" w:color="auto" w:fill="FFFFFF"/>
            <w:vAlign w:val="center"/>
          </w:tcPr>
          <w:p w14:paraId="365FB23D">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类别</w:t>
            </w:r>
          </w:p>
        </w:tc>
        <w:tc>
          <w:tcPr>
            <w:tcW w:w="1376" w:type="pct"/>
            <w:tcBorders>
              <w:top w:val="single" w:color="000000" w:sz="12" w:space="0"/>
              <w:left w:val="nil"/>
              <w:bottom w:val="single" w:color="000000" w:sz="4" w:space="0"/>
              <w:right w:val="nil"/>
            </w:tcBorders>
            <w:shd w:val="clear" w:color="auto" w:fill="FFFFFF"/>
            <w:vAlign w:val="center"/>
          </w:tcPr>
          <w:p w14:paraId="43AE31A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统计指标</w:t>
            </w:r>
          </w:p>
        </w:tc>
        <w:tc>
          <w:tcPr>
            <w:tcW w:w="549" w:type="pct"/>
            <w:tcBorders>
              <w:top w:val="single" w:color="000000" w:sz="12" w:space="0"/>
              <w:left w:val="nil"/>
              <w:bottom w:val="single" w:color="000000" w:sz="4" w:space="0"/>
              <w:right w:val="nil"/>
            </w:tcBorders>
            <w:shd w:val="clear" w:color="auto" w:fill="FFFFFF"/>
            <w:vAlign w:val="center"/>
          </w:tcPr>
          <w:p w14:paraId="01E6CC3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原文献报告结果</w:t>
            </w:r>
          </w:p>
        </w:tc>
        <w:tc>
          <w:tcPr>
            <w:tcW w:w="666" w:type="pct"/>
            <w:tcBorders>
              <w:top w:val="single" w:color="000000" w:sz="12" w:space="0"/>
              <w:left w:val="nil"/>
              <w:bottom w:val="single" w:color="000000" w:sz="4" w:space="0"/>
              <w:right w:val="nil"/>
            </w:tcBorders>
            <w:shd w:val="clear" w:color="auto" w:fill="FFFFFF"/>
            <w:vAlign w:val="center"/>
          </w:tcPr>
          <w:p w14:paraId="7EB03BF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本研究</w:t>
            </w:r>
          </w:p>
        </w:tc>
        <w:tc>
          <w:tcPr>
            <w:tcW w:w="531" w:type="pct"/>
            <w:tcBorders>
              <w:top w:val="single" w:color="000000" w:sz="12" w:space="0"/>
              <w:left w:val="nil"/>
              <w:bottom w:val="single" w:color="000000" w:sz="4" w:space="0"/>
              <w:right w:val="nil"/>
            </w:tcBorders>
            <w:shd w:val="clear" w:color="auto" w:fill="FFFFFF"/>
            <w:vAlign w:val="center"/>
          </w:tcPr>
          <w:p w14:paraId="7AB1EA6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δ</w:t>
            </w:r>
          </w:p>
        </w:tc>
        <w:tc>
          <w:tcPr>
            <w:tcW w:w="994" w:type="pct"/>
            <w:tcBorders>
              <w:top w:val="single" w:color="000000" w:sz="12" w:space="0"/>
              <w:left w:val="nil"/>
              <w:bottom w:val="single" w:color="000000" w:sz="4" w:space="0"/>
              <w:right w:val="nil"/>
            </w:tcBorders>
            <w:shd w:val="clear" w:color="auto" w:fill="FFFFFF"/>
            <w:vAlign w:val="center"/>
          </w:tcPr>
          <w:p w14:paraId="1C0F41F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r>
      <w:tr w14:paraId="13C96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single" w:color="000000" w:sz="4" w:space="0"/>
              <w:left w:val="nil"/>
              <w:bottom w:val="nil"/>
              <w:right w:val="nil"/>
            </w:tcBorders>
            <w:shd w:val="clear" w:color="auto" w:fill="FFFFFF"/>
            <w:vAlign w:val="center"/>
          </w:tcPr>
          <w:p w14:paraId="5F3F6BCD">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行为统计</w:t>
            </w:r>
          </w:p>
        </w:tc>
        <w:tc>
          <w:tcPr>
            <w:tcW w:w="1376" w:type="pct"/>
            <w:tcBorders>
              <w:top w:val="single" w:color="000000" w:sz="4" w:space="0"/>
              <w:left w:val="nil"/>
              <w:bottom w:val="nil"/>
              <w:right w:val="nil"/>
            </w:tcBorders>
            <w:shd w:val="clear" w:color="auto" w:fill="FFFFFF"/>
            <w:vAlign w:val="center"/>
          </w:tcPr>
          <w:p w14:paraId="39B9B29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总反应数与开放性相关 r</w:t>
            </w:r>
          </w:p>
        </w:tc>
        <w:tc>
          <w:tcPr>
            <w:tcW w:w="549" w:type="pct"/>
            <w:tcBorders>
              <w:top w:val="single" w:color="000000" w:sz="4" w:space="0"/>
              <w:left w:val="nil"/>
              <w:bottom w:val="nil"/>
              <w:right w:val="nil"/>
            </w:tcBorders>
            <w:shd w:val="clear" w:color="auto" w:fill="FFFFFF"/>
            <w:vAlign w:val="center"/>
          </w:tcPr>
          <w:p w14:paraId="0D2CE86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.170</w:t>
            </w:r>
          </w:p>
        </w:tc>
        <w:tc>
          <w:tcPr>
            <w:tcW w:w="666" w:type="pct"/>
            <w:tcBorders>
              <w:top w:val="single" w:color="000000" w:sz="4" w:space="0"/>
              <w:left w:val="nil"/>
              <w:bottom w:val="nil"/>
              <w:right w:val="nil"/>
            </w:tcBorders>
            <w:shd w:val="clear" w:color="auto" w:fill="FFFFFF"/>
            <w:vAlign w:val="center"/>
          </w:tcPr>
          <w:p w14:paraId="23F6BD49">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0.175</w:t>
            </w:r>
          </w:p>
        </w:tc>
        <w:tc>
          <w:tcPr>
            <w:tcW w:w="531" w:type="pct"/>
            <w:tcBorders>
              <w:top w:val="single" w:color="000000" w:sz="4" w:space="0"/>
              <w:left w:val="nil"/>
              <w:bottom w:val="nil"/>
              <w:right w:val="nil"/>
            </w:tcBorders>
            <w:shd w:val="clear" w:color="auto" w:fill="FFFFFF"/>
            <w:vAlign w:val="center"/>
          </w:tcPr>
          <w:p w14:paraId="0789476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2.92%</w:t>
            </w:r>
          </w:p>
        </w:tc>
        <w:tc>
          <w:tcPr>
            <w:tcW w:w="994" w:type="pct"/>
            <w:tcBorders>
              <w:top w:val="single" w:color="000000" w:sz="4" w:space="0"/>
              <w:left w:val="nil"/>
              <w:bottom w:val="nil"/>
              <w:right w:val="nil"/>
            </w:tcBorders>
            <w:shd w:val="clear" w:color="auto" w:fill="FFFFFF"/>
            <w:vAlign w:val="center"/>
          </w:tcPr>
          <w:p w14:paraId="7496078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29E12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38C39D49">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行为统计</w:t>
            </w:r>
          </w:p>
        </w:tc>
        <w:tc>
          <w:tcPr>
            <w:tcW w:w="1376" w:type="pct"/>
            <w:tcBorders>
              <w:top w:val="nil"/>
              <w:left w:val="nil"/>
              <w:bottom w:val="nil"/>
              <w:right w:val="nil"/>
            </w:tcBorders>
            <w:shd w:val="clear" w:color="auto" w:fill="FFFFFF"/>
            <w:vAlign w:val="center"/>
          </w:tcPr>
          <w:p w14:paraId="3F3681E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总反应数组间差异 t(514)（注：方向相反，按绝对值比较）</w:t>
            </w:r>
          </w:p>
        </w:tc>
        <w:tc>
          <w:tcPr>
            <w:tcW w:w="549" w:type="pct"/>
            <w:tcBorders>
              <w:top w:val="nil"/>
              <w:left w:val="nil"/>
              <w:bottom w:val="nil"/>
              <w:right w:val="nil"/>
            </w:tcBorders>
            <w:shd w:val="clear" w:color="auto" w:fill="FFFFFF"/>
            <w:vAlign w:val="center"/>
          </w:tcPr>
          <w:p w14:paraId="395F2A9D">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-3.525</w:t>
            </w:r>
          </w:p>
        </w:tc>
        <w:tc>
          <w:tcPr>
            <w:tcW w:w="666" w:type="pct"/>
            <w:tcBorders>
              <w:top w:val="nil"/>
              <w:left w:val="nil"/>
              <w:bottom w:val="nil"/>
              <w:right w:val="nil"/>
            </w:tcBorders>
            <w:shd w:val="clear" w:color="auto" w:fill="FFFFFF"/>
            <w:vAlign w:val="center"/>
          </w:tcPr>
          <w:p w14:paraId="534870AD">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3.188</w:t>
            </w:r>
          </w:p>
        </w:tc>
        <w:tc>
          <w:tcPr>
            <w:tcW w:w="531" w:type="pct"/>
            <w:tcBorders>
              <w:top w:val="nil"/>
              <w:left w:val="nil"/>
              <w:bottom w:val="nil"/>
              <w:right w:val="nil"/>
            </w:tcBorders>
            <w:shd w:val="clear" w:color="auto" w:fill="FFFFFF"/>
            <w:vAlign w:val="center"/>
          </w:tcPr>
          <w:p w14:paraId="16E3851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10.56%</w:t>
            </w:r>
          </w:p>
        </w:tc>
        <w:tc>
          <w:tcPr>
            <w:tcW w:w="994" w:type="pct"/>
            <w:tcBorders>
              <w:top w:val="nil"/>
              <w:left w:val="nil"/>
              <w:bottom w:val="nil"/>
              <w:right w:val="nil"/>
            </w:tcBorders>
            <w:shd w:val="clear" w:color="auto" w:fill="FFFFFF"/>
            <w:vAlign w:val="center"/>
          </w:tcPr>
          <w:p w14:paraId="39F09D9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21C24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50AC44A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行为统计</w:t>
            </w:r>
          </w:p>
        </w:tc>
        <w:tc>
          <w:tcPr>
            <w:tcW w:w="1376" w:type="pct"/>
            <w:tcBorders>
              <w:top w:val="nil"/>
              <w:left w:val="nil"/>
              <w:bottom w:val="nil"/>
              <w:right w:val="nil"/>
            </w:tcBorders>
            <w:shd w:val="clear" w:color="auto" w:fill="FFFFFF"/>
            <w:vAlign w:val="center"/>
          </w:tcPr>
          <w:p w14:paraId="3BE7F08C">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总反应数组间差异 p</w:t>
            </w:r>
          </w:p>
        </w:tc>
        <w:tc>
          <w:tcPr>
            <w:tcW w:w="549" w:type="pct"/>
            <w:tcBorders>
              <w:top w:val="nil"/>
              <w:left w:val="nil"/>
              <w:bottom w:val="nil"/>
              <w:right w:val="nil"/>
            </w:tcBorders>
            <w:shd w:val="clear" w:color="auto" w:fill="FFFFFF"/>
            <w:vAlign w:val="center"/>
          </w:tcPr>
          <w:p w14:paraId="68C9B5D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.007</w:t>
            </w:r>
          </w:p>
        </w:tc>
        <w:tc>
          <w:tcPr>
            <w:tcW w:w="666" w:type="pct"/>
            <w:tcBorders>
              <w:top w:val="nil"/>
              <w:left w:val="nil"/>
              <w:bottom w:val="nil"/>
              <w:right w:val="nil"/>
            </w:tcBorders>
            <w:shd w:val="clear" w:color="auto" w:fill="FFFFFF"/>
            <w:vAlign w:val="center"/>
          </w:tcPr>
          <w:p w14:paraId="4782F96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0.002</w:t>
            </w:r>
          </w:p>
        </w:tc>
        <w:tc>
          <w:tcPr>
            <w:tcW w:w="531" w:type="pct"/>
            <w:tcBorders>
              <w:top w:val="nil"/>
              <w:left w:val="nil"/>
              <w:bottom w:val="nil"/>
              <w:right w:val="nil"/>
            </w:tcBorders>
            <w:shd w:val="clear" w:color="auto" w:fill="FFFFFF"/>
            <w:vAlign w:val="center"/>
          </w:tcPr>
          <w:p w14:paraId="59EC84D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361.16%</w:t>
            </w:r>
          </w:p>
        </w:tc>
        <w:tc>
          <w:tcPr>
            <w:tcW w:w="994" w:type="pct"/>
            <w:tcBorders>
              <w:top w:val="nil"/>
              <w:left w:val="nil"/>
              <w:bottom w:val="nil"/>
              <w:right w:val="nil"/>
            </w:tcBorders>
            <w:shd w:val="clear" w:color="auto" w:fill="FFFFFF"/>
            <w:vAlign w:val="center"/>
          </w:tcPr>
          <w:p w14:paraId="3DA6519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3CC21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4B4C6E7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行为统计</w:t>
            </w:r>
          </w:p>
        </w:tc>
        <w:tc>
          <w:tcPr>
            <w:tcW w:w="1376" w:type="pct"/>
            <w:tcBorders>
              <w:top w:val="nil"/>
              <w:left w:val="nil"/>
              <w:bottom w:val="nil"/>
              <w:right w:val="nil"/>
            </w:tcBorders>
            <w:shd w:val="clear" w:color="auto" w:fill="FFFFFF"/>
            <w:vAlign w:val="center"/>
          </w:tcPr>
          <w:p w14:paraId="6454198D">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总反应数组间差异 Cohen d</w:t>
            </w:r>
          </w:p>
        </w:tc>
        <w:tc>
          <w:tcPr>
            <w:tcW w:w="549" w:type="pct"/>
            <w:tcBorders>
              <w:top w:val="nil"/>
              <w:left w:val="nil"/>
              <w:bottom w:val="nil"/>
              <w:right w:val="nil"/>
            </w:tcBorders>
            <w:shd w:val="clear" w:color="auto" w:fill="FFFFFF"/>
            <w:vAlign w:val="center"/>
          </w:tcPr>
          <w:p w14:paraId="5F63969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.238</w:t>
            </w:r>
          </w:p>
        </w:tc>
        <w:tc>
          <w:tcPr>
            <w:tcW w:w="666" w:type="pct"/>
            <w:tcBorders>
              <w:top w:val="nil"/>
              <w:left w:val="nil"/>
              <w:bottom w:val="nil"/>
              <w:right w:val="nil"/>
            </w:tcBorders>
            <w:shd w:val="clear" w:color="auto" w:fill="FFFFFF"/>
            <w:vAlign w:val="center"/>
          </w:tcPr>
          <w:p w14:paraId="07E85C8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0.281</w:t>
            </w:r>
          </w:p>
        </w:tc>
        <w:tc>
          <w:tcPr>
            <w:tcW w:w="531" w:type="pct"/>
            <w:tcBorders>
              <w:top w:val="nil"/>
              <w:left w:val="nil"/>
              <w:bottom w:val="nil"/>
              <w:right w:val="nil"/>
            </w:tcBorders>
            <w:shd w:val="clear" w:color="auto" w:fill="FFFFFF"/>
            <w:vAlign w:val="center"/>
          </w:tcPr>
          <w:p w14:paraId="0D3B77C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15.22%</w:t>
            </w:r>
          </w:p>
        </w:tc>
        <w:tc>
          <w:tcPr>
            <w:tcW w:w="994" w:type="pct"/>
            <w:tcBorders>
              <w:top w:val="nil"/>
              <w:left w:val="nil"/>
              <w:bottom w:val="nil"/>
              <w:right w:val="nil"/>
            </w:tcBorders>
            <w:shd w:val="clear" w:color="auto" w:fill="FFFFFF"/>
            <w:vAlign w:val="center"/>
          </w:tcPr>
          <w:p w14:paraId="0DBB32E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4B94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5801494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行为统计</w:t>
            </w:r>
          </w:p>
        </w:tc>
        <w:tc>
          <w:tcPr>
            <w:tcW w:w="1376" w:type="pct"/>
            <w:tcBorders>
              <w:top w:val="nil"/>
              <w:left w:val="nil"/>
              <w:bottom w:val="nil"/>
              <w:right w:val="nil"/>
            </w:tcBorders>
            <w:shd w:val="clear" w:color="auto" w:fill="FFFFFF"/>
            <w:vAlign w:val="center"/>
          </w:tcPr>
          <w:p w14:paraId="67627D3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独特反应数 McNemar χ²(1)</w:t>
            </w:r>
          </w:p>
        </w:tc>
        <w:tc>
          <w:tcPr>
            <w:tcW w:w="549" w:type="pct"/>
            <w:tcBorders>
              <w:top w:val="nil"/>
              <w:left w:val="nil"/>
              <w:bottom w:val="nil"/>
              <w:right w:val="nil"/>
            </w:tcBorders>
            <w:shd w:val="clear" w:color="auto" w:fill="FFFFFF"/>
            <w:vAlign w:val="center"/>
          </w:tcPr>
          <w:p w14:paraId="59B294D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16.908</w:t>
            </w:r>
          </w:p>
        </w:tc>
        <w:tc>
          <w:tcPr>
            <w:tcW w:w="666" w:type="pct"/>
            <w:tcBorders>
              <w:top w:val="nil"/>
              <w:left w:val="nil"/>
              <w:bottom w:val="nil"/>
              <w:right w:val="nil"/>
            </w:tcBorders>
            <w:shd w:val="clear" w:color="auto" w:fill="FFFFFF"/>
            <w:vAlign w:val="center"/>
          </w:tcPr>
          <w:p w14:paraId="56A621D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16.89</w:t>
            </w:r>
          </w:p>
        </w:tc>
        <w:tc>
          <w:tcPr>
            <w:tcW w:w="531" w:type="pct"/>
            <w:tcBorders>
              <w:top w:val="nil"/>
              <w:left w:val="nil"/>
              <w:bottom w:val="nil"/>
              <w:right w:val="nil"/>
            </w:tcBorders>
            <w:shd w:val="clear" w:color="auto" w:fill="FFFFFF"/>
            <w:vAlign w:val="center"/>
          </w:tcPr>
          <w:p w14:paraId="0C3DB1A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0.11%</w:t>
            </w:r>
          </w:p>
        </w:tc>
        <w:tc>
          <w:tcPr>
            <w:tcW w:w="994" w:type="pct"/>
            <w:tcBorders>
              <w:top w:val="nil"/>
              <w:left w:val="nil"/>
              <w:bottom w:val="nil"/>
              <w:right w:val="nil"/>
            </w:tcBorders>
            <w:shd w:val="clear" w:color="auto" w:fill="FFFFFF"/>
            <w:vAlign w:val="center"/>
          </w:tcPr>
          <w:p w14:paraId="6E9613B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5529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34B1942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行为统计</w:t>
            </w:r>
          </w:p>
        </w:tc>
        <w:tc>
          <w:tcPr>
            <w:tcW w:w="1376" w:type="pct"/>
            <w:tcBorders>
              <w:top w:val="nil"/>
              <w:left w:val="nil"/>
              <w:bottom w:val="nil"/>
              <w:right w:val="nil"/>
            </w:tcBorders>
            <w:shd w:val="clear" w:color="auto" w:fill="FFFFFF"/>
            <w:vAlign w:val="center"/>
          </w:tcPr>
          <w:p w14:paraId="1F9D04E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独特反应数 McNemar φ</w:t>
            </w:r>
          </w:p>
        </w:tc>
        <w:tc>
          <w:tcPr>
            <w:tcW w:w="549" w:type="pct"/>
            <w:tcBorders>
              <w:top w:val="nil"/>
              <w:left w:val="nil"/>
              <w:bottom w:val="nil"/>
              <w:right w:val="nil"/>
            </w:tcBorders>
            <w:shd w:val="clear" w:color="auto" w:fill="FFFFFF"/>
            <w:vAlign w:val="center"/>
          </w:tcPr>
          <w:p w14:paraId="617399D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.221</w:t>
            </w:r>
          </w:p>
        </w:tc>
        <w:tc>
          <w:tcPr>
            <w:tcW w:w="666" w:type="pct"/>
            <w:tcBorders>
              <w:top w:val="nil"/>
              <w:left w:val="nil"/>
              <w:bottom w:val="nil"/>
              <w:right w:val="nil"/>
            </w:tcBorders>
            <w:shd w:val="clear" w:color="auto" w:fill="FFFFFF"/>
            <w:vAlign w:val="center"/>
          </w:tcPr>
          <w:p w14:paraId="6785076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0.214</w:t>
            </w:r>
          </w:p>
        </w:tc>
        <w:tc>
          <w:tcPr>
            <w:tcW w:w="531" w:type="pct"/>
            <w:tcBorders>
              <w:top w:val="nil"/>
              <w:left w:val="nil"/>
              <w:bottom w:val="nil"/>
              <w:right w:val="nil"/>
            </w:tcBorders>
            <w:shd w:val="clear" w:color="auto" w:fill="FFFFFF"/>
            <w:vAlign w:val="center"/>
          </w:tcPr>
          <w:p w14:paraId="667BE11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3.16%</w:t>
            </w:r>
          </w:p>
        </w:tc>
        <w:tc>
          <w:tcPr>
            <w:tcW w:w="994" w:type="pct"/>
            <w:tcBorders>
              <w:top w:val="nil"/>
              <w:left w:val="nil"/>
              <w:bottom w:val="nil"/>
              <w:right w:val="nil"/>
            </w:tcBorders>
            <w:shd w:val="clear" w:color="auto" w:fill="FFFFFF"/>
            <w:vAlign w:val="center"/>
          </w:tcPr>
          <w:p w14:paraId="1B69452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726F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5D8202D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完整语义网络</w:t>
            </w:r>
          </w:p>
        </w:tc>
        <w:tc>
          <w:tcPr>
            <w:tcW w:w="1376" w:type="pct"/>
            <w:tcBorders>
              <w:top w:val="nil"/>
              <w:left w:val="nil"/>
              <w:bottom w:val="nil"/>
              <w:right w:val="nil"/>
            </w:tcBorders>
            <w:shd w:val="clear" w:color="auto" w:fill="FFFFFF"/>
            <w:vAlign w:val="center"/>
          </w:tcPr>
          <w:p w14:paraId="65D3D90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平均最短路径长度 ASPL（低开放组）</w:t>
            </w:r>
          </w:p>
        </w:tc>
        <w:tc>
          <w:tcPr>
            <w:tcW w:w="549" w:type="pct"/>
            <w:tcBorders>
              <w:top w:val="nil"/>
              <w:left w:val="nil"/>
              <w:bottom w:val="nil"/>
              <w:right w:val="nil"/>
            </w:tcBorders>
            <w:shd w:val="clear" w:color="auto" w:fill="FFFFFF"/>
            <w:vAlign w:val="center"/>
          </w:tcPr>
          <w:p w14:paraId="1010C3F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3.19</w:t>
            </w:r>
          </w:p>
        </w:tc>
        <w:tc>
          <w:tcPr>
            <w:tcW w:w="666" w:type="pct"/>
            <w:tcBorders>
              <w:top w:val="nil"/>
              <w:left w:val="nil"/>
              <w:bottom w:val="nil"/>
              <w:right w:val="nil"/>
            </w:tcBorders>
            <w:shd w:val="clear" w:color="auto" w:fill="FFFFFF"/>
            <w:vAlign w:val="center"/>
          </w:tcPr>
          <w:p w14:paraId="707C05C1">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4.289</w:t>
            </w:r>
          </w:p>
        </w:tc>
        <w:tc>
          <w:tcPr>
            <w:tcW w:w="531" w:type="pct"/>
            <w:tcBorders>
              <w:top w:val="nil"/>
              <w:left w:val="nil"/>
              <w:bottom w:val="nil"/>
              <w:right w:val="nil"/>
            </w:tcBorders>
            <w:shd w:val="clear" w:color="auto" w:fill="FFFFFF"/>
            <w:vAlign w:val="center"/>
          </w:tcPr>
          <w:p w14:paraId="1D8E168C">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25.62%</w:t>
            </w:r>
          </w:p>
        </w:tc>
        <w:tc>
          <w:tcPr>
            <w:tcW w:w="994" w:type="pct"/>
            <w:tcBorders>
              <w:top w:val="nil"/>
              <w:left w:val="nil"/>
              <w:bottom w:val="nil"/>
              <w:right w:val="nil"/>
            </w:tcBorders>
            <w:shd w:val="clear" w:color="auto" w:fill="FFFFFF"/>
            <w:vAlign w:val="center"/>
          </w:tcPr>
          <w:p w14:paraId="19187481">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27D44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473253A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完整语义网络</w:t>
            </w:r>
          </w:p>
        </w:tc>
        <w:tc>
          <w:tcPr>
            <w:tcW w:w="1376" w:type="pct"/>
            <w:tcBorders>
              <w:top w:val="nil"/>
              <w:left w:val="nil"/>
              <w:bottom w:val="nil"/>
              <w:right w:val="nil"/>
            </w:tcBorders>
            <w:shd w:val="clear" w:color="auto" w:fill="FFFFFF"/>
            <w:vAlign w:val="center"/>
          </w:tcPr>
          <w:p w14:paraId="4679A70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平均最短路径长度 ASPL（高开放组）</w:t>
            </w:r>
          </w:p>
        </w:tc>
        <w:tc>
          <w:tcPr>
            <w:tcW w:w="549" w:type="pct"/>
            <w:tcBorders>
              <w:top w:val="nil"/>
              <w:left w:val="nil"/>
              <w:bottom w:val="nil"/>
              <w:right w:val="nil"/>
            </w:tcBorders>
            <w:shd w:val="clear" w:color="auto" w:fill="FFFFFF"/>
            <w:vAlign w:val="center"/>
          </w:tcPr>
          <w:p w14:paraId="55B98D8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2.84</w:t>
            </w:r>
          </w:p>
        </w:tc>
        <w:tc>
          <w:tcPr>
            <w:tcW w:w="666" w:type="pct"/>
            <w:tcBorders>
              <w:top w:val="nil"/>
              <w:left w:val="nil"/>
              <w:bottom w:val="nil"/>
              <w:right w:val="nil"/>
            </w:tcBorders>
            <w:shd w:val="clear" w:color="auto" w:fill="FFFFFF"/>
            <w:vAlign w:val="center"/>
          </w:tcPr>
          <w:p w14:paraId="710EA27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3.534</w:t>
            </w:r>
          </w:p>
        </w:tc>
        <w:tc>
          <w:tcPr>
            <w:tcW w:w="531" w:type="pct"/>
            <w:tcBorders>
              <w:top w:val="nil"/>
              <w:left w:val="nil"/>
              <w:bottom w:val="nil"/>
              <w:right w:val="nil"/>
            </w:tcBorders>
            <w:shd w:val="clear" w:color="auto" w:fill="FFFFFF"/>
            <w:vAlign w:val="center"/>
          </w:tcPr>
          <w:p w14:paraId="00CB589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19.63%</w:t>
            </w:r>
          </w:p>
        </w:tc>
        <w:tc>
          <w:tcPr>
            <w:tcW w:w="994" w:type="pct"/>
            <w:tcBorders>
              <w:top w:val="nil"/>
              <w:left w:val="nil"/>
              <w:bottom w:val="nil"/>
              <w:right w:val="nil"/>
            </w:tcBorders>
            <w:shd w:val="clear" w:color="auto" w:fill="FFFFFF"/>
            <w:vAlign w:val="center"/>
          </w:tcPr>
          <w:p w14:paraId="426F8A1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50650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7702A4D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完整语义网络</w:t>
            </w:r>
          </w:p>
        </w:tc>
        <w:tc>
          <w:tcPr>
            <w:tcW w:w="1376" w:type="pct"/>
            <w:tcBorders>
              <w:top w:val="nil"/>
              <w:left w:val="nil"/>
              <w:bottom w:val="nil"/>
              <w:right w:val="nil"/>
            </w:tcBorders>
            <w:shd w:val="clear" w:color="auto" w:fill="FFFFFF"/>
            <w:vAlign w:val="center"/>
          </w:tcPr>
          <w:p w14:paraId="2F9F220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聚类系数 CC（低开放组）</w:t>
            </w:r>
          </w:p>
        </w:tc>
        <w:tc>
          <w:tcPr>
            <w:tcW w:w="549" w:type="pct"/>
            <w:tcBorders>
              <w:top w:val="nil"/>
              <w:left w:val="nil"/>
              <w:bottom w:val="nil"/>
              <w:right w:val="nil"/>
            </w:tcBorders>
            <w:shd w:val="clear" w:color="auto" w:fill="FFFFFF"/>
            <w:vAlign w:val="center"/>
          </w:tcPr>
          <w:p w14:paraId="1E7E9FD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1.03</w:t>
            </w:r>
          </w:p>
        </w:tc>
        <w:tc>
          <w:tcPr>
            <w:tcW w:w="666" w:type="pct"/>
            <w:tcBorders>
              <w:top w:val="nil"/>
              <w:left w:val="nil"/>
              <w:bottom w:val="nil"/>
              <w:right w:val="nil"/>
            </w:tcBorders>
            <w:shd w:val="clear" w:color="auto" w:fill="FFFFFF"/>
            <w:vAlign w:val="center"/>
          </w:tcPr>
          <w:p w14:paraId="5BB5A37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0.732</w:t>
            </w:r>
          </w:p>
        </w:tc>
        <w:tc>
          <w:tcPr>
            <w:tcW w:w="531" w:type="pct"/>
            <w:tcBorders>
              <w:top w:val="nil"/>
              <w:left w:val="nil"/>
              <w:bottom w:val="nil"/>
              <w:right w:val="nil"/>
            </w:tcBorders>
            <w:shd w:val="clear" w:color="auto" w:fill="FFFFFF"/>
            <w:vAlign w:val="center"/>
          </w:tcPr>
          <w:p w14:paraId="4CC5253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40.81%</w:t>
            </w:r>
          </w:p>
        </w:tc>
        <w:tc>
          <w:tcPr>
            <w:tcW w:w="994" w:type="pct"/>
            <w:tcBorders>
              <w:top w:val="nil"/>
              <w:left w:val="nil"/>
              <w:bottom w:val="nil"/>
              <w:right w:val="nil"/>
            </w:tcBorders>
            <w:shd w:val="clear" w:color="auto" w:fill="FFFFFF"/>
            <w:vAlign w:val="center"/>
          </w:tcPr>
          <w:p w14:paraId="56415D41">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73F7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711B127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完整语义网络</w:t>
            </w:r>
          </w:p>
        </w:tc>
        <w:tc>
          <w:tcPr>
            <w:tcW w:w="1376" w:type="pct"/>
            <w:tcBorders>
              <w:top w:val="nil"/>
              <w:left w:val="nil"/>
              <w:bottom w:val="nil"/>
              <w:right w:val="nil"/>
            </w:tcBorders>
            <w:shd w:val="clear" w:color="auto" w:fill="FFFFFF"/>
            <w:vAlign w:val="center"/>
          </w:tcPr>
          <w:p w14:paraId="2F44EB7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聚类系数 CC（高开放组）</w:t>
            </w:r>
          </w:p>
        </w:tc>
        <w:tc>
          <w:tcPr>
            <w:tcW w:w="549" w:type="pct"/>
            <w:tcBorders>
              <w:top w:val="nil"/>
              <w:left w:val="nil"/>
              <w:bottom w:val="nil"/>
              <w:right w:val="nil"/>
            </w:tcBorders>
            <w:shd w:val="clear" w:color="auto" w:fill="FFFFFF"/>
            <w:vAlign w:val="center"/>
          </w:tcPr>
          <w:p w14:paraId="48D2FF2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1.05</w:t>
            </w:r>
          </w:p>
        </w:tc>
        <w:tc>
          <w:tcPr>
            <w:tcW w:w="666" w:type="pct"/>
            <w:tcBorders>
              <w:top w:val="nil"/>
              <w:left w:val="nil"/>
              <w:bottom w:val="nil"/>
              <w:right w:val="nil"/>
            </w:tcBorders>
            <w:shd w:val="clear" w:color="auto" w:fill="FFFFFF"/>
            <w:vAlign w:val="center"/>
          </w:tcPr>
          <w:p w14:paraId="40FF3CD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0.739</w:t>
            </w:r>
          </w:p>
        </w:tc>
        <w:tc>
          <w:tcPr>
            <w:tcW w:w="531" w:type="pct"/>
            <w:tcBorders>
              <w:top w:val="nil"/>
              <w:left w:val="nil"/>
              <w:bottom w:val="nil"/>
              <w:right w:val="nil"/>
            </w:tcBorders>
            <w:shd w:val="clear" w:color="auto" w:fill="FFFFFF"/>
            <w:vAlign w:val="center"/>
          </w:tcPr>
          <w:p w14:paraId="40AE6C41">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42.16%</w:t>
            </w:r>
          </w:p>
        </w:tc>
        <w:tc>
          <w:tcPr>
            <w:tcW w:w="994" w:type="pct"/>
            <w:tcBorders>
              <w:top w:val="nil"/>
              <w:left w:val="nil"/>
              <w:bottom w:val="nil"/>
              <w:right w:val="nil"/>
            </w:tcBorders>
            <w:shd w:val="clear" w:color="auto" w:fill="FFFFFF"/>
            <w:vAlign w:val="center"/>
          </w:tcPr>
          <w:p w14:paraId="5D5622D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2B003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3D80BB4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完整语义网络</w:t>
            </w:r>
          </w:p>
        </w:tc>
        <w:tc>
          <w:tcPr>
            <w:tcW w:w="1376" w:type="pct"/>
            <w:tcBorders>
              <w:top w:val="nil"/>
              <w:left w:val="nil"/>
              <w:bottom w:val="nil"/>
              <w:right w:val="nil"/>
            </w:tcBorders>
            <w:shd w:val="clear" w:color="auto" w:fill="FFFFFF"/>
            <w:vAlign w:val="center"/>
          </w:tcPr>
          <w:p w14:paraId="7F89D80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模块度 Q（低开放组）</w:t>
            </w:r>
          </w:p>
        </w:tc>
        <w:tc>
          <w:tcPr>
            <w:tcW w:w="549" w:type="pct"/>
            <w:tcBorders>
              <w:top w:val="nil"/>
              <w:left w:val="nil"/>
              <w:bottom w:val="nil"/>
              <w:right w:val="nil"/>
            </w:tcBorders>
            <w:shd w:val="clear" w:color="auto" w:fill="FFFFFF"/>
            <w:vAlign w:val="center"/>
          </w:tcPr>
          <w:p w14:paraId="6A9AB64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0.59</w:t>
            </w:r>
          </w:p>
        </w:tc>
        <w:tc>
          <w:tcPr>
            <w:tcW w:w="666" w:type="pct"/>
            <w:tcBorders>
              <w:top w:val="nil"/>
              <w:left w:val="nil"/>
              <w:bottom w:val="nil"/>
              <w:right w:val="nil"/>
            </w:tcBorders>
            <w:shd w:val="clear" w:color="auto" w:fill="FFFFFF"/>
            <w:vAlign w:val="center"/>
          </w:tcPr>
          <w:p w14:paraId="62A9D02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0.718</w:t>
            </w:r>
          </w:p>
        </w:tc>
        <w:tc>
          <w:tcPr>
            <w:tcW w:w="531" w:type="pct"/>
            <w:tcBorders>
              <w:top w:val="nil"/>
              <w:left w:val="nil"/>
              <w:bottom w:val="nil"/>
              <w:right w:val="nil"/>
            </w:tcBorders>
            <w:shd w:val="clear" w:color="auto" w:fill="FFFFFF"/>
            <w:vAlign w:val="center"/>
          </w:tcPr>
          <w:p w14:paraId="2CBF23D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17.84%</w:t>
            </w:r>
          </w:p>
        </w:tc>
        <w:tc>
          <w:tcPr>
            <w:tcW w:w="994" w:type="pct"/>
            <w:tcBorders>
              <w:top w:val="nil"/>
              <w:left w:val="nil"/>
              <w:bottom w:val="nil"/>
              <w:right w:val="nil"/>
            </w:tcBorders>
            <w:shd w:val="clear" w:color="auto" w:fill="FFFFFF"/>
            <w:vAlign w:val="center"/>
          </w:tcPr>
          <w:p w14:paraId="518E96C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79B72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766CE88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完整语义网络</w:t>
            </w:r>
          </w:p>
        </w:tc>
        <w:tc>
          <w:tcPr>
            <w:tcW w:w="1376" w:type="pct"/>
            <w:tcBorders>
              <w:top w:val="nil"/>
              <w:left w:val="nil"/>
              <w:bottom w:val="nil"/>
              <w:right w:val="nil"/>
            </w:tcBorders>
            <w:shd w:val="clear" w:color="auto" w:fill="FFFFFF"/>
            <w:vAlign w:val="center"/>
          </w:tcPr>
          <w:p w14:paraId="05EA0ACD">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模块度 Q（高开放组）</w:t>
            </w:r>
          </w:p>
        </w:tc>
        <w:tc>
          <w:tcPr>
            <w:tcW w:w="549" w:type="pct"/>
            <w:tcBorders>
              <w:top w:val="nil"/>
              <w:left w:val="nil"/>
              <w:bottom w:val="nil"/>
              <w:right w:val="nil"/>
            </w:tcBorders>
            <w:shd w:val="clear" w:color="auto" w:fill="FFFFFF"/>
            <w:vAlign w:val="center"/>
          </w:tcPr>
          <w:p w14:paraId="5869548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0.521</w:t>
            </w:r>
          </w:p>
        </w:tc>
        <w:tc>
          <w:tcPr>
            <w:tcW w:w="666" w:type="pct"/>
            <w:tcBorders>
              <w:top w:val="nil"/>
              <w:left w:val="nil"/>
              <w:bottom w:val="nil"/>
              <w:right w:val="nil"/>
            </w:tcBorders>
            <w:shd w:val="clear" w:color="auto" w:fill="FFFFFF"/>
            <w:vAlign w:val="center"/>
          </w:tcPr>
          <w:p w14:paraId="7C93718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0.693</w:t>
            </w:r>
          </w:p>
        </w:tc>
        <w:tc>
          <w:tcPr>
            <w:tcW w:w="531" w:type="pct"/>
            <w:tcBorders>
              <w:top w:val="nil"/>
              <w:left w:val="nil"/>
              <w:bottom w:val="nil"/>
              <w:right w:val="nil"/>
            </w:tcBorders>
            <w:shd w:val="clear" w:color="auto" w:fill="FFFFFF"/>
            <w:vAlign w:val="center"/>
          </w:tcPr>
          <w:p w14:paraId="1A1B941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24.77%</w:t>
            </w:r>
          </w:p>
        </w:tc>
        <w:tc>
          <w:tcPr>
            <w:tcW w:w="994" w:type="pct"/>
            <w:tcBorders>
              <w:top w:val="nil"/>
              <w:left w:val="nil"/>
              <w:bottom w:val="nil"/>
              <w:right w:val="nil"/>
            </w:tcBorders>
            <w:shd w:val="clear" w:color="auto" w:fill="FFFFFF"/>
            <w:vAlign w:val="center"/>
          </w:tcPr>
          <w:p w14:paraId="13691B2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344BC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6CEC4A49">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6ACBECA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90%节点 ASPL t(1998)</w:t>
            </w:r>
          </w:p>
        </w:tc>
        <w:tc>
          <w:tcPr>
            <w:tcW w:w="549" w:type="pct"/>
            <w:tcBorders>
              <w:top w:val="nil"/>
              <w:left w:val="nil"/>
              <w:bottom w:val="nil"/>
              <w:right w:val="nil"/>
            </w:tcBorders>
            <w:shd w:val="clear" w:color="auto" w:fill="FFFFFF"/>
            <w:vAlign w:val="center"/>
          </w:tcPr>
          <w:p w14:paraId="277C72C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-65.693</w:t>
            </w:r>
          </w:p>
        </w:tc>
        <w:tc>
          <w:tcPr>
            <w:tcW w:w="666" w:type="pct"/>
            <w:tcBorders>
              <w:top w:val="nil"/>
              <w:left w:val="nil"/>
              <w:bottom w:val="nil"/>
              <w:right w:val="nil"/>
            </w:tcBorders>
            <w:shd w:val="clear" w:color="auto" w:fill="FFFFFF"/>
            <w:vAlign w:val="center"/>
          </w:tcPr>
          <w:p w14:paraId="2CB477E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-92.419</w:t>
            </w:r>
          </w:p>
        </w:tc>
        <w:tc>
          <w:tcPr>
            <w:tcW w:w="531" w:type="pct"/>
            <w:tcBorders>
              <w:top w:val="nil"/>
              <w:left w:val="nil"/>
              <w:bottom w:val="nil"/>
              <w:right w:val="nil"/>
            </w:tcBorders>
            <w:shd w:val="clear" w:color="auto" w:fill="FFFFFF"/>
            <w:vAlign w:val="center"/>
          </w:tcPr>
          <w:p w14:paraId="1F74391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28.92%</w:t>
            </w:r>
          </w:p>
        </w:tc>
        <w:tc>
          <w:tcPr>
            <w:tcW w:w="994" w:type="pct"/>
            <w:tcBorders>
              <w:top w:val="nil"/>
              <w:left w:val="nil"/>
              <w:bottom w:val="nil"/>
              <w:right w:val="nil"/>
            </w:tcBorders>
            <w:shd w:val="clear" w:color="auto" w:fill="FFFFFF"/>
            <w:vAlign w:val="center"/>
          </w:tcPr>
          <w:p w14:paraId="0A61B7C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5B8E0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46A07F9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2FEBBCA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90%节点 ASPL Cohen d</w:t>
            </w:r>
          </w:p>
        </w:tc>
        <w:tc>
          <w:tcPr>
            <w:tcW w:w="549" w:type="pct"/>
            <w:tcBorders>
              <w:top w:val="nil"/>
              <w:left w:val="nil"/>
              <w:bottom w:val="nil"/>
              <w:right w:val="nil"/>
            </w:tcBorders>
            <w:shd w:val="clear" w:color="auto" w:fill="FFFFFF"/>
            <w:vAlign w:val="center"/>
          </w:tcPr>
          <w:p w14:paraId="1390852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2.94</w:t>
            </w:r>
          </w:p>
        </w:tc>
        <w:tc>
          <w:tcPr>
            <w:tcW w:w="666" w:type="pct"/>
            <w:tcBorders>
              <w:top w:val="nil"/>
              <w:left w:val="nil"/>
              <w:bottom w:val="nil"/>
              <w:right w:val="nil"/>
            </w:tcBorders>
            <w:shd w:val="clear" w:color="auto" w:fill="FFFFFF"/>
            <w:vAlign w:val="center"/>
          </w:tcPr>
          <w:p w14:paraId="3203C69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4.133</w:t>
            </w:r>
          </w:p>
        </w:tc>
        <w:tc>
          <w:tcPr>
            <w:tcW w:w="531" w:type="pct"/>
            <w:tcBorders>
              <w:top w:val="nil"/>
              <w:left w:val="nil"/>
              <w:bottom w:val="nil"/>
              <w:right w:val="nil"/>
            </w:tcBorders>
            <w:shd w:val="clear" w:color="auto" w:fill="FFFFFF"/>
            <w:vAlign w:val="center"/>
          </w:tcPr>
          <w:p w14:paraId="3A79AB6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28.87%</w:t>
            </w:r>
          </w:p>
        </w:tc>
        <w:tc>
          <w:tcPr>
            <w:tcW w:w="994" w:type="pct"/>
            <w:tcBorders>
              <w:top w:val="nil"/>
              <w:left w:val="nil"/>
              <w:bottom w:val="nil"/>
              <w:right w:val="nil"/>
            </w:tcBorders>
            <w:shd w:val="clear" w:color="auto" w:fill="FFFFFF"/>
            <w:vAlign w:val="center"/>
          </w:tcPr>
          <w:p w14:paraId="521BD0D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61606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4BADFF9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5EB346E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90%节点 CC t(1998)</w:t>
            </w:r>
          </w:p>
        </w:tc>
        <w:tc>
          <w:tcPr>
            <w:tcW w:w="549" w:type="pct"/>
            <w:tcBorders>
              <w:top w:val="nil"/>
              <w:left w:val="nil"/>
              <w:bottom w:val="nil"/>
              <w:right w:val="nil"/>
            </w:tcBorders>
            <w:shd w:val="clear" w:color="auto" w:fill="FFFFFF"/>
            <w:vAlign w:val="center"/>
          </w:tcPr>
          <w:p w14:paraId="0D4C1069">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67.966</w:t>
            </w:r>
          </w:p>
        </w:tc>
        <w:tc>
          <w:tcPr>
            <w:tcW w:w="666" w:type="pct"/>
            <w:tcBorders>
              <w:top w:val="nil"/>
              <w:left w:val="nil"/>
              <w:bottom w:val="nil"/>
              <w:right w:val="nil"/>
            </w:tcBorders>
            <w:shd w:val="clear" w:color="auto" w:fill="FFFFFF"/>
            <w:vAlign w:val="center"/>
          </w:tcPr>
          <w:p w14:paraId="1EBDB24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54.922</w:t>
            </w:r>
          </w:p>
        </w:tc>
        <w:tc>
          <w:tcPr>
            <w:tcW w:w="531" w:type="pct"/>
            <w:tcBorders>
              <w:top w:val="nil"/>
              <w:left w:val="nil"/>
              <w:bottom w:val="nil"/>
              <w:right w:val="nil"/>
            </w:tcBorders>
            <w:shd w:val="clear" w:color="auto" w:fill="FFFFFF"/>
            <w:vAlign w:val="center"/>
          </w:tcPr>
          <w:p w14:paraId="3E94F29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23.75%</w:t>
            </w:r>
          </w:p>
        </w:tc>
        <w:tc>
          <w:tcPr>
            <w:tcW w:w="994" w:type="pct"/>
            <w:tcBorders>
              <w:top w:val="nil"/>
              <w:left w:val="nil"/>
              <w:bottom w:val="nil"/>
              <w:right w:val="nil"/>
            </w:tcBorders>
            <w:shd w:val="clear" w:color="auto" w:fill="FFFFFF"/>
            <w:vAlign w:val="center"/>
          </w:tcPr>
          <w:p w14:paraId="6B14E91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3C993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7D7B8A4C">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08E0061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90%节点 CC Cohen d</w:t>
            </w:r>
          </w:p>
        </w:tc>
        <w:tc>
          <w:tcPr>
            <w:tcW w:w="549" w:type="pct"/>
            <w:tcBorders>
              <w:top w:val="nil"/>
              <w:left w:val="nil"/>
              <w:bottom w:val="nil"/>
              <w:right w:val="nil"/>
            </w:tcBorders>
            <w:shd w:val="clear" w:color="auto" w:fill="FFFFFF"/>
            <w:vAlign w:val="center"/>
          </w:tcPr>
          <w:p w14:paraId="4BB8E73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3.04</w:t>
            </w:r>
          </w:p>
        </w:tc>
        <w:tc>
          <w:tcPr>
            <w:tcW w:w="666" w:type="pct"/>
            <w:tcBorders>
              <w:top w:val="nil"/>
              <w:left w:val="nil"/>
              <w:bottom w:val="nil"/>
              <w:right w:val="nil"/>
            </w:tcBorders>
            <w:shd w:val="clear" w:color="auto" w:fill="FFFFFF"/>
            <w:vAlign w:val="center"/>
          </w:tcPr>
          <w:p w14:paraId="48D4480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2.456</w:t>
            </w:r>
          </w:p>
        </w:tc>
        <w:tc>
          <w:tcPr>
            <w:tcW w:w="531" w:type="pct"/>
            <w:tcBorders>
              <w:top w:val="nil"/>
              <w:left w:val="nil"/>
              <w:bottom w:val="nil"/>
              <w:right w:val="nil"/>
            </w:tcBorders>
            <w:shd w:val="clear" w:color="auto" w:fill="FFFFFF"/>
            <w:vAlign w:val="center"/>
          </w:tcPr>
          <w:p w14:paraId="20B4C31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23.78%</w:t>
            </w:r>
          </w:p>
        </w:tc>
        <w:tc>
          <w:tcPr>
            <w:tcW w:w="994" w:type="pct"/>
            <w:tcBorders>
              <w:top w:val="nil"/>
              <w:left w:val="nil"/>
              <w:bottom w:val="nil"/>
              <w:right w:val="nil"/>
            </w:tcBorders>
            <w:shd w:val="clear" w:color="auto" w:fill="FFFFFF"/>
            <w:vAlign w:val="center"/>
          </w:tcPr>
          <w:p w14:paraId="0968D0F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1977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28F3F6C1">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570F8FA9">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90%节点 Q t(1998)</w:t>
            </w:r>
          </w:p>
        </w:tc>
        <w:tc>
          <w:tcPr>
            <w:tcW w:w="549" w:type="pct"/>
            <w:tcBorders>
              <w:top w:val="nil"/>
              <w:left w:val="nil"/>
              <w:bottom w:val="nil"/>
              <w:right w:val="nil"/>
            </w:tcBorders>
            <w:shd w:val="clear" w:color="auto" w:fill="FFFFFF"/>
            <w:vAlign w:val="center"/>
          </w:tcPr>
          <w:p w14:paraId="56ADE57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-65.262</w:t>
            </w:r>
          </w:p>
        </w:tc>
        <w:tc>
          <w:tcPr>
            <w:tcW w:w="666" w:type="pct"/>
            <w:tcBorders>
              <w:top w:val="nil"/>
              <w:left w:val="nil"/>
              <w:bottom w:val="nil"/>
              <w:right w:val="nil"/>
            </w:tcBorders>
            <w:shd w:val="clear" w:color="auto" w:fill="FFFFFF"/>
            <w:vAlign w:val="center"/>
          </w:tcPr>
          <w:p w14:paraId="6699B7E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-65.676</w:t>
            </w:r>
          </w:p>
        </w:tc>
        <w:tc>
          <w:tcPr>
            <w:tcW w:w="531" w:type="pct"/>
            <w:tcBorders>
              <w:top w:val="nil"/>
              <w:left w:val="nil"/>
              <w:bottom w:val="nil"/>
              <w:right w:val="nil"/>
            </w:tcBorders>
            <w:shd w:val="clear" w:color="auto" w:fill="FFFFFF"/>
            <w:vAlign w:val="center"/>
          </w:tcPr>
          <w:p w14:paraId="729CF56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0.63%</w:t>
            </w:r>
          </w:p>
        </w:tc>
        <w:tc>
          <w:tcPr>
            <w:tcW w:w="994" w:type="pct"/>
            <w:tcBorders>
              <w:top w:val="nil"/>
              <w:left w:val="nil"/>
              <w:bottom w:val="nil"/>
              <w:right w:val="nil"/>
            </w:tcBorders>
            <w:shd w:val="clear" w:color="auto" w:fill="FFFFFF"/>
            <w:vAlign w:val="center"/>
          </w:tcPr>
          <w:p w14:paraId="19EAC2A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13538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03453F0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761E474C">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90%节点 Q Cohen d</w:t>
            </w:r>
          </w:p>
        </w:tc>
        <w:tc>
          <w:tcPr>
            <w:tcW w:w="549" w:type="pct"/>
            <w:tcBorders>
              <w:top w:val="nil"/>
              <w:left w:val="nil"/>
              <w:bottom w:val="nil"/>
              <w:right w:val="nil"/>
            </w:tcBorders>
            <w:shd w:val="clear" w:color="auto" w:fill="FFFFFF"/>
            <w:vAlign w:val="center"/>
          </w:tcPr>
          <w:p w14:paraId="3F7427E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2.92</w:t>
            </w:r>
          </w:p>
        </w:tc>
        <w:tc>
          <w:tcPr>
            <w:tcW w:w="666" w:type="pct"/>
            <w:tcBorders>
              <w:top w:val="nil"/>
              <w:left w:val="nil"/>
              <w:bottom w:val="nil"/>
              <w:right w:val="nil"/>
            </w:tcBorders>
            <w:shd w:val="clear" w:color="auto" w:fill="FFFFFF"/>
            <w:vAlign w:val="center"/>
          </w:tcPr>
          <w:p w14:paraId="3329FF1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2.937</w:t>
            </w:r>
          </w:p>
        </w:tc>
        <w:tc>
          <w:tcPr>
            <w:tcW w:w="531" w:type="pct"/>
            <w:tcBorders>
              <w:top w:val="nil"/>
              <w:left w:val="nil"/>
              <w:bottom w:val="nil"/>
              <w:right w:val="nil"/>
            </w:tcBorders>
            <w:shd w:val="clear" w:color="auto" w:fill="FFFFFF"/>
            <w:vAlign w:val="center"/>
          </w:tcPr>
          <w:p w14:paraId="0F05C36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0.58%</w:t>
            </w:r>
          </w:p>
        </w:tc>
        <w:tc>
          <w:tcPr>
            <w:tcW w:w="994" w:type="pct"/>
            <w:tcBorders>
              <w:top w:val="nil"/>
              <w:left w:val="nil"/>
              <w:bottom w:val="nil"/>
              <w:right w:val="nil"/>
            </w:tcBorders>
            <w:shd w:val="clear" w:color="auto" w:fill="FFFFFF"/>
            <w:vAlign w:val="center"/>
          </w:tcPr>
          <w:p w14:paraId="016E522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0AA44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242AAC8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1449659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80%节点 ASPL t(1998)</w:t>
            </w:r>
          </w:p>
        </w:tc>
        <w:tc>
          <w:tcPr>
            <w:tcW w:w="549" w:type="pct"/>
            <w:tcBorders>
              <w:top w:val="nil"/>
              <w:left w:val="nil"/>
              <w:bottom w:val="nil"/>
              <w:right w:val="nil"/>
            </w:tcBorders>
            <w:shd w:val="clear" w:color="auto" w:fill="FFFFFF"/>
            <w:vAlign w:val="center"/>
          </w:tcPr>
          <w:p w14:paraId="7A9699C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-42.793</w:t>
            </w:r>
          </w:p>
        </w:tc>
        <w:tc>
          <w:tcPr>
            <w:tcW w:w="666" w:type="pct"/>
            <w:tcBorders>
              <w:top w:val="nil"/>
              <w:left w:val="nil"/>
              <w:bottom w:val="nil"/>
              <w:right w:val="nil"/>
            </w:tcBorders>
            <w:shd w:val="clear" w:color="auto" w:fill="FFFFFF"/>
            <w:vAlign w:val="center"/>
          </w:tcPr>
          <w:p w14:paraId="4A14B1D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-54.849</w:t>
            </w:r>
          </w:p>
        </w:tc>
        <w:tc>
          <w:tcPr>
            <w:tcW w:w="531" w:type="pct"/>
            <w:tcBorders>
              <w:top w:val="nil"/>
              <w:left w:val="nil"/>
              <w:bottom w:val="nil"/>
              <w:right w:val="nil"/>
            </w:tcBorders>
            <w:shd w:val="clear" w:color="auto" w:fill="FFFFFF"/>
            <w:vAlign w:val="center"/>
          </w:tcPr>
          <w:p w14:paraId="4A5AD63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21.98%</w:t>
            </w:r>
          </w:p>
        </w:tc>
        <w:tc>
          <w:tcPr>
            <w:tcW w:w="994" w:type="pct"/>
            <w:tcBorders>
              <w:top w:val="nil"/>
              <w:left w:val="nil"/>
              <w:bottom w:val="nil"/>
              <w:right w:val="nil"/>
            </w:tcBorders>
            <w:shd w:val="clear" w:color="auto" w:fill="FFFFFF"/>
            <w:vAlign w:val="center"/>
          </w:tcPr>
          <w:p w14:paraId="301A4CB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350A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17F1586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6CFE72C1">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80%节点 ASPL Cohen d</w:t>
            </w:r>
          </w:p>
        </w:tc>
        <w:tc>
          <w:tcPr>
            <w:tcW w:w="549" w:type="pct"/>
            <w:tcBorders>
              <w:top w:val="nil"/>
              <w:left w:val="nil"/>
              <w:bottom w:val="nil"/>
              <w:right w:val="nil"/>
            </w:tcBorders>
            <w:shd w:val="clear" w:color="auto" w:fill="FFFFFF"/>
            <w:vAlign w:val="center"/>
          </w:tcPr>
          <w:p w14:paraId="33CA966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1.91</w:t>
            </w:r>
          </w:p>
        </w:tc>
        <w:tc>
          <w:tcPr>
            <w:tcW w:w="666" w:type="pct"/>
            <w:tcBorders>
              <w:top w:val="nil"/>
              <w:left w:val="nil"/>
              <w:bottom w:val="nil"/>
              <w:right w:val="nil"/>
            </w:tcBorders>
            <w:shd w:val="clear" w:color="auto" w:fill="FFFFFF"/>
            <w:vAlign w:val="center"/>
          </w:tcPr>
          <w:p w14:paraId="3CB018A9">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2.453</w:t>
            </w:r>
          </w:p>
        </w:tc>
        <w:tc>
          <w:tcPr>
            <w:tcW w:w="531" w:type="pct"/>
            <w:tcBorders>
              <w:top w:val="nil"/>
              <w:left w:val="nil"/>
              <w:bottom w:val="nil"/>
              <w:right w:val="nil"/>
            </w:tcBorders>
            <w:shd w:val="clear" w:color="auto" w:fill="FFFFFF"/>
            <w:vAlign w:val="center"/>
          </w:tcPr>
          <w:p w14:paraId="385D4E4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22.14%</w:t>
            </w:r>
          </w:p>
        </w:tc>
        <w:tc>
          <w:tcPr>
            <w:tcW w:w="994" w:type="pct"/>
            <w:tcBorders>
              <w:top w:val="nil"/>
              <w:left w:val="nil"/>
              <w:bottom w:val="nil"/>
              <w:right w:val="nil"/>
            </w:tcBorders>
            <w:shd w:val="clear" w:color="auto" w:fill="FFFFFF"/>
            <w:vAlign w:val="center"/>
          </w:tcPr>
          <w:p w14:paraId="07BC753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03A0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305A349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52ECA4D1">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80%节点 CC t(1998)</w:t>
            </w:r>
          </w:p>
        </w:tc>
        <w:tc>
          <w:tcPr>
            <w:tcW w:w="549" w:type="pct"/>
            <w:tcBorders>
              <w:top w:val="nil"/>
              <w:left w:val="nil"/>
              <w:bottom w:val="nil"/>
              <w:right w:val="nil"/>
            </w:tcBorders>
            <w:shd w:val="clear" w:color="auto" w:fill="FFFFFF"/>
            <w:vAlign w:val="center"/>
          </w:tcPr>
          <w:p w14:paraId="6BD15B41">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45.531</w:t>
            </w:r>
          </w:p>
        </w:tc>
        <w:tc>
          <w:tcPr>
            <w:tcW w:w="666" w:type="pct"/>
            <w:tcBorders>
              <w:top w:val="nil"/>
              <w:left w:val="nil"/>
              <w:bottom w:val="nil"/>
              <w:right w:val="nil"/>
            </w:tcBorders>
            <w:shd w:val="clear" w:color="auto" w:fill="FFFFFF"/>
            <w:vAlign w:val="center"/>
          </w:tcPr>
          <w:p w14:paraId="1B26CEB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43.586</w:t>
            </w:r>
          </w:p>
        </w:tc>
        <w:tc>
          <w:tcPr>
            <w:tcW w:w="531" w:type="pct"/>
            <w:tcBorders>
              <w:top w:val="nil"/>
              <w:left w:val="nil"/>
              <w:bottom w:val="nil"/>
              <w:right w:val="nil"/>
            </w:tcBorders>
            <w:shd w:val="clear" w:color="auto" w:fill="FFFFFF"/>
            <w:vAlign w:val="center"/>
          </w:tcPr>
          <w:p w14:paraId="20F9034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4.46%</w:t>
            </w:r>
          </w:p>
        </w:tc>
        <w:tc>
          <w:tcPr>
            <w:tcW w:w="994" w:type="pct"/>
            <w:tcBorders>
              <w:top w:val="nil"/>
              <w:left w:val="nil"/>
              <w:bottom w:val="nil"/>
              <w:right w:val="nil"/>
            </w:tcBorders>
            <w:shd w:val="clear" w:color="auto" w:fill="FFFFFF"/>
            <w:vAlign w:val="center"/>
          </w:tcPr>
          <w:p w14:paraId="5ED38A5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70FB1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19B5484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51CE179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80%节点 CC Cohen d</w:t>
            </w:r>
          </w:p>
        </w:tc>
        <w:tc>
          <w:tcPr>
            <w:tcW w:w="549" w:type="pct"/>
            <w:tcBorders>
              <w:top w:val="nil"/>
              <w:left w:val="nil"/>
              <w:bottom w:val="nil"/>
              <w:right w:val="nil"/>
            </w:tcBorders>
            <w:shd w:val="clear" w:color="auto" w:fill="FFFFFF"/>
            <w:vAlign w:val="center"/>
          </w:tcPr>
          <w:p w14:paraId="7AB61921">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2.04</w:t>
            </w:r>
          </w:p>
        </w:tc>
        <w:tc>
          <w:tcPr>
            <w:tcW w:w="666" w:type="pct"/>
            <w:tcBorders>
              <w:top w:val="nil"/>
              <w:left w:val="nil"/>
              <w:bottom w:val="nil"/>
              <w:right w:val="nil"/>
            </w:tcBorders>
            <w:shd w:val="clear" w:color="auto" w:fill="FFFFFF"/>
            <w:vAlign w:val="center"/>
          </w:tcPr>
          <w:p w14:paraId="29F0320C">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1.949</w:t>
            </w:r>
          </w:p>
        </w:tc>
        <w:tc>
          <w:tcPr>
            <w:tcW w:w="531" w:type="pct"/>
            <w:tcBorders>
              <w:top w:val="nil"/>
              <w:left w:val="nil"/>
              <w:bottom w:val="nil"/>
              <w:right w:val="nil"/>
            </w:tcBorders>
            <w:shd w:val="clear" w:color="auto" w:fill="FFFFFF"/>
            <w:vAlign w:val="center"/>
          </w:tcPr>
          <w:p w14:paraId="48B78D8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4.67%</w:t>
            </w:r>
          </w:p>
        </w:tc>
        <w:tc>
          <w:tcPr>
            <w:tcW w:w="994" w:type="pct"/>
            <w:tcBorders>
              <w:top w:val="nil"/>
              <w:left w:val="nil"/>
              <w:bottom w:val="nil"/>
              <w:right w:val="nil"/>
            </w:tcBorders>
            <w:shd w:val="clear" w:color="auto" w:fill="FFFFFF"/>
            <w:vAlign w:val="center"/>
          </w:tcPr>
          <w:p w14:paraId="437CA84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6119F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2DA2EBA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40392CE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80%节点 Q t(1998)</w:t>
            </w:r>
          </w:p>
        </w:tc>
        <w:tc>
          <w:tcPr>
            <w:tcW w:w="549" w:type="pct"/>
            <w:tcBorders>
              <w:top w:val="nil"/>
              <w:left w:val="nil"/>
              <w:bottom w:val="nil"/>
              <w:right w:val="nil"/>
            </w:tcBorders>
            <w:shd w:val="clear" w:color="auto" w:fill="FFFFFF"/>
            <w:vAlign w:val="center"/>
          </w:tcPr>
          <w:p w14:paraId="0E37A0C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-41.332</w:t>
            </w:r>
          </w:p>
        </w:tc>
        <w:tc>
          <w:tcPr>
            <w:tcW w:w="666" w:type="pct"/>
            <w:tcBorders>
              <w:top w:val="nil"/>
              <w:left w:val="nil"/>
              <w:bottom w:val="nil"/>
              <w:right w:val="nil"/>
            </w:tcBorders>
            <w:shd w:val="clear" w:color="auto" w:fill="FFFFFF"/>
            <w:vAlign w:val="center"/>
          </w:tcPr>
          <w:p w14:paraId="29DAB10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-45.612</w:t>
            </w:r>
          </w:p>
        </w:tc>
        <w:tc>
          <w:tcPr>
            <w:tcW w:w="531" w:type="pct"/>
            <w:tcBorders>
              <w:top w:val="nil"/>
              <w:left w:val="nil"/>
              <w:bottom w:val="nil"/>
              <w:right w:val="nil"/>
            </w:tcBorders>
            <w:shd w:val="clear" w:color="auto" w:fill="FFFFFF"/>
            <w:vAlign w:val="center"/>
          </w:tcPr>
          <w:p w14:paraId="55A02909">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9.38%</w:t>
            </w:r>
          </w:p>
        </w:tc>
        <w:tc>
          <w:tcPr>
            <w:tcW w:w="994" w:type="pct"/>
            <w:tcBorders>
              <w:top w:val="nil"/>
              <w:left w:val="nil"/>
              <w:bottom w:val="nil"/>
              <w:right w:val="nil"/>
            </w:tcBorders>
            <w:shd w:val="clear" w:color="auto" w:fill="FFFFFF"/>
            <w:vAlign w:val="center"/>
          </w:tcPr>
          <w:p w14:paraId="4BDA82F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47DED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1194C209">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232EF25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80%节点 Q Cohen d</w:t>
            </w:r>
          </w:p>
        </w:tc>
        <w:tc>
          <w:tcPr>
            <w:tcW w:w="549" w:type="pct"/>
            <w:tcBorders>
              <w:top w:val="nil"/>
              <w:left w:val="nil"/>
              <w:bottom w:val="nil"/>
              <w:right w:val="nil"/>
            </w:tcBorders>
            <w:shd w:val="clear" w:color="auto" w:fill="FFFFFF"/>
            <w:vAlign w:val="center"/>
          </w:tcPr>
          <w:p w14:paraId="5D27276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1.85</w:t>
            </w:r>
          </w:p>
        </w:tc>
        <w:tc>
          <w:tcPr>
            <w:tcW w:w="666" w:type="pct"/>
            <w:tcBorders>
              <w:top w:val="nil"/>
              <w:left w:val="nil"/>
              <w:bottom w:val="nil"/>
              <w:right w:val="nil"/>
            </w:tcBorders>
            <w:shd w:val="clear" w:color="auto" w:fill="FFFFFF"/>
            <w:vAlign w:val="center"/>
          </w:tcPr>
          <w:p w14:paraId="03DFF80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2.04</w:t>
            </w:r>
          </w:p>
        </w:tc>
        <w:tc>
          <w:tcPr>
            <w:tcW w:w="531" w:type="pct"/>
            <w:tcBorders>
              <w:top w:val="nil"/>
              <w:left w:val="nil"/>
              <w:bottom w:val="nil"/>
              <w:right w:val="nil"/>
            </w:tcBorders>
            <w:shd w:val="clear" w:color="auto" w:fill="FFFFFF"/>
            <w:vAlign w:val="center"/>
          </w:tcPr>
          <w:p w14:paraId="7937963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9.31%</w:t>
            </w:r>
          </w:p>
        </w:tc>
        <w:tc>
          <w:tcPr>
            <w:tcW w:w="994" w:type="pct"/>
            <w:tcBorders>
              <w:top w:val="nil"/>
              <w:left w:val="nil"/>
              <w:bottom w:val="nil"/>
              <w:right w:val="nil"/>
            </w:tcBorders>
            <w:shd w:val="clear" w:color="auto" w:fill="FFFFFF"/>
            <w:vAlign w:val="center"/>
          </w:tcPr>
          <w:p w14:paraId="1AB775A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04B4E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4687447D">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75FD5581">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70%节点 ASPL t(1998)</w:t>
            </w:r>
          </w:p>
        </w:tc>
        <w:tc>
          <w:tcPr>
            <w:tcW w:w="549" w:type="pct"/>
            <w:tcBorders>
              <w:top w:val="nil"/>
              <w:left w:val="nil"/>
              <w:bottom w:val="nil"/>
              <w:right w:val="nil"/>
            </w:tcBorders>
            <w:shd w:val="clear" w:color="auto" w:fill="FFFFFF"/>
            <w:vAlign w:val="center"/>
          </w:tcPr>
          <w:p w14:paraId="29FF6EF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-28.915</w:t>
            </w:r>
          </w:p>
        </w:tc>
        <w:tc>
          <w:tcPr>
            <w:tcW w:w="666" w:type="pct"/>
            <w:tcBorders>
              <w:top w:val="nil"/>
              <w:left w:val="nil"/>
              <w:bottom w:val="nil"/>
              <w:right w:val="nil"/>
            </w:tcBorders>
            <w:shd w:val="clear" w:color="auto" w:fill="FFFFFF"/>
            <w:vAlign w:val="center"/>
          </w:tcPr>
          <w:p w14:paraId="65F8C40C">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-35.307</w:t>
            </w:r>
          </w:p>
        </w:tc>
        <w:tc>
          <w:tcPr>
            <w:tcW w:w="531" w:type="pct"/>
            <w:tcBorders>
              <w:top w:val="nil"/>
              <w:left w:val="nil"/>
              <w:bottom w:val="nil"/>
              <w:right w:val="nil"/>
            </w:tcBorders>
            <w:shd w:val="clear" w:color="auto" w:fill="FFFFFF"/>
            <w:vAlign w:val="center"/>
          </w:tcPr>
          <w:p w14:paraId="6B10068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18.10%</w:t>
            </w:r>
          </w:p>
        </w:tc>
        <w:tc>
          <w:tcPr>
            <w:tcW w:w="994" w:type="pct"/>
            <w:tcBorders>
              <w:top w:val="nil"/>
              <w:left w:val="nil"/>
              <w:bottom w:val="nil"/>
              <w:right w:val="nil"/>
            </w:tcBorders>
            <w:shd w:val="clear" w:color="auto" w:fill="FFFFFF"/>
            <w:vAlign w:val="center"/>
          </w:tcPr>
          <w:p w14:paraId="7615E14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0146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0CB69EB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78AB03B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70%节点 ASPL Cohen d</w:t>
            </w:r>
          </w:p>
        </w:tc>
        <w:tc>
          <w:tcPr>
            <w:tcW w:w="549" w:type="pct"/>
            <w:tcBorders>
              <w:top w:val="nil"/>
              <w:left w:val="nil"/>
              <w:bottom w:val="nil"/>
              <w:right w:val="nil"/>
            </w:tcBorders>
            <w:shd w:val="clear" w:color="auto" w:fill="FFFFFF"/>
            <w:vAlign w:val="center"/>
          </w:tcPr>
          <w:p w14:paraId="0AD3B28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1.29</w:t>
            </w:r>
          </w:p>
        </w:tc>
        <w:tc>
          <w:tcPr>
            <w:tcW w:w="666" w:type="pct"/>
            <w:tcBorders>
              <w:top w:val="nil"/>
              <w:left w:val="nil"/>
              <w:bottom w:val="nil"/>
              <w:right w:val="nil"/>
            </w:tcBorders>
            <w:shd w:val="clear" w:color="auto" w:fill="FFFFFF"/>
            <w:vAlign w:val="center"/>
          </w:tcPr>
          <w:p w14:paraId="710004D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1.579</w:t>
            </w:r>
          </w:p>
        </w:tc>
        <w:tc>
          <w:tcPr>
            <w:tcW w:w="531" w:type="pct"/>
            <w:tcBorders>
              <w:top w:val="nil"/>
              <w:left w:val="nil"/>
              <w:bottom w:val="nil"/>
              <w:right w:val="nil"/>
            </w:tcBorders>
            <w:shd w:val="clear" w:color="auto" w:fill="FFFFFF"/>
            <w:vAlign w:val="center"/>
          </w:tcPr>
          <w:p w14:paraId="12107121">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18.30%</w:t>
            </w:r>
          </w:p>
        </w:tc>
        <w:tc>
          <w:tcPr>
            <w:tcW w:w="994" w:type="pct"/>
            <w:tcBorders>
              <w:top w:val="nil"/>
              <w:left w:val="nil"/>
              <w:bottom w:val="nil"/>
              <w:right w:val="nil"/>
            </w:tcBorders>
            <w:shd w:val="clear" w:color="auto" w:fill="FFFFFF"/>
            <w:vAlign w:val="center"/>
          </w:tcPr>
          <w:p w14:paraId="122DC061">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31349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7FCEA3C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41E2E04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70%节点 CC t(1998)</w:t>
            </w:r>
          </w:p>
        </w:tc>
        <w:tc>
          <w:tcPr>
            <w:tcW w:w="549" w:type="pct"/>
            <w:tcBorders>
              <w:top w:val="nil"/>
              <w:left w:val="nil"/>
              <w:bottom w:val="nil"/>
              <w:right w:val="nil"/>
            </w:tcBorders>
            <w:shd w:val="clear" w:color="auto" w:fill="FFFFFF"/>
            <w:vAlign w:val="center"/>
          </w:tcPr>
          <w:p w14:paraId="6926C97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36.378</w:t>
            </w:r>
          </w:p>
        </w:tc>
        <w:tc>
          <w:tcPr>
            <w:tcW w:w="666" w:type="pct"/>
            <w:tcBorders>
              <w:top w:val="nil"/>
              <w:left w:val="nil"/>
              <w:bottom w:val="nil"/>
              <w:right w:val="nil"/>
            </w:tcBorders>
            <w:shd w:val="clear" w:color="auto" w:fill="FFFFFF"/>
            <w:vAlign w:val="center"/>
          </w:tcPr>
          <w:p w14:paraId="5B914CD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32.206</w:t>
            </w:r>
          </w:p>
        </w:tc>
        <w:tc>
          <w:tcPr>
            <w:tcW w:w="531" w:type="pct"/>
            <w:tcBorders>
              <w:top w:val="nil"/>
              <w:left w:val="nil"/>
              <w:bottom w:val="nil"/>
              <w:right w:val="nil"/>
            </w:tcBorders>
            <w:shd w:val="clear" w:color="auto" w:fill="FFFFFF"/>
            <w:vAlign w:val="center"/>
          </w:tcPr>
          <w:p w14:paraId="68B0682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12.95%</w:t>
            </w:r>
          </w:p>
        </w:tc>
        <w:tc>
          <w:tcPr>
            <w:tcW w:w="994" w:type="pct"/>
            <w:tcBorders>
              <w:top w:val="nil"/>
              <w:left w:val="nil"/>
              <w:bottom w:val="nil"/>
              <w:right w:val="nil"/>
            </w:tcBorders>
            <w:shd w:val="clear" w:color="auto" w:fill="FFFFFF"/>
            <w:vAlign w:val="center"/>
          </w:tcPr>
          <w:p w14:paraId="639751D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3C120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76B0EA9C">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17225B5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70%节点 CC Cohen d</w:t>
            </w:r>
          </w:p>
        </w:tc>
        <w:tc>
          <w:tcPr>
            <w:tcW w:w="549" w:type="pct"/>
            <w:tcBorders>
              <w:top w:val="nil"/>
              <w:left w:val="nil"/>
              <w:bottom w:val="nil"/>
              <w:right w:val="nil"/>
            </w:tcBorders>
            <w:shd w:val="clear" w:color="auto" w:fill="FFFFFF"/>
            <w:vAlign w:val="center"/>
          </w:tcPr>
          <w:p w14:paraId="7873F55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1.63</w:t>
            </w:r>
          </w:p>
        </w:tc>
        <w:tc>
          <w:tcPr>
            <w:tcW w:w="666" w:type="pct"/>
            <w:tcBorders>
              <w:top w:val="nil"/>
              <w:left w:val="nil"/>
              <w:bottom w:val="nil"/>
              <w:right w:val="nil"/>
            </w:tcBorders>
            <w:shd w:val="clear" w:color="auto" w:fill="FFFFFF"/>
            <w:vAlign w:val="center"/>
          </w:tcPr>
          <w:p w14:paraId="1330C15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1.44</w:t>
            </w:r>
          </w:p>
        </w:tc>
        <w:tc>
          <w:tcPr>
            <w:tcW w:w="531" w:type="pct"/>
            <w:tcBorders>
              <w:top w:val="nil"/>
              <w:left w:val="nil"/>
              <w:bottom w:val="nil"/>
              <w:right w:val="nil"/>
            </w:tcBorders>
            <w:shd w:val="clear" w:color="auto" w:fill="FFFFFF"/>
            <w:vAlign w:val="center"/>
          </w:tcPr>
          <w:p w14:paraId="3F68D7AD">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13.19%</w:t>
            </w:r>
          </w:p>
        </w:tc>
        <w:tc>
          <w:tcPr>
            <w:tcW w:w="994" w:type="pct"/>
            <w:tcBorders>
              <w:top w:val="nil"/>
              <w:left w:val="nil"/>
              <w:bottom w:val="nil"/>
              <w:right w:val="nil"/>
            </w:tcBorders>
            <w:shd w:val="clear" w:color="auto" w:fill="FFFFFF"/>
            <w:vAlign w:val="center"/>
          </w:tcPr>
          <w:p w14:paraId="01313BB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29EF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4DC9AF8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597DECF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70%节点 Q t(1998)</w:t>
            </w:r>
          </w:p>
        </w:tc>
        <w:tc>
          <w:tcPr>
            <w:tcW w:w="549" w:type="pct"/>
            <w:tcBorders>
              <w:top w:val="nil"/>
              <w:left w:val="nil"/>
              <w:bottom w:val="nil"/>
              <w:right w:val="nil"/>
            </w:tcBorders>
            <w:shd w:val="clear" w:color="auto" w:fill="FFFFFF"/>
            <w:vAlign w:val="center"/>
          </w:tcPr>
          <w:p w14:paraId="33871CF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-30.862</w:t>
            </w:r>
          </w:p>
        </w:tc>
        <w:tc>
          <w:tcPr>
            <w:tcW w:w="666" w:type="pct"/>
            <w:tcBorders>
              <w:top w:val="nil"/>
              <w:left w:val="nil"/>
              <w:bottom w:val="nil"/>
              <w:right w:val="nil"/>
            </w:tcBorders>
            <w:shd w:val="clear" w:color="auto" w:fill="FFFFFF"/>
            <w:vAlign w:val="center"/>
          </w:tcPr>
          <w:p w14:paraId="1185D31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-31.744</w:t>
            </w:r>
          </w:p>
        </w:tc>
        <w:tc>
          <w:tcPr>
            <w:tcW w:w="531" w:type="pct"/>
            <w:tcBorders>
              <w:top w:val="nil"/>
              <w:left w:val="nil"/>
              <w:bottom w:val="nil"/>
              <w:right w:val="nil"/>
            </w:tcBorders>
            <w:shd w:val="clear" w:color="auto" w:fill="FFFFFF"/>
            <w:vAlign w:val="center"/>
          </w:tcPr>
          <w:p w14:paraId="1D980C4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2.78%</w:t>
            </w:r>
          </w:p>
        </w:tc>
        <w:tc>
          <w:tcPr>
            <w:tcW w:w="994" w:type="pct"/>
            <w:tcBorders>
              <w:top w:val="nil"/>
              <w:left w:val="nil"/>
              <w:bottom w:val="nil"/>
              <w:right w:val="nil"/>
            </w:tcBorders>
            <w:shd w:val="clear" w:color="auto" w:fill="FFFFFF"/>
            <w:vAlign w:val="center"/>
          </w:tcPr>
          <w:p w14:paraId="023567E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2D4BD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3DA696B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4848889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70%节点 Q Cohen d</w:t>
            </w:r>
          </w:p>
        </w:tc>
        <w:tc>
          <w:tcPr>
            <w:tcW w:w="549" w:type="pct"/>
            <w:tcBorders>
              <w:top w:val="nil"/>
              <w:left w:val="nil"/>
              <w:bottom w:val="nil"/>
              <w:right w:val="nil"/>
            </w:tcBorders>
            <w:shd w:val="clear" w:color="auto" w:fill="FFFFFF"/>
            <w:vAlign w:val="center"/>
          </w:tcPr>
          <w:p w14:paraId="252F056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1.38</w:t>
            </w:r>
          </w:p>
        </w:tc>
        <w:tc>
          <w:tcPr>
            <w:tcW w:w="666" w:type="pct"/>
            <w:tcBorders>
              <w:top w:val="nil"/>
              <w:left w:val="nil"/>
              <w:bottom w:val="nil"/>
              <w:right w:val="nil"/>
            </w:tcBorders>
            <w:shd w:val="clear" w:color="auto" w:fill="FFFFFF"/>
            <w:vAlign w:val="center"/>
          </w:tcPr>
          <w:p w14:paraId="123B26EC">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1.42</w:t>
            </w:r>
          </w:p>
        </w:tc>
        <w:tc>
          <w:tcPr>
            <w:tcW w:w="531" w:type="pct"/>
            <w:tcBorders>
              <w:top w:val="nil"/>
              <w:left w:val="nil"/>
              <w:bottom w:val="nil"/>
              <w:right w:val="nil"/>
            </w:tcBorders>
            <w:shd w:val="clear" w:color="auto" w:fill="FFFFFF"/>
            <w:vAlign w:val="center"/>
          </w:tcPr>
          <w:p w14:paraId="3E25DCDC">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2.82%</w:t>
            </w:r>
          </w:p>
        </w:tc>
        <w:tc>
          <w:tcPr>
            <w:tcW w:w="994" w:type="pct"/>
            <w:tcBorders>
              <w:top w:val="nil"/>
              <w:left w:val="nil"/>
              <w:bottom w:val="nil"/>
              <w:right w:val="nil"/>
            </w:tcBorders>
            <w:shd w:val="clear" w:color="auto" w:fill="FFFFFF"/>
            <w:vAlign w:val="center"/>
          </w:tcPr>
          <w:p w14:paraId="74A81D01">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1A284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2D4EA72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48CC090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60%节点 ASPL t(1998)</w:t>
            </w:r>
          </w:p>
        </w:tc>
        <w:tc>
          <w:tcPr>
            <w:tcW w:w="549" w:type="pct"/>
            <w:tcBorders>
              <w:top w:val="nil"/>
              <w:left w:val="nil"/>
              <w:bottom w:val="nil"/>
              <w:right w:val="nil"/>
            </w:tcBorders>
            <w:shd w:val="clear" w:color="auto" w:fill="FFFFFF"/>
            <w:vAlign w:val="center"/>
          </w:tcPr>
          <w:p w14:paraId="0A04594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-20.013</w:t>
            </w:r>
          </w:p>
        </w:tc>
        <w:tc>
          <w:tcPr>
            <w:tcW w:w="666" w:type="pct"/>
            <w:tcBorders>
              <w:top w:val="nil"/>
              <w:left w:val="nil"/>
              <w:bottom w:val="nil"/>
              <w:right w:val="nil"/>
            </w:tcBorders>
            <w:shd w:val="clear" w:color="auto" w:fill="FFFFFF"/>
            <w:vAlign w:val="center"/>
          </w:tcPr>
          <w:p w14:paraId="7C7471E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-25.278</w:t>
            </w:r>
          </w:p>
        </w:tc>
        <w:tc>
          <w:tcPr>
            <w:tcW w:w="531" w:type="pct"/>
            <w:tcBorders>
              <w:top w:val="nil"/>
              <w:left w:val="nil"/>
              <w:bottom w:val="nil"/>
              <w:right w:val="nil"/>
            </w:tcBorders>
            <w:shd w:val="clear" w:color="auto" w:fill="FFFFFF"/>
            <w:vAlign w:val="center"/>
          </w:tcPr>
          <w:p w14:paraId="5A917BD9">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20.83%</w:t>
            </w:r>
          </w:p>
        </w:tc>
        <w:tc>
          <w:tcPr>
            <w:tcW w:w="994" w:type="pct"/>
            <w:tcBorders>
              <w:top w:val="nil"/>
              <w:left w:val="nil"/>
              <w:bottom w:val="nil"/>
              <w:right w:val="nil"/>
            </w:tcBorders>
            <w:shd w:val="clear" w:color="auto" w:fill="FFFFFF"/>
            <w:vAlign w:val="center"/>
          </w:tcPr>
          <w:p w14:paraId="18C4584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02779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79C5415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7E47A63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60%节点 ASPL Cohen d</w:t>
            </w:r>
          </w:p>
        </w:tc>
        <w:tc>
          <w:tcPr>
            <w:tcW w:w="549" w:type="pct"/>
            <w:tcBorders>
              <w:top w:val="nil"/>
              <w:left w:val="nil"/>
              <w:bottom w:val="nil"/>
              <w:right w:val="nil"/>
            </w:tcBorders>
            <w:shd w:val="clear" w:color="auto" w:fill="FFFFFF"/>
            <w:vAlign w:val="center"/>
          </w:tcPr>
          <w:p w14:paraId="0307F67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0.895</w:t>
            </w:r>
          </w:p>
        </w:tc>
        <w:tc>
          <w:tcPr>
            <w:tcW w:w="666" w:type="pct"/>
            <w:tcBorders>
              <w:top w:val="nil"/>
              <w:left w:val="nil"/>
              <w:bottom w:val="nil"/>
              <w:right w:val="nil"/>
            </w:tcBorders>
            <w:shd w:val="clear" w:color="auto" w:fill="FFFFFF"/>
            <w:vAlign w:val="center"/>
          </w:tcPr>
          <w:p w14:paraId="0D58240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1.13</w:t>
            </w:r>
          </w:p>
        </w:tc>
        <w:tc>
          <w:tcPr>
            <w:tcW w:w="531" w:type="pct"/>
            <w:tcBorders>
              <w:top w:val="nil"/>
              <w:left w:val="nil"/>
              <w:bottom w:val="nil"/>
              <w:right w:val="nil"/>
            </w:tcBorders>
            <w:shd w:val="clear" w:color="auto" w:fill="FFFFFF"/>
            <w:vAlign w:val="center"/>
          </w:tcPr>
          <w:p w14:paraId="75C0137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20.80%</w:t>
            </w:r>
          </w:p>
        </w:tc>
        <w:tc>
          <w:tcPr>
            <w:tcW w:w="994" w:type="pct"/>
            <w:tcBorders>
              <w:top w:val="nil"/>
              <w:left w:val="nil"/>
              <w:bottom w:val="nil"/>
              <w:right w:val="nil"/>
            </w:tcBorders>
            <w:shd w:val="clear" w:color="auto" w:fill="FFFFFF"/>
            <w:vAlign w:val="center"/>
          </w:tcPr>
          <w:p w14:paraId="71342E8D">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17C88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00C6B40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59B32CAF">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60%节点 CC t(1998)</w:t>
            </w:r>
          </w:p>
        </w:tc>
        <w:tc>
          <w:tcPr>
            <w:tcW w:w="549" w:type="pct"/>
            <w:tcBorders>
              <w:top w:val="nil"/>
              <w:left w:val="nil"/>
              <w:bottom w:val="nil"/>
              <w:right w:val="nil"/>
            </w:tcBorders>
            <w:shd w:val="clear" w:color="auto" w:fill="FFFFFF"/>
            <w:vAlign w:val="center"/>
          </w:tcPr>
          <w:p w14:paraId="033555ED">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26.817</w:t>
            </w:r>
          </w:p>
        </w:tc>
        <w:tc>
          <w:tcPr>
            <w:tcW w:w="666" w:type="pct"/>
            <w:tcBorders>
              <w:top w:val="nil"/>
              <w:left w:val="nil"/>
              <w:bottom w:val="nil"/>
              <w:right w:val="nil"/>
            </w:tcBorders>
            <w:shd w:val="clear" w:color="auto" w:fill="FFFFFF"/>
            <w:vAlign w:val="center"/>
          </w:tcPr>
          <w:p w14:paraId="5A8B050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25.625</w:t>
            </w:r>
          </w:p>
        </w:tc>
        <w:tc>
          <w:tcPr>
            <w:tcW w:w="531" w:type="pct"/>
            <w:tcBorders>
              <w:top w:val="nil"/>
              <w:left w:val="nil"/>
              <w:bottom w:val="nil"/>
              <w:right w:val="nil"/>
            </w:tcBorders>
            <w:shd w:val="clear" w:color="auto" w:fill="FFFFFF"/>
            <w:vAlign w:val="center"/>
          </w:tcPr>
          <w:p w14:paraId="6BBC310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4.65%</w:t>
            </w:r>
          </w:p>
        </w:tc>
        <w:tc>
          <w:tcPr>
            <w:tcW w:w="994" w:type="pct"/>
            <w:tcBorders>
              <w:top w:val="nil"/>
              <w:left w:val="nil"/>
              <w:bottom w:val="nil"/>
              <w:right w:val="nil"/>
            </w:tcBorders>
            <w:shd w:val="clear" w:color="auto" w:fill="FFFFFF"/>
            <w:vAlign w:val="center"/>
          </w:tcPr>
          <w:p w14:paraId="4670D8B1">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0945A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7EF7037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11364509">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60%节点 CC Cohen d</w:t>
            </w:r>
          </w:p>
        </w:tc>
        <w:tc>
          <w:tcPr>
            <w:tcW w:w="549" w:type="pct"/>
            <w:tcBorders>
              <w:top w:val="nil"/>
              <w:left w:val="nil"/>
              <w:bottom w:val="nil"/>
              <w:right w:val="nil"/>
            </w:tcBorders>
            <w:shd w:val="clear" w:color="auto" w:fill="FFFFFF"/>
            <w:vAlign w:val="center"/>
          </w:tcPr>
          <w:p w14:paraId="14C5DC9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1.2</w:t>
            </w:r>
          </w:p>
        </w:tc>
        <w:tc>
          <w:tcPr>
            <w:tcW w:w="666" w:type="pct"/>
            <w:tcBorders>
              <w:top w:val="nil"/>
              <w:left w:val="nil"/>
              <w:bottom w:val="nil"/>
              <w:right w:val="nil"/>
            </w:tcBorders>
            <w:shd w:val="clear" w:color="auto" w:fill="FFFFFF"/>
            <w:vAlign w:val="center"/>
          </w:tcPr>
          <w:p w14:paraId="03653BC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1.146</w:t>
            </w:r>
          </w:p>
        </w:tc>
        <w:tc>
          <w:tcPr>
            <w:tcW w:w="531" w:type="pct"/>
            <w:tcBorders>
              <w:top w:val="nil"/>
              <w:left w:val="nil"/>
              <w:bottom w:val="nil"/>
              <w:right w:val="nil"/>
            </w:tcBorders>
            <w:shd w:val="clear" w:color="auto" w:fill="FFFFFF"/>
            <w:vAlign w:val="center"/>
          </w:tcPr>
          <w:p w14:paraId="249F112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4.71%</w:t>
            </w:r>
          </w:p>
        </w:tc>
        <w:tc>
          <w:tcPr>
            <w:tcW w:w="994" w:type="pct"/>
            <w:tcBorders>
              <w:top w:val="nil"/>
              <w:left w:val="nil"/>
              <w:bottom w:val="nil"/>
              <w:right w:val="nil"/>
            </w:tcBorders>
            <w:shd w:val="clear" w:color="auto" w:fill="FFFFFF"/>
            <w:vAlign w:val="center"/>
          </w:tcPr>
          <w:p w14:paraId="4A8C833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0248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2B74DE2C">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78ABEA2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60%节点 Q t(1998)</w:t>
            </w:r>
          </w:p>
        </w:tc>
        <w:tc>
          <w:tcPr>
            <w:tcW w:w="549" w:type="pct"/>
            <w:tcBorders>
              <w:top w:val="nil"/>
              <w:left w:val="nil"/>
              <w:bottom w:val="nil"/>
              <w:right w:val="nil"/>
            </w:tcBorders>
            <w:shd w:val="clear" w:color="auto" w:fill="FFFFFF"/>
            <w:vAlign w:val="center"/>
          </w:tcPr>
          <w:p w14:paraId="1D7A668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-25.978</w:t>
            </w:r>
          </w:p>
        </w:tc>
        <w:tc>
          <w:tcPr>
            <w:tcW w:w="666" w:type="pct"/>
            <w:tcBorders>
              <w:top w:val="nil"/>
              <w:left w:val="nil"/>
              <w:bottom w:val="nil"/>
              <w:right w:val="nil"/>
            </w:tcBorders>
            <w:shd w:val="clear" w:color="auto" w:fill="FFFFFF"/>
            <w:vAlign w:val="center"/>
          </w:tcPr>
          <w:p w14:paraId="7700CCF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-25.859</w:t>
            </w:r>
          </w:p>
        </w:tc>
        <w:tc>
          <w:tcPr>
            <w:tcW w:w="531" w:type="pct"/>
            <w:tcBorders>
              <w:top w:val="nil"/>
              <w:left w:val="nil"/>
              <w:bottom w:val="nil"/>
              <w:right w:val="nil"/>
            </w:tcBorders>
            <w:shd w:val="clear" w:color="auto" w:fill="FFFFFF"/>
            <w:vAlign w:val="center"/>
          </w:tcPr>
          <w:p w14:paraId="292066F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0.46%</w:t>
            </w:r>
          </w:p>
        </w:tc>
        <w:tc>
          <w:tcPr>
            <w:tcW w:w="994" w:type="pct"/>
            <w:tcBorders>
              <w:top w:val="nil"/>
              <w:left w:val="nil"/>
              <w:bottom w:val="nil"/>
              <w:right w:val="nil"/>
            </w:tcBorders>
            <w:shd w:val="clear" w:color="auto" w:fill="FFFFFF"/>
            <w:vAlign w:val="center"/>
          </w:tcPr>
          <w:p w14:paraId="1433AF8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447BB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66C92F5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41D7437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60%节点 Q Cohen d</w:t>
            </w:r>
          </w:p>
        </w:tc>
        <w:tc>
          <w:tcPr>
            <w:tcW w:w="549" w:type="pct"/>
            <w:tcBorders>
              <w:top w:val="nil"/>
              <w:left w:val="nil"/>
              <w:bottom w:val="nil"/>
              <w:right w:val="nil"/>
            </w:tcBorders>
            <w:shd w:val="clear" w:color="auto" w:fill="FFFFFF"/>
            <w:vAlign w:val="center"/>
          </w:tcPr>
          <w:p w14:paraId="2499AE1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1.16</w:t>
            </w:r>
          </w:p>
        </w:tc>
        <w:tc>
          <w:tcPr>
            <w:tcW w:w="666" w:type="pct"/>
            <w:tcBorders>
              <w:top w:val="nil"/>
              <w:left w:val="nil"/>
              <w:bottom w:val="nil"/>
              <w:right w:val="nil"/>
            </w:tcBorders>
            <w:shd w:val="clear" w:color="auto" w:fill="FFFFFF"/>
            <w:vAlign w:val="center"/>
          </w:tcPr>
          <w:p w14:paraId="29DD67DC">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1.156</w:t>
            </w:r>
          </w:p>
        </w:tc>
        <w:tc>
          <w:tcPr>
            <w:tcW w:w="531" w:type="pct"/>
            <w:tcBorders>
              <w:top w:val="nil"/>
              <w:left w:val="nil"/>
              <w:bottom w:val="nil"/>
              <w:right w:val="nil"/>
            </w:tcBorders>
            <w:shd w:val="clear" w:color="auto" w:fill="FFFFFF"/>
            <w:vAlign w:val="center"/>
          </w:tcPr>
          <w:p w14:paraId="3B402EB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0.35%</w:t>
            </w:r>
          </w:p>
        </w:tc>
        <w:tc>
          <w:tcPr>
            <w:tcW w:w="994" w:type="pct"/>
            <w:tcBorders>
              <w:top w:val="nil"/>
              <w:left w:val="nil"/>
              <w:bottom w:val="nil"/>
              <w:right w:val="nil"/>
            </w:tcBorders>
            <w:shd w:val="clear" w:color="auto" w:fill="FFFFFF"/>
            <w:vAlign w:val="center"/>
          </w:tcPr>
          <w:p w14:paraId="6DCDAF0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6580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1C291B7A">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6512E6C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50%节点 ASPL t(1998)</w:t>
            </w:r>
          </w:p>
        </w:tc>
        <w:tc>
          <w:tcPr>
            <w:tcW w:w="549" w:type="pct"/>
            <w:tcBorders>
              <w:top w:val="nil"/>
              <w:left w:val="nil"/>
              <w:bottom w:val="nil"/>
              <w:right w:val="nil"/>
            </w:tcBorders>
            <w:shd w:val="clear" w:color="auto" w:fill="FFFFFF"/>
            <w:vAlign w:val="center"/>
          </w:tcPr>
          <w:p w14:paraId="1A1EB189">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-12.271</w:t>
            </w:r>
          </w:p>
        </w:tc>
        <w:tc>
          <w:tcPr>
            <w:tcW w:w="666" w:type="pct"/>
            <w:tcBorders>
              <w:top w:val="nil"/>
              <w:left w:val="nil"/>
              <w:bottom w:val="nil"/>
              <w:right w:val="nil"/>
            </w:tcBorders>
            <w:shd w:val="clear" w:color="auto" w:fill="FFFFFF"/>
            <w:vAlign w:val="center"/>
          </w:tcPr>
          <w:p w14:paraId="37B6335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-17.565</w:t>
            </w:r>
          </w:p>
        </w:tc>
        <w:tc>
          <w:tcPr>
            <w:tcW w:w="531" w:type="pct"/>
            <w:tcBorders>
              <w:top w:val="nil"/>
              <w:left w:val="nil"/>
              <w:bottom w:val="nil"/>
              <w:right w:val="nil"/>
            </w:tcBorders>
            <w:shd w:val="clear" w:color="auto" w:fill="FFFFFF"/>
            <w:vAlign w:val="center"/>
          </w:tcPr>
          <w:p w14:paraId="52AB870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30.14%</w:t>
            </w:r>
          </w:p>
        </w:tc>
        <w:tc>
          <w:tcPr>
            <w:tcW w:w="994" w:type="pct"/>
            <w:tcBorders>
              <w:top w:val="nil"/>
              <w:left w:val="nil"/>
              <w:bottom w:val="nil"/>
              <w:right w:val="nil"/>
            </w:tcBorders>
            <w:shd w:val="clear" w:color="auto" w:fill="FFFFFF"/>
            <w:vAlign w:val="center"/>
          </w:tcPr>
          <w:p w14:paraId="43796C3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50967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29D32E89">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5D9AEF9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50%节点 ASPL Cohen d</w:t>
            </w:r>
          </w:p>
        </w:tc>
        <w:tc>
          <w:tcPr>
            <w:tcW w:w="549" w:type="pct"/>
            <w:tcBorders>
              <w:top w:val="nil"/>
              <w:left w:val="nil"/>
              <w:bottom w:val="nil"/>
              <w:right w:val="nil"/>
            </w:tcBorders>
            <w:shd w:val="clear" w:color="auto" w:fill="FFFFFF"/>
            <w:vAlign w:val="center"/>
          </w:tcPr>
          <w:p w14:paraId="381013A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0.549</w:t>
            </w:r>
          </w:p>
        </w:tc>
        <w:tc>
          <w:tcPr>
            <w:tcW w:w="666" w:type="pct"/>
            <w:tcBorders>
              <w:top w:val="nil"/>
              <w:left w:val="nil"/>
              <w:bottom w:val="nil"/>
              <w:right w:val="nil"/>
            </w:tcBorders>
            <w:shd w:val="clear" w:color="auto" w:fill="FFFFFF"/>
            <w:vAlign w:val="center"/>
          </w:tcPr>
          <w:p w14:paraId="1198B3E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0.786</w:t>
            </w:r>
          </w:p>
        </w:tc>
        <w:tc>
          <w:tcPr>
            <w:tcW w:w="531" w:type="pct"/>
            <w:tcBorders>
              <w:top w:val="nil"/>
              <w:left w:val="nil"/>
              <w:bottom w:val="nil"/>
              <w:right w:val="nil"/>
            </w:tcBorders>
            <w:shd w:val="clear" w:color="auto" w:fill="FFFFFF"/>
            <w:vAlign w:val="center"/>
          </w:tcPr>
          <w:p w14:paraId="70BCF022">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30.15%</w:t>
            </w:r>
          </w:p>
        </w:tc>
        <w:tc>
          <w:tcPr>
            <w:tcW w:w="994" w:type="pct"/>
            <w:tcBorders>
              <w:top w:val="nil"/>
              <w:left w:val="nil"/>
              <w:bottom w:val="nil"/>
              <w:right w:val="nil"/>
            </w:tcBorders>
            <w:shd w:val="clear" w:color="auto" w:fill="FFFFFF"/>
            <w:vAlign w:val="center"/>
          </w:tcPr>
          <w:p w14:paraId="6745588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2B32A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368362A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4A0F2C73">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50%节点 CC t(1998)</w:t>
            </w:r>
          </w:p>
        </w:tc>
        <w:tc>
          <w:tcPr>
            <w:tcW w:w="549" w:type="pct"/>
            <w:tcBorders>
              <w:top w:val="nil"/>
              <w:left w:val="nil"/>
              <w:bottom w:val="nil"/>
              <w:right w:val="nil"/>
            </w:tcBorders>
            <w:shd w:val="clear" w:color="auto" w:fill="FFFFFF"/>
            <w:vAlign w:val="center"/>
          </w:tcPr>
          <w:p w14:paraId="0B3634C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21.712</w:t>
            </w:r>
          </w:p>
        </w:tc>
        <w:tc>
          <w:tcPr>
            <w:tcW w:w="666" w:type="pct"/>
            <w:tcBorders>
              <w:top w:val="nil"/>
              <w:left w:val="nil"/>
              <w:bottom w:val="nil"/>
              <w:right w:val="nil"/>
            </w:tcBorders>
            <w:shd w:val="clear" w:color="auto" w:fill="FFFFFF"/>
            <w:vAlign w:val="center"/>
          </w:tcPr>
          <w:p w14:paraId="5825B2D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18.404</w:t>
            </w:r>
          </w:p>
        </w:tc>
        <w:tc>
          <w:tcPr>
            <w:tcW w:w="531" w:type="pct"/>
            <w:tcBorders>
              <w:top w:val="nil"/>
              <w:left w:val="nil"/>
              <w:bottom w:val="nil"/>
              <w:right w:val="nil"/>
            </w:tcBorders>
            <w:shd w:val="clear" w:color="auto" w:fill="FFFFFF"/>
            <w:vAlign w:val="center"/>
          </w:tcPr>
          <w:p w14:paraId="45484081">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17.97%</w:t>
            </w:r>
          </w:p>
        </w:tc>
        <w:tc>
          <w:tcPr>
            <w:tcW w:w="994" w:type="pct"/>
            <w:tcBorders>
              <w:top w:val="nil"/>
              <w:left w:val="nil"/>
              <w:bottom w:val="nil"/>
              <w:right w:val="nil"/>
            </w:tcBorders>
            <w:shd w:val="clear" w:color="auto" w:fill="FFFFFF"/>
            <w:vAlign w:val="center"/>
          </w:tcPr>
          <w:p w14:paraId="2F1DA40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1F789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262433D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0DC4D1C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50%节点 CC Cohen d</w:t>
            </w:r>
          </w:p>
        </w:tc>
        <w:tc>
          <w:tcPr>
            <w:tcW w:w="549" w:type="pct"/>
            <w:tcBorders>
              <w:top w:val="nil"/>
              <w:left w:val="nil"/>
              <w:bottom w:val="nil"/>
              <w:right w:val="nil"/>
            </w:tcBorders>
            <w:shd w:val="clear" w:color="auto" w:fill="FFFFFF"/>
            <w:vAlign w:val="center"/>
          </w:tcPr>
          <w:p w14:paraId="29AE2858">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0.971</w:t>
            </w:r>
          </w:p>
        </w:tc>
        <w:tc>
          <w:tcPr>
            <w:tcW w:w="666" w:type="pct"/>
            <w:tcBorders>
              <w:top w:val="nil"/>
              <w:left w:val="nil"/>
              <w:bottom w:val="nil"/>
              <w:right w:val="nil"/>
            </w:tcBorders>
            <w:shd w:val="clear" w:color="auto" w:fill="FFFFFF"/>
            <w:vAlign w:val="center"/>
          </w:tcPr>
          <w:p w14:paraId="603DBB1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0.823</w:t>
            </w:r>
          </w:p>
        </w:tc>
        <w:tc>
          <w:tcPr>
            <w:tcW w:w="531" w:type="pct"/>
            <w:tcBorders>
              <w:top w:val="nil"/>
              <w:left w:val="nil"/>
              <w:bottom w:val="nil"/>
              <w:right w:val="nil"/>
            </w:tcBorders>
            <w:shd w:val="clear" w:color="auto" w:fill="FFFFFF"/>
            <w:vAlign w:val="center"/>
          </w:tcPr>
          <w:p w14:paraId="0D65B88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17.98%</w:t>
            </w:r>
          </w:p>
        </w:tc>
        <w:tc>
          <w:tcPr>
            <w:tcW w:w="994" w:type="pct"/>
            <w:tcBorders>
              <w:top w:val="nil"/>
              <w:left w:val="nil"/>
              <w:bottom w:val="nil"/>
              <w:right w:val="nil"/>
            </w:tcBorders>
            <w:shd w:val="clear" w:color="auto" w:fill="FFFFFF"/>
            <w:vAlign w:val="center"/>
          </w:tcPr>
          <w:p w14:paraId="5AC38D99">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偏差较大</w:t>
            </w:r>
          </w:p>
        </w:tc>
      </w:tr>
      <w:tr w14:paraId="18E96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nil"/>
              <w:right w:val="nil"/>
            </w:tcBorders>
            <w:shd w:val="clear" w:color="auto" w:fill="FFFFFF"/>
            <w:vAlign w:val="center"/>
          </w:tcPr>
          <w:p w14:paraId="1B56F8AE">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nil"/>
              <w:right w:val="nil"/>
            </w:tcBorders>
            <w:shd w:val="clear" w:color="auto" w:fill="FFFFFF"/>
            <w:vAlign w:val="center"/>
          </w:tcPr>
          <w:p w14:paraId="0846D79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50%节点 Q t(1998)</w:t>
            </w:r>
          </w:p>
        </w:tc>
        <w:tc>
          <w:tcPr>
            <w:tcW w:w="549" w:type="pct"/>
            <w:tcBorders>
              <w:top w:val="nil"/>
              <w:left w:val="nil"/>
              <w:bottom w:val="nil"/>
              <w:right w:val="nil"/>
            </w:tcBorders>
            <w:shd w:val="clear" w:color="auto" w:fill="FFFFFF"/>
            <w:vAlign w:val="center"/>
          </w:tcPr>
          <w:p w14:paraId="425713D1">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-19.159</w:t>
            </w:r>
          </w:p>
        </w:tc>
        <w:tc>
          <w:tcPr>
            <w:tcW w:w="666" w:type="pct"/>
            <w:tcBorders>
              <w:top w:val="nil"/>
              <w:left w:val="nil"/>
              <w:bottom w:val="nil"/>
              <w:right w:val="nil"/>
            </w:tcBorders>
            <w:shd w:val="clear" w:color="auto" w:fill="FFFFFF"/>
            <w:vAlign w:val="center"/>
          </w:tcPr>
          <w:p w14:paraId="3D146017">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-19.612</w:t>
            </w:r>
          </w:p>
        </w:tc>
        <w:tc>
          <w:tcPr>
            <w:tcW w:w="531" w:type="pct"/>
            <w:tcBorders>
              <w:top w:val="nil"/>
              <w:left w:val="nil"/>
              <w:bottom w:val="nil"/>
              <w:right w:val="nil"/>
            </w:tcBorders>
            <w:shd w:val="clear" w:color="auto" w:fill="FFFFFF"/>
            <w:vAlign w:val="center"/>
          </w:tcPr>
          <w:p w14:paraId="3CAFC3C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2.31%</w:t>
            </w:r>
          </w:p>
        </w:tc>
        <w:tc>
          <w:tcPr>
            <w:tcW w:w="994" w:type="pct"/>
            <w:tcBorders>
              <w:top w:val="nil"/>
              <w:left w:val="nil"/>
              <w:bottom w:val="nil"/>
              <w:right w:val="nil"/>
            </w:tcBorders>
            <w:shd w:val="clear" w:color="auto" w:fill="FFFFFF"/>
            <w:vAlign w:val="center"/>
          </w:tcPr>
          <w:p w14:paraId="1241A5A6">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r w14:paraId="0FBA8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pct"/>
            <w:tcBorders>
              <w:top w:val="nil"/>
              <w:left w:val="nil"/>
              <w:bottom w:val="single" w:color="000000" w:sz="12" w:space="0"/>
              <w:right w:val="nil"/>
            </w:tcBorders>
            <w:shd w:val="clear" w:color="auto" w:fill="FFFFFF"/>
            <w:vAlign w:val="center"/>
          </w:tcPr>
          <w:p w14:paraId="7E2D7B5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Bootstrap偏网络</w:t>
            </w:r>
          </w:p>
        </w:tc>
        <w:tc>
          <w:tcPr>
            <w:tcW w:w="1376" w:type="pct"/>
            <w:tcBorders>
              <w:top w:val="nil"/>
              <w:left w:val="nil"/>
              <w:bottom w:val="single" w:color="000000" w:sz="12" w:space="0"/>
              <w:right w:val="nil"/>
            </w:tcBorders>
            <w:shd w:val="clear" w:color="auto" w:fill="FFFFFF"/>
            <w:vAlign w:val="center"/>
          </w:tcPr>
          <w:p w14:paraId="092A8E1C">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50%节点 Q Cohen d</w:t>
            </w:r>
          </w:p>
        </w:tc>
        <w:tc>
          <w:tcPr>
            <w:tcW w:w="549" w:type="pct"/>
            <w:tcBorders>
              <w:top w:val="nil"/>
              <w:left w:val="nil"/>
              <w:bottom w:val="single" w:color="000000" w:sz="12" w:space="0"/>
              <w:right w:val="nil"/>
            </w:tcBorders>
            <w:shd w:val="clear" w:color="auto" w:fill="FFFFFF"/>
            <w:vAlign w:val="center"/>
          </w:tcPr>
          <w:p w14:paraId="2F1DA310">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0.857</w:t>
            </w:r>
          </w:p>
        </w:tc>
        <w:tc>
          <w:tcPr>
            <w:tcW w:w="666" w:type="pct"/>
            <w:tcBorders>
              <w:top w:val="nil"/>
              <w:left w:val="nil"/>
              <w:bottom w:val="single" w:color="000000" w:sz="12" w:space="0"/>
              <w:right w:val="nil"/>
            </w:tcBorders>
            <w:shd w:val="clear" w:color="auto" w:fill="FFFFFF"/>
            <w:vAlign w:val="center"/>
          </w:tcPr>
          <w:p w14:paraId="1BF2A7F4">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0.877</w:t>
            </w:r>
          </w:p>
        </w:tc>
        <w:tc>
          <w:tcPr>
            <w:tcW w:w="531" w:type="pct"/>
            <w:tcBorders>
              <w:top w:val="nil"/>
              <w:left w:val="nil"/>
              <w:bottom w:val="single" w:color="000000" w:sz="12" w:space="0"/>
              <w:right w:val="nil"/>
            </w:tcBorders>
            <w:shd w:val="clear" w:color="auto" w:fill="FFFFFF"/>
            <w:vAlign w:val="center"/>
          </w:tcPr>
          <w:p w14:paraId="04A4C0CB">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2.28%</w:t>
            </w:r>
          </w:p>
        </w:tc>
        <w:tc>
          <w:tcPr>
            <w:tcW w:w="994" w:type="pct"/>
            <w:tcBorders>
              <w:top w:val="nil"/>
              <w:left w:val="nil"/>
              <w:bottom w:val="single" w:color="000000" w:sz="12" w:space="0"/>
              <w:right w:val="nil"/>
            </w:tcBorders>
            <w:shd w:val="clear" w:color="auto" w:fill="FFFFFF"/>
            <w:vAlign w:val="center"/>
          </w:tcPr>
          <w:p w14:paraId="010DD735">
            <w:pPr>
              <w:spacing w:line="48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偏差较小</w:t>
            </w:r>
          </w:p>
        </w:tc>
      </w:tr>
    </w:tbl>
    <w:p w14:paraId="38ADF4B2">
      <w:pPr>
        <w:spacing w:line="300" w:lineRule="auto"/>
        <w:rPr>
          <w:rFonts w:ascii="Times New Roman" w:hAnsi="Times New Roman" w:eastAsia="宋体" w:cs="Times New Roman"/>
          <w:b/>
          <w:bCs/>
          <w:sz w:val="22"/>
          <w14:ligatures w14:val="none"/>
        </w:rPr>
      </w:pPr>
    </w:p>
    <w:p w14:paraId="049128B5">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3</w:t>
      </w:r>
      <w:r>
        <w:rPr>
          <w:rFonts w:hint="eastAsia" w:ascii="Times New Roman" w:hAnsi="Times New Roman" w:eastAsia="宋体" w:cs="Times New Roman"/>
          <w:b/>
          <w:bCs/>
          <w:szCs w:val="24"/>
          <w14:ligatures w14:val="none"/>
        </w:rPr>
        <w:t xml:space="preserve"> 对原文计算可重复性进行评估</w:t>
      </w:r>
    </w:p>
    <w:p w14:paraId="4FD36BA3">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报告对原文献推断性统计进行重复的结果，并汇总表格：</w:t>
      </w:r>
    </w:p>
    <w:p w14:paraId="7CD53BC8">
      <w:pPr>
        <w:spacing w:line="300" w:lineRule="auto"/>
        <w:ind w:firstLine="420" w:firstLineChars="200"/>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报告原文献的值的评级分布情况，整理成表格，如下表所示：</w:t>
      </w:r>
    </w:p>
    <w:p w14:paraId="1B635341">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3</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计算可重复性的评估表</w:t>
      </w:r>
    </w:p>
    <w:tbl>
      <w:tblPr>
        <w:tblStyle w:val="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679BFB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4C7DB82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可重复性情况</w:t>
            </w:r>
          </w:p>
        </w:tc>
        <w:tc>
          <w:tcPr>
            <w:tcW w:w="2370" w:type="dxa"/>
            <w:gridSpan w:val="2"/>
            <w:tcBorders>
              <w:top w:val="single" w:color="auto" w:sz="12" w:space="0"/>
            </w:tcBorders>
          </w:tcPr>
          <w:p w14:paraId="0E0EC4AE">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4E4DD4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65FE42D5">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tcPr>
          <w:p w14:paraId="6656CC67">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2AEC8241">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C054F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1AE1DB62">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 0%)</w:t>
            </w:r>
          </w:p>
        </w:tc>
        <w:tc>
          <w:tcPr>
            <w:tcW w:w="1185" w:type="dxa"/>
            <w:tcBorders>
              <w:top w:val="single" w:color="auto" w:sz="4" w:space="0"/>
              <w:bottom w:val="nil"/>
            </w:tcBorders>
            <w:vAlign w:val="center"/>
          </w:tcPr>
          <w:p w14:paraId="65AA045C">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w:t>
            </w:r>
          </w:p>
        </w:tc>
        <w:tc>
          <w:tcPr>
            <w:tcW w:w="1185" w:type="dxa"/>
            <w:tcBorders>
              <w:top w:val="single" w:color="auto" w:sz="4" w:space="0"/>
              <w:bottom w:val="nil"/>
            </w:tcBorders>
            <w:shd w:val="clear" w:color="auto" w:fill="auto"/>
            <w:vAlign w:val="center"/>
          </w:tcPr>
          <w:p w14:paraId="46761B62">
            <w:pPr>
              <w:spacing w:after="0" w:line="240" w:lineRule="auto"/>
              <w:jc w:val="center"/>
              <w:rPr>
                <w:rFonts w:ascii="等线" w:hAnsi="等线" w:eastAsia="等线" w:cs="宋体"/>
                <w:kern w:val="2"/>
                <w:sz w:val="21"/>
                <w:szCs w:val="22"/>
                <w:lang w:val="en-US" w:eastAsia="zh-CN" w:bidi="ar-SA"/>
                <w14:ligatures w14:val="standardContextual"/>
              </w:rPr>
            </w:pPr>
            <w:r>
              <w:rPr>
                <w:rFonts w:ascii="宋体" w:hAnsi="宋体" w:eastAsia="宋体"/>
                <w:sz w:val="21"/>
              </w:rPr>
              <w:t>5.26%</w:t>
            </w:r>
          </w:p>
        </w:tc>
      </w:tr>
      <w:tr w14:paraId="324711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2D7077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 xml:space="preserve">(0% &lt; </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&lt; 10%)</w:t>
            </w:r>
          </w:p>
        </w:tc>
        <w:tc>
          <w:tcPr>
            <w:tcW w:w="1185" w:type="dxa"/>
            <w:tcBorders>
              <w:top w:val="nil"/>
              <w:bottom w:val="nil"/>
            </w:tcBorders>
            <w:vAlign w:val="center"/>
          </w:tcPr>
          <w:p w14:paraId="7E46430F">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28</w:t>
            </w:r>
          </w:p>
        </w:tc>
        <w:tc>
          <w:tcPr>
            <w:tcW w:w="1185" w:type="dxa"/>
            <w:tcBorders>
              <w:top w:val="nil"/>
              <w:bottom w:val="nil"/>
            </w:tcBorders>
            <w:shd w:val="clear" w:color="auto" w:fill="auto"/>
            <w:vAlign w:val="center"/>
          </w:tcPr>
          <w:p w14:paraId="688786B1">
            <w:pPr>
              <w:spacing w:after="0" w:line="240" w:lineRule="auto"/>
              <w:jc w:val="center"/>
              <w:rPr>
                <w:rFonts w:ascii="等线" w:hAnsi="等线" w:eastAsia="等线" w:cs="宋体"/>
                <w:kern w:val="2"/>
                <w:sz w:val="21"/>
                <w:szCs w:val="22"/>
                <w:lang w:val="en-US" w:eastAsia="zh-CN" w:bidi="ar-SA"/>
                <w14:ligatures w14:val="standardContextual"/>
              </w:rPr>
            </w:pPr>
            <w:r>
              <w:rPr>
                <w:rFonts w:ascii="宋体" w:hAnsi="宋体" w:eastAsia="宋体"/>
                <w:sz w:val="21"/>
              </w:rPr>
              <w:t>49.12%</w:t>
            </w:r>
          </w:p>
        </w:tc>
      </w:tr>
      <w:tr w14:paraId="44F446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6B860648">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偏差较</w:t>
            </w:r>
            <w:r>
              <w:rPr>
                <w:rFonts w:hint="eastAsia" w:ascii="Times New Roman" w:hAnsi="Times New Roman" w:eastAsia="宋体" w:cs="Times New Roman"/>
                <w:sz w:val="18"/>
                <w:szCs w:val="18"/>
                <w:lang w:val="en-US" w:eastAsia="zh-CN"/>
                <w14:ligatures w14:val="none"/>
              </w:rPr>
              <w:t>大</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w:t>
            </w:r>
            <w:r>
              <w:rPr>
                <w:rFonts w:hint="eastAsia" w:ascii="Malgun Gothic" w:hAnsi="Malgun Gothic" w:eastAsia="宋体" w:cs="Malgun Gothic"/>
                <w:sz w:val="18"/>
                <w:szCs w:val="18"/>
                <w14:ligatures w14:val="none"/>
              </w:rPr>
              <w:t>＞</w:t>
            </w:r>
            <w:r>
              <w:rPr>
                <w:rFonts w:ascii="Times New Roman" w:hAnsi="Times New Roman" w:eastAsia="宋体" w:cs="Times New Roman"/>
                <w:sz w:val="18"/>
                <w:szCs w:val="18"/>
                <w14:ligatures w14:val="none"/>
              </w:rPr>
              <w:t xml:space="preserve"> 10%</w:t>
            </w:r>
            <w:r>
              <w:rPr>
                <w:rFonts w:hint="eastAsia" w:ascii="Times New Roman" w:hAnsi="Times New Roman" w:eastAsia="宋体" w:cs="Times New Roman"/>
                <w:sz w:val="18"/>
                <w:szCs w:val="18"/>
                <w14:ligatures w14:val="none"/>
              </w:rPr>
              <w:t>)</w:t>
            </w:r>
          </w:p>
        </w:tc>
        <w:tc>
          <w:tcPr>
            <w:tcW w:w="1185" w:type="dxa"/>
            <w:tcBorders>
              <w:top w:val="nil"/>
              <w:bottom w:val="nil"/>
            </w:tcBorders>
            <w:vAlign w:val="center"/>
          </w:tcPr>
          <w:p w14:paraId="0FABE9A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w:t>
            </w:r>
          </w:p>
        </w:tc>
        <w:tc>
          <w:tcPr>
            <w:tcW w:w="1185" w:type="dxa"/>
            <w:tcBorders>
              <w:top w:val="nil"/>
              <w:bottom w:val="nil"/>
            </w:tcBorders>
            <w:shd w:val="clear" w:color="auto" w:fill="auto"/>
            <w:vAlign w:val="center"/>
          </w:tcPr>
          <w:p w14:paraId="51304C84">
            <w:pPr>
              <w:spacing w:after="0" w:line="240" w:lineRule="auto"/>
              <w:jc w:val="center"/>
              <w:rPr>
                <w:rFonts w:ascii="等线" w:hAnsi="等线" w:eastAsia="等线" w:cs="宋体"/>
                <w:kern w:val="2"/>
                <w:sz w:val="21"/>
                <w:szCs w:val="22"/>
                <w:lang w:val="en-US" w:eastAsia="zh-CN" w:bidi="ar-SA"/>
                <w14:ligatures w14:val="standardContextual"/>
              </w:rPr>
            </w:pPr>
            <w:r>
              <w:rPr>
                <w:rFonts w:ascii="宋体" w:hAnsi="宋体" w:eastAsia="宋体"/>
                <w:sz w:val="21"/>
              </w:rPr>
              <w:t>45.61%</w:t>
            </w:r>
          </w:p>
        </w:tc>
      </w:tr>
      <w:tr w14:paraId="51B82D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6A3DF78B">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185" w:type="dxa"/>
            <w:tcBorders>
              <w:top w:val="nil"/>
              <w:bottom w:val="single" w:color="auto" w:sz="12" w:space="0"/>
            </w:tcBorders>
            <w:vAlign w:val="center"/>
          </w:tcPr>
          <w:p w14:paraId="664E81AF">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185" w:type="dxa"/>
            <w:tcBorders>
              <w:top w:val="nil"/>
              <w:bottom w:val="single" w:color="auto" w:sz="12" w:space="0"/>
            </w:tcBorders>
            <w:shd w:val="clear" w:color="auto" w:fill="auto"/>
            <w:vAlign w:val="center"/>
          </w:tcPr>
          <w:p w14:paraId="6CD20FE1">
            <w:pPr>
              <w:spacing w:after="0" w:line="240" w:lineRule="auto"/>
              <w:jc w:val="center"/>
              <w:rPr>
                <w:rFonts w:ascii="等线" w:hAnsi="等线" w:eastAsia="等线" w:cs="宋体"/>
                <w:kern w:val="2"/>
                <w:sz w:val="21"/>
                <w:szCs w:val="22"/>
                <w:lang w:val="en-US" w:eastAsia="zh-CN" w:bidi="ar-SA"/>
                <w14:ligatures w14:val="standardContextual"/>
              </w:rPr>
            </w:pPr>
            <w:r>
              <w:rPr>
                <w:rFonts w:ascii="宋体" w:hAnsi="宋体" w:eastAsia="宋体"/>
                <w:sz w:val="21"/>
              </w:rPr>
              <w:t>0.00%</w:t>
            </w:r>
          </w:p>
        </w:tc>
      </w:tr>
    </w:tbl>
    <w:p w14:paraId="21C44C2E">
      <w:pPr>
        <w:spacing w:line="300" w:lineRule="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这里的</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指的在重复分析中，对重复分析结果与原结果进行配对比较的次数。例如，原文仅进行了一个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检验，则</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＝1；如果原文进行了一个2</w:t>
      </w:r>
      <w:r>
        <w:rPr>
          <w:rFonts w:ascii="Times New Roman" w:hAnsi="Times New Roman" w:eastAsia="宋体" w:cs="Times New Roman"/>
          <w:sz w:val="18"/>
          <w:szCs w:val="18"/>
          <w14:ligatures w14:val="none"/>
        </w:rPr>
        <w:t>*2</w:t>
      </w:r>
      <w:r>
        <w:rPr>
          <w:rFonts w:hint="eastAsia" w:ascii="Times New Roman" w:hAnsi="Times New Roman" w:eastAsia="宋体" w:cs="Times New Roman"/>
          <w:sz w:val="18"/>
          <w:szCs w:val="18"/>
          <w14:ligatures w14:val="none"/>
        </w:rPr>
        <w:t>的方差分析，并进行简单效应分析，则有可能有7个统计检验的数值：两个主效应，一个交互作用，四个可能的效应效应分析的</w:t>
      </w:r>
      <w:r>
        <w:rPr>
          <w:rFonts w:ascii="Times New Roman" w:hAnsi="Times New Roman" w:eastAsia="宋体" w:cs="Times New Roman"/>
          <w:i/>
          <w:sz w:val="18"/>
          <w:szCs w:val="18"/>
          <w14:ligatures w14:val="none"/>
        </w:rPr>
        <w:t>t</w:t>
      </w:r>
      <w:r>
        <w:rPr>
          <w:rFonts w:hint="eastAsia" w:ascii="Times New Roman" w:hAnsi="Times New Roman" w:eastAsia="宋体" w:cs="Times New Roman"/>
          <w:sz w:val="18"/>
          <w:szCs w:val="18"/>
          <w14:ligatures w14:val="none"/>
        </w:rPr>
        <w:t>或者</w:t>
      </w:r>
      <w:r>
        <w:rPr>
          <w:rFonts w:ascii="Times New Roman" w:hAnsi="Times New Roman" w:eastAsia="宋体" w:cs="Times New Roman"/>
          <w:i/>
          <w:sz w:val="18"/>
          <w:szCs w:val="18"/>
          <w14:ligatures w14:val="none"/>
        </w:rPr>
        <w:t>F</w:t>
      </w:r>
      <w:r>
        <w:rPr>
          <w:rFonts w:hint="eastAsia" w:ascii="Times New Roman" w:hAnsi="Times New Roman" w:eastAsia="宋体" w:cs="Times New Roman"/>
          <w:sz w:val="18"/>
          <w:szCs w:val="18"/>
          <w14:ligatures w14:val="none"/>
        </w:rPr>
        <w:t>值，因此</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＝7。</w:t>
      </w:r>
    </w:p>
    <w:p w14:paraId="02AB52D6">
      <w:pPr>
        <w:spacing w:line="300" w:lineRule="auto"/>
        <w:ind w:firstLine="420" w:firstLineChars="200"/>
        <w:rPr>
          <w:rFonts w:ascii="Times New Roman" w:hAnsi="Times New Roman" w:eastAsia="宋体" w:cs="Times New Roman"/>
          <w:szCs w:val="24"/>
          <w14:ligatures w14:val="none"/>
        </w:rPr>
      </w:pPr>
    </w:p>
    <w:p w14:paraId="73BE7BEE">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需要另行说明的是，原文中多处 p 值以 p &lt; .001 的阈值形式呈现，因此没有纳入精确 δ 汇总；这些阈值型 p 值在本次复现中均保持显著性一致。此外，原文 Table 1 中的 SD 与范围、Table 2 中随机网络参考分布的均值和 SD 未在上传复现输出中提供，因此本报告未对这些数值计算 δ。</w:t>
      </w:r>
    </w:p>
    <w:p w14:paraId="705F82CF">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从结果层级看，行为数据的可重复性最好：样本量完全一致，描述性结果和 McNemar 检验偏差较小。完整网络指标的精确数值复现最差，全部属于偏差较大。bootstrap 结果介于二者之间：显著性和方向完全一致，但 t 值与效应量的精确数值存在较多偏差。</w:t>
      </w:r>
    </w:p>
    <w:p w14:paraId="621723D8">
      <w:pPr>
        <w:spacing w:line="300" w:lineRule="auto"/>
        <w:ind w:firstLine="420" w:firstLineChars="200"/>
        <w:rPr>
          <w:rFonts w:ascii="Times New Roman" w:hAnsi="Times New Roman" w:eastAsia="宋体" w:cs="Times New Roman"/>
          <w:szCs w:val="24"/>
          <w14:ligatures w14:val="none"/>
        </w:rPr>
      </w:pPr>
    </w:p>
    <w:p w14:paraId="2CC6FA78">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4  </w:t>
      </w:r>
      <w:r>
        <w:rPr>
          <w:rFonts w:hint="eastAsia" w:ascii="Times New Roman" w:hAnsi="Times New Roman" w:eastAsia="宋体" w:cs="Times New Roman"/>
          <w:b/>
          <w:bCs/>
          <w:sz w:val="28"/>
          <w:szCs w:val="28"/>
          <w14:ligatures w14:val="none"/>
        </w:rPr>
        <w:t>讨论</w:t>
      </w:r>
    </w:p>
    <w:p w14:paraId="68838EA1">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4.1 计算可重复性检验结果分析</w:t>
      </w:r>
    </w:p>
    <w:p w14:paraId="1A03A9CE">
      <w:pPr>
        <w:spacing w:line="300" w:lineRule="auto"/>
        <w:ind w:firstLine="420" w:firstLineChars="200"/>
        <w:rPr>
          <w:rFonts w:ascii="Times New Roman" w:hAnsi="Times New Roman" w:eastAsia="黑体" w:cs="Times New Roman"/>
          <w:b/>
          <w:bCs/>
          <w:sz w:val="18"/>
          <w:szCs w:val="18"/>
          <w14:ligatures w14:val="none"/>
        </w:rPr>
      </w:pPr>
      <w:r>
        <w:rPr>
          <w:rFonts w:hint="eastAsia" w:ascii="Times New Roman" w:hAnsi="Times New Roman" w:eastAsia="宋体" w:cs="Times New Roman"/>
          <w:szCs w:val="24"/>
          <w14:ligatures w14:val="none"/>
        </w:rPr>
        <w:t>结合下表，对原文献进行分析，推测可能导致可重复性检验结果差异的原因。对于重要的原因，逐段进行展开说明。</w:t>
      </w:r>
    </w:p>
    <w:p w14:paraId="19960C38">
      <w:pPr>
        <w:spacing w:line="300" w:lineRule="auto"/>
        <w:jc w:val="center"/>
        <w:rPr>
          <w:rFonts w:ascii="Times New Roman" w:hAnsi="Times New Roman" w:eastAsia="黑体" w:cs="Times New Roman"/>
          <w:b/>
          <w:bCs/>
          <w:sz w:val="18"/>
          <w:szCs w:val="18"/>
          <w14:ligatures w14:val="none"/>
        </w:rPr>
      </w:pPr>
    </w:p>
    <w:p w14:paraId="2C5F85A7">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4</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计算上不可重复的原因分析表</w:t>
      </w:r>
    </w:p>
    <w:tbl>
      <w:tblPr>
        <w:tblStyle w:val="5"/>
        <w:tblW w:w="9000" w:type="dxa"/>
        <w:tblInd w:w="-2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6"/>
        <w:gridCol w:w="4111"/>
        <w:gridCol w:w="3163"/>
      </w:tblGrid>
      <w:tr w14:paraId="00A49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trPr>
        <w:tc>
          <w:tcPr>
            <w:tcW w:w="5837" w:type="dxa"/>
            <w:gridSpan w:val="2"/>
            <w:tcBorders>
              <w:top w:val="single" w:color="auto" w:sz="12" w:space="0"/>
              <w:bottom w:val="single" w:color="auto" w:sz="4" w:space="0"/>
            </w:tcBorders>
            <w:vAlign w:val="center"/>
          </w:tcPr>
          <w:p w14:paraId="2E6CF8BC">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可能原因</w:t>
            </w:r>
          </w:p>
        </w:tc>
        <w:tc>
          <w:tcPr>
            <w:tcW w:w="3163" w:type="dxa"/>
            <w:tcBorders>
              <w:top w:val="single" w:color="auto" w:sz="12" w:space="0"/>
              <w:bottom w:val="single" w:color="auto" w:sz="4" w:space="0"/>
            </w:tcBorders>
            <w:vAlign w:val="center"/>
          </w:tcPr>
          <w:p w14:paraId="258F1EF6">
            <w:pPr>
              <w:spacing w:line="300" w:lineRule="auto"/>
              <w:jc w:val="center"/>
              <w:rPr>
                <w:rFonts w:hint="default"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lang w:val="en-US" w:eastAsia="zh-CN"/>
                <w14:ligatures w14:val="none"/>
              </w:rPr>
              <w:t>原因判断、对结果不一致的影响</w:t>
            </w:r>
          </w:p>
        </w:tc>
      </w:tr>
      <w:tr w14:paraId="32B38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2" w:hRule="atLeast"/>
        </w:trPr>
        <w:tc>
          <w:tcPr>
            <w:tcW w:w="1726" w:type="dxa"/>
            <w:vMerge w:val="restart"/>
            <w:tcBorders>
              <w:top w:val="single" w:color="auto" w:sz="4" w:space="0"/>
            </w:tcBorders>
            <w:vAlign w:val="center"/>
          </w:tcPr>
          <w:p w14:paraId="46153F55">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一般开放获取性问题</w:t>
            </w:r>
          </w:p>
        </w:tc>
        <w:tc>
          <w:tcPr>
            <w:tcW w:w="4111" w:type="dxa"/>
            <w:tcBorders>
              <w:top w:val="single" w:color="auto" w:sz="4" w:space="0"/>
            </w:tcBorders>
            <w:vAlign w:val="center"/>
          </w:tcPr>
          <w:p w14:paraId="382B6F61">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本研究的不一致不主要来自样本量或基本分组错误，而更可能来自语义流畅性反应的清理标准差异。例如，动物名称的词形合并、同义词处理、重复反应删除、非动物反应排除等环节，都会影响最终独特反应数。</w:t>
            </w:r>
          </w:p>
        </w:tc>
        <w:tc>
          <w:tcPr>
            <w:tcW w:w="3163" w:type="dxa"/>
            <w:tcBorders>
              <w:top w:val="single" w:color="auto" w:sz="4" w:space="0"/>
            </w:tcBorders>
          </w:tcPr>
          <w:p w14:paraId="755CB6D3">
            <w:pPr>
              <w:spacing w:line="300" w:lineRule="auto"/>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对描述性统计影响较小，但会进一步影响后续语义网络中的节点集合，因此可能间接影响网络指标。</w:t>
            </w:r>
          </w:p>
        </w:tc>
      </w:tr>
      <w:tr w14:paraId="52755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6" w:type="dxa"/>
            <w:vMerge w:val="continue"/>
            <w:vAlign w:val="center"/>
          </w:tcPr>
          <w:p w14:paraId="2D0F7642">
            <w:pPr>
              <w:spacing w:line="300" w:lineRule="auto"/>
              <w:jc w:val="center"/>
              <w:rPr>
                <w:rFonts w:ascii="Times New Roman" w:hAnsi="Times New Roman" w:eastAsia="宋体" w:cs="Times New Roman"/>
                <w:b/>
                <w:bCs/>
                <w:szCs w:val="24"/>
                <w14:ligatures w14:val="none"/>
              </w:rPr>
            </w:pPr>
          </w:p>
        </w:tc>
        <w:tc>
          <w:tcPr>
            <w:tcW w:w="4111" w:type="dxa"/>
            <w:vAlign w:val="center"/>
          </w:tcPr>
          <w:p w14:paraId="45387EAB">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该部分偏差可能与原文献自身报告不一致有关。原文献正文中报告的总反应数均值与表格中报告的均值并不完全一致，因此 t 检验和效应量可能并非完全依据同一组描述性统计计算。此外，原文献报告的 p 值与 t 值、自由度之间也可能存在报告、排版或复制粘贴误差。</w:t>
            </w:r>
          </w:p>
        </w:tc>
        <w:tc>
          <w:tcPr>
            <w:tcW w:w="3163" w:type="dxa"/>
          </w:tcPr>
          <w:p w14:paraId="236044E8">
            <w:pPr>
              <w:spacing w:line="300" w:lineRule="auto"/>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影响行为推断统计的精确数值可重复性，但不影响结论方向。本研究仍然得到高开放组总反应数高于低开放组的结果。</w:t>
            </w:r>
          </w:p>
        </w:tc>
      </w:tr>
      <w:tr w14:paraId="56D45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6" w:type="dxa"/>
            <w:vMerge w:val="continue"/>
            <w:vAlign w:val="center"/>
          </w:tcPr>
          <w:p w14:paraId="7ADC06E2">
            <w:pPr>
              <w:spacing w:line="300" w:lineRule="auto"/>
              <w:jc w:val="center"/>
              <w:rPr>
                <w:rFonts w:ascii="Times New Roman" w:hAnsi="Times New Roman" w:eastAsia="宋体" w:cs="Times New Roman"/>
                <w:b/>
                <w:bCs/>
                <w:szCs w:val="24"/>
                <w14:ligatures w14:val="none"/>
              </w:rPr>
            </w:pPr>
          </w:p>
        </w:tc>
        <w:tc>
          <w:tcPr>
            <w:tcW w:w="4111" w:type="dxa"/>
            <w:vAlign w:val="center"/>
          </w:tcPr>
          <w:p w14:paraId="66011392">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本研究与原文献在完整网络指标的计算口径上可能不完全一致。CC 的数值范围差异提示原文献可能使用了经过标准化、归一化或特定函数处理后的聚类系数，而本研究复现结果更接近常规网络聚类系数输出。</w:t>
            </w:r>
          </w:p>
        </w:tc>
        <w:tc>
          <w:tcPr>
            <w:tcW w:w="3163" w:type="dxa"/>
          </w:tcPr>
          <w:p w14:paraId="5258B176">
            <w:pPr>
              <w:spacing w:line="300" w:lineRule="auto"/>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对完整网络指标影响较大，是本次复现中数值不可重复的主要来源之一</w:t>
            </w:r>
          </w:p>
        </w:tc>
      </w:tr>
      <w:tr w14:paraId="1C841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6" w:type="dxa"/>
            <w:vMerge w:val="continue"/>
            <w:vAlign w:val="center"/>
          </w:tcPr>
          <w:p w14:paraId="2B20FB24">
            <w:pPr>
              <w:spacing w:line="300" w:lineRule="auto"/>
              <w:jc w:val="center"/>
              <w:rPr>
                <w:rFonts w:ascii="Times New Roman" w:hAnsi="Times New Roman" w:eastAsia="宋体" w:cs="Times New Roman"/>
                <w:b/>
                <w:bCs/>
                <w:szCs w:val="24"/>
                <w14:ligatures w14:val="none"/>
              </w:rPr>
            </w:pPr>
          </w:p>
        </w:tc>
        <w:tc>
          <w:tcPr>
            <w:tcW w:w="4111" w:type="dxa"/>
            <w:tcBorders>
              <w:bottom w:val="single" w:color="auto" w:sz="4" w:space="0"/>
            </w:tcBorders>
            <w:vAlign w:val="center"/>
          </w:tcPr>
          <w:p w14:paraId="2B4F6AD9">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ASPL 和 CC 的偏差可能由网络构建细节差异、节点抽样过程差异或软件版本差异导致；Q 指标偏差较小，说明模块度相关结论相对更稳定。</w:t>
            </w:r>
          </w:p>
        </w:tc>
        <w:tc>
          <w:tcPr>
            <w:tcW w:w="3163" w:type="dxa"/>
            <w:tcBorders>
              <w:bottom w:val="single" w:color="auto" w:sz="4" w:space="0"/>
            </w:tcBorders>
          </w:tcPr>
          <w:p w14:paraId="20C2C759">
            <w:pPr>
              <w:spacing w:line="300" w:lineRule="auto"/>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对精确数值可重复性影响较大，但对研究结论方向影响较小。原文献关于高开放组语义网络更互联、更灵活、局部组织更好的结论在方向上得到支持。</w:t>
            </w:r>
          </w:p>
        </w:tc>
      </w:tr>
      <w:tr w14:paraId="79F0F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6" w:type="dxa"/>
            <w:vMerge w:val="restart"/>
            <w:vAlign w:val="center"/>
          </w:tcPr>
          <w:p w14:paraId="12F97446">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OSF 开放获取特定问题</w:t>
            </w:r>
          </w:p>
        </w:tc>
        <w:tc>
          <w:tcPr>
            <w:tcW w:w="4111" w:type="dxa"/>
            <w:tcBorders>
              <w:top w:val="single" w:color="auto" w:sz="4" w:space="0"/>
            </w:tcBorders>
            <w:vAlign w:val="center"/>
          </w:tcPr>
          <w:p w14:paraId="06EE57C2">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开放材料虽然可以支持复现，但文件之间的对应关系不够直接。若缺少清楚的 readme 或变量说明，重复者需要自行判断哪些文件用于描述性统计、哪些文件用于网络分析、哪些文件是中间数据或最终结果。</w:t>
            </w:r>
          </w:p>
        </w:tc>
        <w:tc>
          <w:tcPr>
            <w:tcW w:w="3163" w:type="dxa"/>
            <w:tcBorders>
              <w:top w:val="single" w:color="auto" w:sz="4" w:space="0"/>
            </w:tcBorders>
          </w:tcPr>
          <w:p w14:paraId="00A9550B">
            <w:pPr>
              <w:spacing w:line="300" w:lineRule="auto"/>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主要影响复现过程的可追踪性。它不会必然导致结论错误，但会增加重复者使用不同数据文件或不同计算路径的风险。</w:t>
            </w:r>
          </w:p>
        </w:tc>
      </w:tr>
      <w:tr w14:paraId="0CD72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6" w:type="dxa"/>
            <w:vMerge w:val="continue"/>
            <w:vAlign w:val="center"/>
          </w:tcPr>
          <w:p w14:paraId="2CF38A51">
            <w:pPr>
              <w:spacing w:line="300" w:lineRule="auto"/>
              <w:jc w:val="center"/>
              <w:rPr>
                <w:rFonts w:ascii="Times New Roman" w:hAnsi="Times New Roman" w:eastAsia="宋体" w:cs="Times New Roman"/>
                <w:b/>
                <w:bCs/>
                <w:szCs w:val="24"/>
                <w14:ligatures w14:val="none"/>
              </w:rPr>
            </w:pPr>
          </w:p>
        </w:tc>
        <w:tc>
          <w:tcPr>
            <w:tcW w:w="4111" w:type="dxa"/>
            <w:vAlign w:val="center"/>
          </w:tcPr>
          <w:p w14:paraId="160E0BF0">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开放数据文件与原文献最终报告结果之间并非完全一一对应，或者原作者最终报告时使用了另一版清理后数据。也可能是本研究在读取和统计二元反应矩阵时，与原作者的最终节点筛选标准存在细微差异。</w:t>
            </w:r>
          </w:p>
        </w:tc>
        <w:tc>
          <w:tcPr>
            <w:tcW w:w="3163" w:type="dxa"/>
          </w:tcPr>
          <w:p w14:paraId="33ECA6BE">
            <w:pPr>
              <w:spacing w:line="300" w:lineRule="auto"/>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对独特反应数和语义网络节点集合有影响，并可能进一步影响完整网络指标和 bootstrap 指标。</w:t>
            </w:r>
          </w:p>
        </w:tc>
      </w:tr>
      <w:tr w14:paraId="60BD1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trPr>
        <w:tc>
          <w:tcPr>
            <w:tcW w:w="1726" w:type="dxa"/>
            <w:vAlign w:val="center"/>
          </w:tcPr>
          <w:p w14:paraId="12F3707B">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数据开放获取特定问题</w:t>
            </w:r>
          </w:p>
        </w:tc>
        <w:tc>
          <w:tcPr>
            <w:tcW w:w="4111" w:type="dxa"/>
            <w:vAlign w:val="center"/>
          </w:tcPr>
          <w:p w14:paraId="202EE079">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本研究未能完全确认原作者从最原始文字反应到清理后二元反应矩阵的全部细节，例如哪些词被合并、哪些反应被排除、动物名称变体如何处理。</w:t>
            </w:r>
          </w:p>
        </w:tc>
        <w:tc>
          <w:tcPr>
            <w:tcW w:w="3163" w:type="dxa"/>
          </w:tcPr>
          <w:p w14:paraId="416647DE">
            <w:pPr>
              <w:spacing w:line="300" w:lineRule="auto"/>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由于语义网络分析高度依赖节点集合，哪怕只改变少量动物名称的保留或合并方式，也会改变独特反应数、共同节点数和网络结构。</w:t>
            </w:r>
          </w:p>
        </w:tc>
      </w:tr>
      <w:tr w14:paraId="64E14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trPr>
        <w:tc>
          <w:tcPr>
            <w:tcW w:w="1726" w:type="dxa"/>
            <w:vAlign w:val="center"/>
          </w:tcPr>
          <w:p w14:paraId="6E304041">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代码开放获取特定问题</w:t>
            </w:r>
          </w:p>
        </w:tc>
        <w:tc>
          <w:tcPr>
            <w:tcW w:w="4111" w:type="dxa"/>
            <w:tcBorders>
              <w:bottom w:val="nil"/>
            </w:tcBorders>
            <w:vAlign w:val="center"/>
          </w:tcPr>
          <w:p w14:paraId="4C1DE1CB">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本研究的常规行为统计较容易复现，但网络指标和 bootstrap 统计量偏差明显更大。</w:t>
            </w:r>
          </w:p>
        </w:tc>
        <w:tc>
          <w:tcPr>
            <w:tcW w:w="3163" w:type="dxa"/>
            <w:tcBorders>
              <w:bottom w:val="nil"/>
            </w:tcBorders>
          </w:tcPr>
          <w:p w14:paraId="316BFD0B">
            <w:pPr>
              <w:spacing w:line="300" w:lineRule="auto"/>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问题不主要在普通统计检验代码，而更可能集中在语义网络构建和网络指标计算代码上。TMFG 过滤、节点匹配、二值化、模块度计算和平均最短路径计算等步骤，只要函数参数或默认设置不同，就可能导致结果差异。</w:t>
            </w:r>
          </w:p>
        </w:tc>
      </w:tr>
      <w:tr w14:paraId="39F81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6" w:type="dxa"/>
            <w:tcBorders>
              <w:bottom w:val="single" w:color="auto" w:sz="12" w:space="0"/>
            </w:tcBorders>
          </w:tcPr>
          <w:p w14:paraId="0F2C6D13">
            <w:pPr>
              <w:spacing w:line="300" w:lineRule="auto"/>
              <w:jc w:val="center"/>
              <w:rPr>
                <w:rFonts w:hint="default"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lang w:val="en-US" w:eastAsia="zh-CN"/>
                <w14:ligatures w14:val="none"/>
              </w:rPr>
              <w:t>其他可能因素</w:t>
            </w:r>
          </w:p>
        </w:tc>
        <w:tc>
          <w:tcPr>
            <w:tcW w:w="4111" w:type="dxa"/>
            <w:tcBorders>
              <w:top w:val="nil"/>
              <w:bottom w:val="single" w:color="auto" w:sz="12" w:space="0"/>
            </w:tcBorders>
            <w:vAlign w:val="center"/>
          </w:tcPr>
          <w:p w14:paraId="36612CA3">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本次复现中，部分结果需要根据多个文件交叉判断，例如先使用汇总文件，再使用个体层级二元数据补充 SD。</w:t>
            </w:r>
          </w:p>
        </w:tc>
        <w:tc>
          <w:tcPr>
            <w:tcW w:w="3163" w:type="dxa"/>
            <w:tcBorders>
              <w:top w:val="nil"/>
              <w:bottom w:val="single" w:color="auto" w:sz="12" w:space="0"/>
            </w:tcBorders>
          </w:tcPr>
          <w:p w14:paraId="48FA4364">
            <w:pPr>
              <w:spacing w:line="300" w:lineRule="auto"/>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这对重复者的 R 语言操作、数据整理和变量理解提出了较高要求。如果重复者对 latent 分组、二元反应列求和、节点筛选或 bootstrap 输出理解不同，可能导致结果不一致。</w:t>
            </w:r>
          </w:p>
        </w:tc>
      </w:tr>
    </w:tbl>
    <w:p w14:paraId="7DD9A063">
      <w:pPr>
        <w:spacing w:line="300" w:lineRule="auto"/>
        <w:jc w:val="center"/>
        <w:rPr>
          <w:rFonts w:ascii="Times New Roman" w:hAnsi="Times New Roman" w:eastAsia="黑体" w:cs="Times New Roman"/>
          <w:b/>
          <w:bCs/>
          <w:sz w:val="18"/>
          <w:szCs w:val="18"/>
          <w14:ligatures w14:val="none"/>
        </w:rPr>
      </w:pPr>
    </w:p>
    <w:p w14:paraId="20EAE9BB">
      <w:pPr>
        <w:spacing w:line="300" w:lineRule="auto"/>
        <w:jc w:val="left"/>
        <w:rPr>
          <w:rFonts w:ascii="Times New Roman" w:hAnsi="Times New Roman" w:eastAsia="黑体" w:cs="Times New Roman"/>
          <w:b/>
          <w:bCs/>
          <w:sz w:val="18"/>
          <w:szCs w:val="18"/>
          <w14:ligatures w14:val="none"/>
        </w:rPr>
      </w:pPr>
      <w:r>
        <w:rPr>
          <w:rFonts w:hint="eastAsia" w:ascii="Times New Roman" w:hAnsi="Times New Roman" w:eastAsia="宋体" w:cs="Times New Roman"/>
          <w:b/>
          <w:bCs/>
          <w:szCs w:val="24"/>
          <w14:ligatures w14:val="none"/>
        </w:rPr>
        <w:t>4.2 其他思考</w:t>
      </w:r>
    </w:p>
    <w:p w14:paraId="5ADCCD35">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本次复现显示，R 语言中的常规统计分析相对容易达到较高的计算可重复性，而复杂网络分析更依赖完整、透明且版本固定的分析流程。对于心理学研究而言，开放数据和开放代码只是可重复性的基础条件；若代码缺少依赖版本、随机种子、预处理说明和中间结果校验，复现者仍可能得到方向一致但数值明显不同的结果。</w:t>
      </w:r>
    </w:p>
    <w:p w14:paraId="257CC9A8">
      <w:pPr>
        <w:spacing w:line="300" w:lineRule="auto"/>
        <w:rPr>
          <w:rFonts w:ascii="Times New Roman" w:hAnsi="Times New Roman" w:eastAsia="宋体" w:cs="Times New Roman"/>
          <w:sz w:val="30"/>
          <w:szCs w:val="30"/>
          <w14:ligatures w14:val="none"/>
        </w:rPr>
      </w:pPr>
    </w:p>
    <w:p w14:paraId="3F510AAC">
      <w:pPr>
        <w:spacing w:line="300" w:lineRule="auto"/>
        <w:ind w:firstLine="562" w:firstLineChars="200"/>
        <w:jc w:val="center"/>
        <w:rPr>
          <w:rFonts w:ascii="黑体" w:hAnsi="黑体" w:eastAsia="黑体" w:cs="Times New Roman"/>
          <w:b/>
          <w:bCs/>
          <w:sz w:val="28"/>
          <w:szCs w:val="28"/>
          <w14:ligatures w14:val="none"/>
        </w:rPr>
      </w:pPr>
      <w:r>
        <w:rPr>
          <w:rFonts w:hint="eastAsia" w:ascii="黑体" w:hAnsi="黑体" w:eastAsia="黑体" w:cs="Times New Roman"/>
          <w:b/>
          <w:bCs/>
          <w:sz w:val="28"/>
          <w:szCs w:val="28"/>
          <w14:ligatures w14:val="none"/>
        </w:rPr>
        <w:t>参考文献(APA格式)</w:t>
      </w:r>
    </w:p>
    <w:p w14:paraId="7205AA3D">
      <w:r>
        <w:rPr>
          <w:rFonts w:hint="eastAsia"/>
        </w:rPr>
        <w:t xml:space="preserve">Christensen, A. P., Kenett, Y. N., Cotter, K. N., Beaty, R. E., &amp; Silvia, P. J. (2018). Remotely close associations: Openness to experience and semantic memory structure. </w:t>
      </w:r>
      <w:r>
        <w:rPr>
          <w:rFonts w:hint="eastAsia"/>
          <w:i/>
          <w:iCs/>
        </w:rPr>
        <w:t>European Journal of Person</w:t>
      </w:r>
      <w:bookmarkStart w:id="0" w:name="_GoBack"/>
      <w:bookmarkEnd w:id="0"/>
      <w:r>
        <w:rPr>
          <w:rFonts w:hint="eastAsia"/>
          <w:i/>
          <w:iCs/>
        </w:rPr>
        <w:t>ality, 32</w:t>
      </w:r>
      <w:r>
        <w:rPr>
          <w:rFonts w:hint="eastAsia"/>
        </w:rPr>
        <w:t>(4), 480–492. https://doi.org/10.1002/per.2157</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algun Gothic">
    <w:panose1 w:val="020B0503020000020004"/>
    <w:charset w:val="81"/>
    <w:family w:val="swiss"/>
    <w:pitch w:val="default"/>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27064D"/>
    <w:rsid w:val="0F27064D"/>
    <w:rsid w:val="2A6818A2"/>
    <w:rsid w:val="741D7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14:ligatures w14:val="standardContextual"/>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99"/>
    <w:pPr>
      <w:jc w:val="left"/>
    </w:p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Emphasis"/>
    <w:basedOn w:val="6"/>
    <w:qFormat/>
    <w:uiPriority w:val="0"/>
    <w:rPr>
      <w:i/>
    </w:rPr>
  </w:style>
  <w:style w:type="character" w:styleId="8">
    <w:name w:val="Hyperlink"/>
    <w:basedOn w:val="6"/>
    <w:uiPriority w:val="0"/>
    <w:rPr>
      <w:color w:val="0000FF"/>
      <w:u w:val="single"/>
    </w:rPr>
  </w:style>
  <w:style w:type="character" w:styleId="9">
    <w:name w:val="HTML Code"/>
    <w:basedOn w:val="6"/>
    <w:qFormat/>
    <w:uiPriority w:val="0"/>
    <w:rPr>
      <w:rFonts w:ascii="Courier New" w:hAnsi="Courier New"/>
      <w:sz w:val="20"/>
    </w:rPr>
  </w:style>
  <w:style w:type="character" w:styleId="10">
    <w:name w:val="annotation reference"/>
    <w:basedOn w:val="6"/>
    <w:qFormat/>
    <w:uiPriority w:val="99"/>
    <w:rPr>
      <w:sz w:val="21"/>
      <w:szCs w:val="21"/>
    </w:rPr>
  </w:style>
  <w:style w:type="paragraph" w:customStyle="1" w:styleId="11">
    <w:name w:val="Table Note"/>
    <w:qFormat/>
    <w:uiPriority w:val="0"/>
    <w:pPr>
      <w:spacing w:after="200" w:line="276" w:lineRule="auto"/>
    </w:pPr>
    <w:rPr>
      <w:rFonts w:ascii="Noto Serif CJK SC" w:hAnsi="Noto Serif CJK SC" w:eastAsia="Noto Serif CJK SC" w:cstheme="minorBidi"/>
      <w:sz w:val="18"/>
      <w:szCs w:val="22"/>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5151</Words>
  <Characters>6457</Characters>
  <Lines>0</Lines>
  <Paragraphs>0</Paragraphs>
  <TotalTime>3</TotalTime>
  <ScaleCrop>false</ScaleCrop>
  <LinksUpToDate>false</LinksUpToDate>
  <CharactersWithSpaces>6718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2026-06-21T02:14:00Z</dcterms:created>
  <dc:creator>小王.</dc:creator>
  <cp:lastModifiedBy>小王.</cp:lastModifiedBy>
  <dcterms:modified xsi:type="dcterms:W3CDTF">2026-06-21T05:14:31Z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4F3D7695D1444504809B2715FB3F6FC3_11</vt:lpwstr>
  </property>
  <property fmtid="{D5CDD505-2E9C-101B-9397-08002B2CF9AE}" pid="4" name="KSOTemplateDocerSaveRecord">
    <vt:lpwstr>eyJoZGlkIjoiMGExNGZiNWUzOWQ5NGU2NGEyOTE0NmE2NjRmMTI3NmIiLCJ1c2VySWQiOiI5NjM2MTYyMDkifQ==</vt:lpwstr>
  </property>
</Properties>
</file>