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8"/>
        </w:rPr>
        <w:t>Did Anyone See It Coming? Machine-Reading a Century of American Newspaper Economic Forecasts, 1900–1963</w:t>
      </w:r>
    </w:p>
    <w:p>
      <w:pPr>
        <w:spacing w:line="240" w:lineRule="auto" w:before="0" w:after="0"/>
        <w:jc w:val="left"/>
      </w:pPr>
    </w:p>
    <w:p>
      <w:pPr>
        <w:spacing w:line="240" w:lineRule="auto" w:before="0" w:after="0"/>
        <w:jc w:val="center"/>
      </w:pPr>
      <w:r>
        <w:rPr>
          <w:rFonts w:ascii="Times New Roman" w:hAnsi="Times New Roman" w:eastAsia="Times New Roman"/>
          <w:b w:val="0"/>
          <w:i w:val="0"/>
          <w:sz w:val="24"/>
        </w:rPr>
        <w:t>Vincent Wang</w:t>
      </w:r>
      <w:r>
        <w:rPr>
          <w:rFonts w:ascii="Times New Roman" w:hAnsi="Times New Roman" w:eastAsia="Times New Roman"/>
          <w:b w:val="0"/>
          <w:i w:val="0"/>
          <w:sz w:val="24"/>
          <w:vertAlign w:val="superscript"/>
        </w:rPr>
        <w:t>1, 2</w:t>
      </w:r>
      <w:r>
        <w:rPr>
          <w:rFonts w:ascii="Times New Roman" w:hAnsi="Times New Roman" w:eastAsia="Times New Roman"/>
          <w:b w:val="0"/>
          <w:i w:val="0"/>
          <w:sz w:val="24"/>
        </w:rPr>
        <w:t xml:space="preserve">, </w:t>
      </w:r>
      <w:r>
        <w:rPr>
          <w:rFonts w:ascii="Times New Roman" w:hAnsi="Times New Roman" w:eastAsia="Times New Roman"/>
          <w:b w:val="0"/>
          <w:i w:val="0"/>
          <w:sz w:val="24"/>
        </w:rPr>
        <w:t>Jeremy Liu</w:t>
      </w:r>
      <w:r>
        <w:rPr>
          <w:rFonts w:ascii="Times New Roman" w:hAnsi="Times New Roman" w:eastAsia="Times New Roman"/>
          <w:b w:val="0"/>
          <w:i w:val="0"/>
          <w:sz w:val="24"/>
          <w:vertAlign w:val="superscript"/>
        </w:rPr>
        <w:t>1, 3</w:t>
      </w:r>
      <w:r>
        <w:rPr>
          <w:rFonts w:ascii="Times New Roman" w:hAnsi="Times New Roman" w:eastAsia="Times New Roman"/>
          <w:b w:val="0"/>
          <w:i w:val="0"/>
          <w:sz w:val="24"/>
        </w:rPr>
        <w:t xml:space="preserve">, </w:t>
      </w:r>
      <w:r>
        <w:rPr>
          <w:rFonts w:ascii="Times New Roman" w:hAnsi="Times New Roman" w:eastAsia="Times New Roman"/>
          <w:b w:val="0"/>
          <w:i w:val="0"/>
          <w:sz w:val="24"/>
        </w:rPr>
        <w:t>Bode Bosell</w:t>
      </w:r>
      <w:r>
        <w:rPr>
          <w:rFonts w:ascii="Times New Roman" w:hAnsi="Times New Roman" w:eastAsia="Times New Roman"/>
          <w:b w:val="0"/>
          <w:i w:val="0"/>
          <w:sz w:val="24"/>
          <w:vertAlign w:val="superscript"/>
        </w:rPr>
        <w:t>1, 4</w:t>
      </w:r>
      <w:r>
        <w:rPr>
          <w:rFonts w:ascii="Times New Roman" w:hAnsi="Times New Roman" w:eastAsia="Times New Roman"/>
          <w:b w:val="0"/>
          <w:i w:val="0"/>
          <w:sz w:val="24"/>
        </w:rPr>
        <w:t xml:space="preserve">, </w:t>
      </w:r>
      <w:r>
        <w:rPr>
          <w:rFonts w:ascii="Times New Roman" w:hAnsi="Times New Roman" w:eastAsia="Times New Roman"/>
          <w:b w:val="0"/>
          <w:i w:val="0"/>
          <w:sz w:val="24"/>
        </w:rPr>
        <w:t>Indrajit Kalita</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w:t>
      </w:r>
      <w:r>
        <w:rPr>
          <w:rFonts w:ascii="Times New Roman" w:hAnsi="Times New Roman" w:eastAsia="Times New Roman"/>
          <w:b w:val="0"/>
          <w:i w:val="0"/>
          <w:sz w:val="24"/>
        </w:rPr>
        <w:t>Eugene Pinsky</w:t>
      </w:r>
      <w:r>
        <w:rPr>
          <w:rFonts w:ascii="Times New Roman" w:hAnsi="Times New Roman" w:eastAsia="Times New Roman"/>
          <w:b w:val="0"/>
          <w:i w:val="0"/>
          <w:sz w:val="24"/>
          <w:vertAlign w:val="superscript"/>
        </w:rPr>
        <w:t>1</w:t>
      </w:r>
    </w:p>
    <w:p>
      <w:pPr>
        <w:spacing w:line="240" w:lineRule="auto" w:before="0" w:after="0"/>
        <w:jc w:val="center"/>
      </w:pPr>
      <w:r>
        <w:rPr>
          <w:rFonts w:ascii="Times New Roman" w:hAnsi="Times New Roman" w:eastAsia="Times New Roman"/>
          <w:b w:val="0"/>
          <w:i/>
          <w:sz w:val="24"/>
        </w:rPr>
        <w:t>Boston University RISE Program, Boston, MA</w:t>
      </w:r>
      <w:r>
        <w:rPr>
          <w:rFonts w:ascii="Times New Roman" w:hAnsi="Times New Roman" w:eastAsia="Times New Roman"/>
          <w:b w:val="0"/>
          <w:i/>
          <w:sz w:val="24"/>
          <w:vertAlign w:val="superscript"/>
        </w:rPr>
        <w:t>1</w:t>
      </w:r>
      <w:r>
        <w:rPr>
          <w:rFonts w:ascii="Times New Roman" w:hAnsi="Times New Roman" w:eastAsia="Times New Roman"/>
          <w:b w:val="0"/>
          <w:i/>
          <w:sz w:val="24"/>
        </w:rPr>
        <w:t xml:space="preserve">; </w:t>
      </w:r>
      <w:r>
        <w:rPr>
          <w:rFonts w:ascii="Times New Roman" w:hAnsi="Times New Roman" w:eastAsia="Times New Roman"/>
          <w:b w:val="0"/>
          <w:i/>
          <w:sz w:val="24"/>
        </w:rPr>
        <w:t>Valley Christian High School, 100 Skyway Dr 130, San Jose, CA 95111</w:t>
      </w:r>
      <w:r>
        <w:rPr>
          <w:rFonts w:ascii="Times New Roman" w:hAnsi="Times New Roman" w:eastAsia="Times New Roman"/>
          <w:b w:val="0"/>
          <w:i/>
          <w:sz w:val="24"/>
          <w:vertAlign w:val="superscript"/>
        </w:rPr>
        <w:t>2</w:t>
      </w:r>
      <w:r>
        <w:rPr>
          <w:rFonts w:ascii="Times New Roman" w:hAnsi="Times New Roman" w:eastAsia="Times New Roman"/>
          <w:b w:val="0"/>
          <w:i/>
          <w:sz w:val="24"/>
        </w:rPr>
        <w:t xml:space="preserve">; </w:t>
      </w:r>
      <w:r>
        <w:rPr>
          <w:rFonts w:ascii="Times New Roman" w:hAnsi="Times New Roman" w:eastAsia="Times New Roman"/>
          <w:b w:val="0"/>
          <w:i/>
          <w:sz w:val="24"/>
        </w:rPr>
        <w:t>Northview High School, 10625 Parsons Road, Johns Creek, GA 30097</w:t>
      </w:r>
      <w:r>
        <w:rPr>
          <w:rFonts w:ascii="Times New Roman" w:hAnsi="Times New Roman" w:eastAsia="Times New Roman"/>
          <w:b w:val="0"/>
          <w:i/>
          <w:sz w:val="24"/>
          <w:vertAlign w:val="superscript"/>
        </w:rPr>
        <w:t>3</w:t>
      </w:r>
      <w:r>
        <w:rPr>
          <w:rFonts w:ascii="Times New Roman" w:hAnsi="Times New Roman" w:eastAsia="Times New Roman"/>
          <w:b w:val="0"/>
          <w:i/>
          <w:sz w:val="24"/>
        </w:rPr>
        <w:t xml:space="preserve">; </w:t>
      </w:r>
      <w:r>
        <w:rPr>
          <w:rFonts w:ascii="Times New Roman" w:hAnsi="Times New Roman" w:eastAsia="Times New Roman"/>
          <w:b w:val="0"/>
          <w:i/>
          <w:sz w:val="24"/>
        </w:rPr>
        <w:t>Strake Jesuit College Preparatory, 8900 Bellaire Blvd, Houston, TX 77036</w:t>
      </w:r>
      <w:r>
        <w:rPr>
          <w:rFonts w:ascii="Times New Roman" w:hAnsi="Times New Roman" w:eastAsia="Times New Roman"/>
          <w:b w:val="0"/>
          <w:i/>
          <w:sz w:val="24"/>
          <w:vertAlign w:val="superscript"/>
        </w:rPr>
        <w:t>4</w:t>
      </w:r>
    </w:p>
    <w:p>
      <w:pPr>
        <w:spacing w:line="240" w:lineRule="auto" w:before="0" w:after="0"/>
        <w:jc w:val="left"/>
      </w:pPr>
    </w:p>
    <w:p>
      <w:pPr>
        <w:spacing w:line="240" w:lineRule="auto" w:before="0" w:after="0"/>
        <w:jc w:val="both"/>
      </w:pPr>
      <w:r>
        <w:rPr>
          <w:rFonts w:ascii="Times New Roman" w:hAnsi="Times New Roman" w:eastAsia="Times New Roman"/>
          <w:b w:val="0"/>
          <w:i w:val="0"/>
          <w:sz w:val="24"/>
        </w:rPr>
        <w:t>Our paper examines whether the press can predict economic shifts. Manually reading a century’s worth of newspapers is impractical, and the standard method of keyword regex is extremely inaccurate. Against a meticulously tested gold standard, phrase matching can only achieve a recall of about 27% per page. Our method of using full-page analysis with a large language model (LLM) recovers 46%.</w:t>
      </w:r>
    </w:p>
    <w:p>
      <w:pPr>
        <w:spacing w:line="240" w:lineRule="auto" w:before="0" w:after="0"/>
        <w:jc w:val="left"/>
      </w:pPr>
    </w:p>
    <w:p>
      <w:pPr>
        <w:spacing w:line="240" w:lineRule="auto" w:before="0" w:after="0"/>
        <w:jc w:val="both"/>
      </w:pPr>
      <w:r>
        <w:rPr>
          <w:rFonts w:ascii="Times New Roman" w:hAnsi="Times New Roman" w:eastAsia="Times New Roman"/>
          <w:b w:val="0"/>
          <w:i w:val="0"/>
          <w:sz w:val="24"/>
        </w:rPr>
        <w:t>Our paper uses a direction-neutral query set held constant across all 768 months from 1900 to 1963 to read over 15,721 Library of Congress newspaper pages. From those, we extracted 30,765 structured forecasts and scored 14,251 U.S. national claims. The claims were scored against the National Bureau of Economic Research (NBER) chronology and Federal Reserve Educational Data (FRED) series using a deterministic scorer</w:t>
      </w:r>
    </w:p>
    <w:p>
      <w:pPr>
        <w:spacing w:line="240" w:lineRule="auto" w:before="0" w:after="0"/>
        <w:jc w:val="left"/>
      </w:pPr>
    </w:p>
    <w:p>
      <w:pPr>
        <w:spacing w:line="240" w:lineRule="auto" w:before="0" w:after="0"/>
        <w:jc w:val="both"/>
      </w:pPr>
      <w:r>
        <w:rPr>
          <w:rFonts w:ascii="Times New Roman" w:hAnsi="Times New Roman" w:eastAsia="Times New Roman"/>
          <w:b w:val="0"/>
          <w:i w:val="0"/>
          <w:sz w:val="24"/>
        </w:rPr>
        <w:t>The conclusion we gathered is that forecasts never responded to the economy. Downturn forecasts consistently account for 24.1% during expansions and 24.3% during recessions, with roughly 72% of all forecasts being optimistic. Thus, there is a large drop in accuracy from 58.8% in expansions to 39.7% in recessions (gap 19.1 points, 95% CI [12.9, 24.4]).</w:t>
      </w:r>
    </w:p>
    <w:p>
      <w:pPr>
        <w:spacing w:line="240" w:lineRule="auto" w:before="0" w:after="0"/>
        <w:jc w:val="left"/>
      </w:pPr>
    </w:p>
    <w:p>
      <w:pPr>
        <w:spacing w:line="240" w:lineRule="auto" w:before="0" w:after="0"/>
        <w:jc w:val="both"/>
      </w:pPr>
      <w:r>
        <w:rPr>
          <w:rFonts w:ascii="Times New Roman" w:hAnsi="Times New Roman" w:eastAsia="Times New Roman"/>
          <w:b w:val="0"/>
          <w:i w:val="0"/>
          <w:sz w:val="24"/>
        </w:rPr>
        <w:t>We asked what predicts whether a forecast came true. Pooled macroeconomic conditions appear uninformative, but optimistic and pessimistic forecasts respond to identical conditions with opposite sign. Letting forecast direction interact with the economy raises out-of-fold AUC from 0.581 to 0.647 (block-permutation p = 0.005).</w:t>
      </w:r>
    </w:p>
    <w:p>
      <w:pPr>
        <w:spacing w:line="240" w:lineRule="auto" w:before="0" w:after="0"/>
        <w:jc w:val="left"/>
      </w:pPr>
    </w:p>
    <w:p>
      <w:pPr>
        <w:spacing w:line="240" w:lineRule="auto" w:before="0" w:after="0"/>
        <w:jc w:val="both"/>
      </w:pPr>
      <w:r>
        <w:rPr>
          <w:rFonts w:ascii="Times New Roman" w:hAnsi="Times New Roman" w:eastAsia="Times New Roman"/>
          <w:b w:val="0"/>
          <w:i w:val="0"/>
          <w:sz w:val="24"/>
        </w:rPr>
        <w:t>This is not an issue reflective of the newspaper’s staff’s abilities. When scored on with the same gold standard, the Survey of Professional Forecasters (54.1%), the Livingston economists (54.4%), and the Federal Reserve Board’s own Greenbook staff forecasts (54.0%) can only predict slightly better than a coin flip. One of the major reasons for this is when we go beyond 6 quarters, the Fed’s forecast is effectively always upturn, so it is unable to predict turning points.</w:t>
      </w:r>
    </w:p>
    <w:p>
      <w:pPr>
        <w:spacing w:line="240" w:lineRule="auto" w:before="0" w:after="0"/>
        <w:jc w:val="left"/>
      </w:pPr>
    </w:p>
    <w:p>
      <w:pPr>
        <w:spacing w:line="240" w:lineRule="auto" w:before="0" w:after="0"/>
        <w:jc w:val="left"/>
      </w:pPr>
      <w:r>
        <w:rPr>
          <w:rFonts w:ascii="Times New Roman" w:hAnsi="Times New Roman" w:eastAsia="Times New Roman"/>
          <w:b/>
          <w:i w:val="0"/>
          <w:sz w:val="24"/>
        </w:rPr>
        <w:t>References</w:t>
      </w:r>
    </w:p>
    <w:p>
      <w:pPr>
        <w:spacing w:line="240" w:lineRule="auto" w:before="0" w:after="0"/>
        <w:ind w:left="360" w:hanging="360"/>
        <w:jc w:val="left"/>
      </w:pPr>
      <w:r>
        <w:rPr>
          <w:rFonts w:ascii="Times New Roman" w:hAnsi="Times New Roman" w:eastAsia="Times New Roman"/>
          <w:b w:val="0"/>
          <w:i w:val="0"/>
          <w:sz w:val="24"/>
        </w:rPr>
        <w:t>Loungani, P. (2001). How accurate are private sector forecasts? Cross-country evidence from consensus forecasts of output growth. International Journal of Forecasting, 17(3), 419–432.</w:t>
      </w:r>
    </w:p>
    <w:p>
      <w:pPr>
        <w:spacing w:line="240" w:lineRule="auto" w:before="0" w:after="0"/>
        <w:ind w:left="360" w:hanging="360"/>
        <w:jc w:val="left"/>
      </w:pPr>
      <w:r>
        <w:rPr>
          <w:rFonts w:ascii="Times New Roman" w:hAnsi="Times New Roman" w:eastAsia="Times New Roman"/>
          <w:b w:val="0"/>
          <w:i w:val="0"/>
          <w:sz w:val="24"/>
        </w:rPr>
        <w:t>Romer, C. D., &amp; Romer, D. H. (2000). Federal Reserve information and the behavior of interest rates. American Economic Review, 90(3), 429–457.</w:t>
      </w:r>
    </w:p>
    <w:p>
      <w:pPr>
        <w:spacing w:line="240" w:lineRule="auto" w:before="0" w:after="0"/>
        <w:ind w:left="360" w:hanging="360"/>
        <w:jc w:val="left"/>
      </w:pPr>
      <w:r>
        <w:rPr>
          <w:rFonts w:ascii="Times New Roman" w:hAnsi="Times New Roman" w:eastAsia="Times New Roman"/>
          <w:b w:val="0"/>
          <w:i w:val="0"/>
          <w:sz w:val="24"/>
        </w:rPr>
        <w:t>Federal Reserve Bank of Philadelphia. Greenbook Data Sets; Survey of Professional Forecasters; Livingston Survey.</w:t>
      </w:r>
    </w:p>
    <w:p>
      <w:pPr>
        <w:spacing w:line="240" w:lineRule="auto" w:before="0" w:after="0"/>
        <w:ind w:left="360" w:hanging="360"/>
        <w:jc w:val="left"/>
      </w:pPr>
      <w:r>
        <w:rPr>
          <w:rFonts w:ascii="Times New Roman" w:hAnsi="Times New Roman" w:eastAsia="Times New Roman"/>
          <w:b w:val="0"/>
          <w:i w:val="0"/>
          <w:sz w:val="24"/>
        </w:rPr>
        <w:t>Library of Congress. Chronicling America: Historic American Newspapers.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