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DC53" w14:textId="77777777" w:rsidR="00446563" w:rsidRPr="00E21E55" w:rsidRDefault="00446563" w:rsidP="00446563">
      <w:pPr>
        <w:spacing w:beforeLines="400" w:before="960"/>
        <w:jc w:val="center"/>
        <w:rPr>
          <w:rFonts w:ascii="黑体" w:eastAsia="黑体" w:hAnsi="黑体" w:hint="eastAsia"/>
          <w:b/>
          <w:sz w:val="48"/>
        </w:rPr>
      </w:pPr>
      <w:r w:rsidRPr="00E21E55">
        <w:rPr>
          <w:rFonts w:ascii="黑体" w:eastAsia="黑体" w:hAnsi="黑体" w:hint="eastAsia"/>
          <w:sz w:val="56"/>
        </w:rPr>
        <w:t>电</w:t>
      </w:r>
      <w:r w:rsidRPr="00E21E55">
        <w:rPr>
          <w:rFonts w:ascii="黑体" w:eastAsia="黑体" w:hAnsi="黑体"/>
          <w:sz w:val="56"/>
        </w:rPr>
        <w:t xml:space="preserve"> </w:t>
      </w:r>
      <w:r w:rsidRPr="00E21E55">
        <w:rPr>
          <w:rFonts w:ascii="黑体" w:eastAsia="黑体" w:hAnsi="黑体" w:hint="eastAsia"/>
          <w:sz w:val="56"/>
        </w:rPr>
        <w:t>子</w:t>
      </w:r>
      <w:r w:rsidRPr="00E21E55">
        <w:rPr>
          <w:rFonts w:ascii="黑体" w:eastAsia="黑体" w:hAnsi="黑体"/>
          <w:sz w:val="56"/>
        </w:rPr>
        <w:t xml:space="preserve"> </w:t>
      </w:r>
      <w:r w:rsidRPr="00E21E55">
        <w:rPr>
          <w:rFonts w:ascii="黑体" w:eastAsia="黑体" w:hAnsi="黑体" w:hint="eastAsia"/>
          <w:sz w:val="56"/>
        </w:rPr>
        <w:t>科</w:t>
      </w:r>
      <w:r w:rsidRPr="00E21E55">
        <w:rPr>
          <w:rFonts w:ascii="黑体" w:eastAsia="黑体" w:hAnsi="黑体"/>
          <w:sz w:val="56"/>
        </w:rPr>
        <w:t xml:space="preserve"> </w:t>
      </w:r>
      <w:r w:rsidRPr="00E21E55">
        <w:rPr>
          <w:rFonts w:ascii="黑体" w:eastAsia="黑体" w:hAnsi="黑体" w:hint="eastAsia"/>
          <w:sz w:val="56"/>
        </w:rPr>
        <w:t>技</w:t>
      </w:r>
      <w:r w:rsidRPr="00E21E55">
        <w:rPr>
          <w:rFonts w:ascii="黑体" w:eastAsia="黑体" w:hAnsi="黑体"/>
          <w:sz w:val="56"/>
        </w:rPr>
        <w:t xml:space="preserve"> </w:t>
      </w:r>
      <w:r w:rsidRPr="00E21E55">
        <w:rPr>
          <w:rFonts w:ascii="黑体" w:eastAsia="黑体" w:hAnsi="黑体" w:hint="eastAsia"/>
          <w:sz w:val="56"/>
        </w:rPr>
        <w:t>大</w:t>
      </w:r>
      <w:r w:rsidRPr="00E21E55">
        <w:rPr>
          <w:rFonts w:ascii="黑体" w:eastAsia="黑体" w:hAnsi="黑体"/>
          <w:sz w:val="56"/>
        </w:rPr>
        <w:t xml:space="preserve"> </w:t>
      </w:r>
      <w:r w:rsidRPr="00E21E55">
        <w:rPr>
          <w:rFonts w:ascii="黑体" w:eastAsia="黑体" w:hAnsi="黑体" w:hint="eastAsia"/>
          <w:sz w:val="56"/>
        </w:rPr>
        <w:t>学</w:t>
      </w:r>
    </w:p>
    <w:p w14:paraId="176D35B2" w14:textId="77777777" w:rsidR="00446563" w:rsidRPr="00E21E55" w:rsidRDefault="00446563" w:rsidP="00446563">
      <w:pPr>
        <w:spacing w:beforeLines="100" w:before="240" w:afterLines="700" w:after="1680"/>
        <w:jc w:val="center"/>
        <w:rPr>
          <w:rFonts w:ascii="黑体" w:eastAsia="黑体" w:hAnsi="黑体" w:hint="eastAsia"/>
          <w:spacing w:val="50"/>
          <w:sz w:val="46"/>
          <w:szCs w:val="46"/>
        </w:rPr>
      </w:pPr>
      <w:r w:rsidRPr="00E21E55">
        <w:rPr>
          <w:rFonts w:ascii="黑体" w:eastAsia="黑体" w:hAnsi="黑体" w:hint="eastAsia"/>
          <w:spacing w:val="50"/>
          <w:sz w:val="46"/>
          <w:szCs w:val="46"/>
        </w:rPr>
        <w:t>专业学位研究生学位论文</w:t>
      </w:r>
      <w:r>
        <w:rPr>
          <w:rFonts w:ascii="黑体" w:eastAsia="黑体" w:hAnsi="黑体" w:hint="eastAsia"/>
          <w:spacing w:val="50"/>
          <w:sz w:val="46"/>
          <w:szCs w:val="46"/>
        </w:rPr>
        <w:t>中期考评</w:t>
      </w:r>
      <w:r w:rsidRPr="00E21E55">
        <w:rPr>
          <w:rFonts w:ascii="黑体" w:eastAsia="黑体" w:hAnsi="黑体" w:hint="eastAsia"/>
          <w:spacing w:val="50"/>
          <w:sz w:val="46"/>
          <w:szCs w:val="46"/>
        </w:rPr>
        <w:t>表</w:t>
      </w:r>
    </w:p>
    <w:p w14:paraId="53B1A376" w14:textId="1CF42FEA"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00A710B1">
        <w:rPr>
          <w:rFonts w:ascii="黑体" w:eastAsia="黑体" w:hint="eastAsia"/>
          <w:sz w:val="30"/>
        </w:rPr>
        <w:t>攻读学位</w:t>
      </w:r>
      <w:r w:rsidR="0058045F">
        <w:rPr>
          <w:rFonts w:ascii="黑体" w:eastAsia="黑体" w:hint="eastAsia"/>
          <w:sz w:val="30"/>
        </w:rPr>
        <w:t>级别</w:t>
      </w:r>
      <w:r>
        <w:rPr>
          <w:rFonts w:ascii="黑体" w:eastAsia="黑体" w:hint="eastAsia"/>
          <w:sz w:val="30"/>
        </w:rPr>
        <w:t xml:space="preserve">： </w:t>
      </w:r>
      <w:r w:rsidRPr="00F75082">
        <w:rPr>
          <w:rFonts w:ascii="黑体" w:eastAsia="黑体" w:hAnsi="黑体" w:hint="eastAsia"/>
          <w:sz w:val="30"/>
          <w:szCs w:val="30"/>
        </w:rPr>
        <w:t>□</w:t>
      </w:r>
      <w:r>
        <w:rPr>
          <w:rFonts w:ascii="黑体" w:eastAsia="黑体" w:hAnsi="黑体" w:hint="eastAsia"/>
          <w:sz w:val="30"/>
          <w:szCs w:val="30"/>
        </w:rPr>
        <w:t>博士</w:t>
      </w:r>
      <w:r w:rsidRPr="00F75082">
        <w:rPr>
          <w:rFonts w:ascii="黑体" w:eastAsia="黑体" w:hAnsi="黑体" w:hint="eastAsia"/>
          <w:sz w:val="30"/>
          <w:szCs w:val="30"/>
        </w:rPr>
        <w:t xml:space="preserve">   </w:t>
      </w:r>
      <w:r>
        <w:rPr>
          <w:rFonts w:ascii="黑体" w:eastAsia="黑体" w:hAnsi="黑体"/>
          <w:sz w:val="30"/>
          <w:szCs w:val="30"/>
        </w:rPr>
        <w:t xml:space="preserve">     </w:t>
      </w:r>
      <w:r w:rsidR="00415368" w:rsidRPr="00415368">
        <w:rPr>
          <w:rFonts w:ascii="黑体" w:eastAsia="黑体" w:hAnsi="黑体"/>
          <w:sz w:val="30"/>
          <w:szCs w:val="30"/>
        </w:rPr>
        <w:sym w:font="Wingdings 2" w:char="F052"/>
      </w:r>
      <w:r>
        <w:rPr>
          <w:rFonts w:ascii="黑体" w:eastAsia="黑体" w:hAnsi="黑体" w:hint="eastAsia"/>
          <w:sz w:val="30"/>
          <w:szCs w:val="30"/>
        </w:rPr>
        <w:t>☑硕士</w:t>
      </w:r>
    </w:p>
    <w:p w14:paraId="60D8CFBD" w14:textId="1A9E6153" w:rsidR="00446563" w:rsidRDefault="00446563" w:rsidP="00446563">
      <w:pPr>
        <w:tabs>
          <w:tab w:val="left" w:pos="1276"/>
        </w:tabs>
        <w:spacing w:afterLines="150" w:after="360"/>
        <w:rPr>
          <w:rFonts w:ascii="楷体" w:eastAsia="楷体"/>
          <w:sz w:val="30"/>
          <w:u w:val="single"/>
        </w:rPr>
      </w:pPr>
      <w:r>
        <w:rPr>
          <w:rFonts w:ascii="黑体" w:eastAsia="黑体"/>
          <w:sz w:val="30"/>
        </w:rPr>
        <w:tab/>
      </w:r>
      <w:r w:rsidRPr="009C38F0">
        <w:rPr>
          <w:rFonts w:ascii="黑体" w:eastAsia="黑体" w:hint="eastAsia"/>
          <w:spacing w:val="100"/>
          <w:kern w:val="0"/>
          <w:sz w:val="30"/>
          <w:fitText w:val="1800" w:id="1786950153"/>
        </w:rPr>
        <w:t>培养方</w:t>
      </w:r>
      <w:r w:rsidRPr="009C38F0">
        <w:rPr>
          <w:rFonts w:ascii="黑体" w:eastAsia="黑体" w:hint="eastAsia"/>
          <w:kern w:val="0"/>
          <w:sz w:val="30"/>
          <w:fitText w:val="1800" w:id="1786950153"/>
        </w:rPr>
        <w:t>式</w:t>
      </w:r>
      <w:r>
        <w:rPr>
          <w:rFonts w:ascii="黑体" w:eastAsia="黑体" w:hint="eastAsia"/>
          <w:sz w:val="30"/>
        </w:rPr>
        <w:t xml:space="preserve">： </w:t>
      </w:r>
      <w:r w:rsidR="00415368" w:rsidRPr="00415368">
        <w:rPr>
          <w:rFonts w:ascii="黑体" w:eastAsia="黑体"/>
          <w:sz w:val="30"/>
        </w:rPr>
        <w:sym w:font="Wingdings 2" w:char="F052"/>
      </w:r>
      <w:r w:rsidRPr="00F75082">
        <w:rPr>
          <w:rFonts w:ascii="黑体" w:eastAsia="黑体" w:hAnsi="黑体" w:hint="eastAsia"/>
          <w:sz w:val="30"/>
          <w:szCs w:val="30"/>
        </w:rPr>
        <w:t xml:space="preserve">全日制  </w:t>
      </w:r>
      <w:r>
        <w:rPr>
          <w:rFonts w:ascii="黑体" w:eastAsia="黑体" w:hAnsi="黑体"/>
          <w:sz w:val="30"/>
          <w:szCs w:val="30"/>
        </w:rPr>
        <w:t xml:space="preserve">   </w:t>
      </w:r>
      <w:r w:rsidRPr="00F75082">
        <w:rPr>
          <w:rFonts w:ascii="黑体" w:eastAsia="黑体" w:hAnsi="黑体" w:hint="eastAsia"/>
          <w:sz w:val="30"/>
          <w:szCs w:val="30"/>
        </w:rPr>
        <w:t xml:space="preserve"> □非全日制</w:t>
      </w:r>
    </w:p>
    <w:p w14:paraId="78A678BF" w14:textId="2F65EBD6" w:rsidR="002752D7" w:rsidRDefault="00446563" w:rsidP="002752D7">
      <w:pPr>
        <w:tabs>
          <w:tab w:val="left" w:pos="1276"/>
        </w:tabs>
        <w:spacing w:afterLines="150" w:after="360"/>
        <w:rPr>
          <w:rFonts w:ascii="黑体" w:eastAsia="黑体"/>
          <w:sz w:val="30"/>
        </w:rPr>
      </w:pPr>
      <w:r>
        <w:rPr>
          <w:rFonts w:ascii="黑体" w:eastAsia="黑体"/>
          <w:sz w:val="30"/>
        </w:rPr>
        <w:tab/>
      </w:r>
      <w:r w:rsidR="002752D7">
        <w:rPr>
          <w:rFonts w:ascii="黑体" w:eastAsia="黑体" w:hint="eastAsia"/>
          <w:sz w:val="30"/>
        </w:rPr>
        <w:t>专业学位类别</w:t>
      </w:r>
      <w:r w:rsidR="00DA2789">
        <w:rPr>
          <w:rFonts w:ascii="黑体" w:eastAsia="黑体" w:hint="eastAsia"/>
          <w:sz w:val="30"/>
        </w:rPr>
        <w:t>或</w:t>
      </w:r>
      <w:r w:rsidR="00856929">
        <w:rPr>
          <w:rFonts w:ascii="黑体" w:eastAsia="黑体" w:hint="eastAsia"/>
          <w:sz w:val="30"/>
        </w:rPr>
        <w:t>领域</w:t>
      </w:r>
      <w:r w:rsidR="002752D7">
        <w:rPr>
          <w:rFonts w:ascii="黑体" w:eastAsia="黑体" w:hint="eastAsia"/>
          <w:sz w:val="30"/>
        </w:rPr>
        <w:t>：</w:t>
      </w:r>
      <w:r w:rsidR="00781799">
        <w:rPr>
          <w:rFonts w:ascii="黑体" w:eastAsia="黑体"/>
          <w:sz w:val="30"/>
          <w:u w:val="single"/>
        </w:rPr>
        <w:t xml:space="preserve">    </w:t>
      </w:r>
      <w:r w:rsidR="00781799">
        <w:rPr>
          <w:rFonts w:ascii="黑体" w:eastAsia="黑体" w:hint="eastAsia"/>
          <w:sz w:val="30"/>
          <w:u w:val="single"/>
        </w:rPr>
        <w:t>计</w:t>
      </w:r>
      <w:r w:rsidR="00415368">
        <w:rPr>
          <w:rFonts w:ascii="黑体" w:eastAsia="黑体" w:hint="eastAsia"/>
          <w:sz w:val="30"/>
          <w:u w:val="single"/>
        </w:rPr>
        <w:t>算机技术</w:t>
      </w:r>
      <w:r w:rsidR="002752D7">
        <w:rPr>
          <w:rFonts w:ascii="黑体" w:eastAsia="黑体" w:hint="eastAsia"/>
          <w:sz w:val="30"/>
          <w:u w:val="single"/>
        </w:rPr>
        <w:t xml:space="preserve">    </w:t>
      </w:r>
      <w:r w:rsidR="00415368">
        <w:rPr>
          <w:rFonts w:ascii="黑体" w:eastAsia="黑体"/>
          <w:sz w:val="30"/>
          <w:u w:val="single"/>
        </w:rPr>
        <w:t xml:space="preserve"> </w:t>
      </w:r>
      <w:r w:rsidR="002752D7">
        <w:rPr>
          <w:rFonts w:ascii="黑体" w:eastAsia="黑体" w:hint="eastAsia"/>
          <w:sz w:val="30"/>
          <w:u w:val="single"/>
        </w:rPr>
        <w:t xml:space="preserve">    </w:t>
      </w:r>
      <w:r w:rsidR="002752D7">
        <w:rPr>
          <w:rFonts w:ascii="黑体" w:eastAsia="黑体"/>
          <w:sz w:val="30"/>
          <w:u w:val="single"/>
        </w:rPr>
        <w:t xml:space="preserve"> </w:t>
      </w:r>
    </w:p>
    <w:p w14:paraId="3A7163E4" w14:textId="242C6972" w:rsidR="00415368" w:rsidRDefault="002752D7" w:rsidP="00446563">
      <w:pPr>
        <w:tabs>
          <w:tab w:val="left" w:pos="1276"/>
        </w:tabs>
        <w:spacing w:afterLines="150" w:after="360"/>
        <w:rPr>
          <w:rFonts w:ascii="黑体" w:eastAsia="黑体"/>
          <w:sz w:val="30"/>
          <w:u w:val="single"/>
        </w:rPr>
      </w:pPr>
      <w:r>
        <w:rPr>
          <w:rFonts w:ascii="黑体" w:eastAsia="黑体"/>
          <w:sz w:val="30"/>
        </w:rPr>
        <w:tab/>
      </w:r>
      <w:r w:rsidR="00446563">
        <w:rPr>
          <w:rFonts w:ascii="黑体" w:eastAsia="黑体" w:hint="eastAsia"/>
          <w:sz w:val="30"/>
        </w:rPr>
        <w:t xml:space="preserve">学 </w:t>
      </w:r>
      <w:r w:rsidR="00446563">
        <w:rPr>
          <w:rFonts w:ascii="黑体" w:eastAsia="黑体"/>
          <w:sz w:val="30"/>
        </w:rPr>
        <w:t xml:space="preserve">       </w:t>
      </w:r>
      <w:r w:rsidR="00446563">
        <w:rPr>
          <w:rFonts w:ascii="黑体" w:eastAsia="黑体" w:hint="eastAsia"/>
          <w:sz w:val="30"/>
        </w:rPr>
        <w:t>院：</w:t>
      </w:r>
      <w:r w:rsidR="00446563">
        <w:rPr>
          <w:rFonts w:ascii="黑体" w:eastAsia="黑体" w:hint="eastAsia"/>
          <w:sz w:val="30"/>
          <w:u w:val="single"/>
        </w:rPr>
        <w:t xml:space="preserve"> </w:t>
      </w:r>
      <w:r w:rsidR="00781799">
        <w:rPr>
          <w:rFonts w:ascii="黑体" w:eastAsia="黑体"/>
          <w:sz w:val="30"/>
          <w:u w:val="single"/>
        </w:rPr>
        <w:t xml:space="preserve">    </w:t>
      </w:r>
      <w:r w:rsidR="00415368" w:rsidRPr="00415368">
        <w:rPr>
          <w:rFonts w:ascii="黑体" w:eastAsia="黑体" w:hint="eastAsia"/>
          <w:sz w:val="30"/>
          <w:u w:val="single"/>
        </w:rPr>
        <w:t>计算机科学与工程学院</w:t>
      </w:r>
      <w:r w:rsidR="00415368">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sz w:val="30"/>
          <w:u w:val="single"/>
        </w:rPr>
        <w:t xml:space="preserve">  </w:t>
      </w:r>
    </w:p>
    <w:p w14:paraId="50286D9A" w14:textId="71C1D2A7"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sidR="00781799">
        <w:rPr>
          <w:rFonts w:ascii="黑体" w:eastAsia="黑体"/>
          <w:sz w:val="30"/>
          <w:u w:val="single"/>
        </w:rPr>
        <w:t xml:space="preserve">         2</w:t>
      </w:r>
      <w:r w:rsidR="00415368">
        <w:rPr>
          <w:rFonts w:ascii="黑体" w:eastAsia="黑体"/>
          <w:sz w:val="30"/>
          <w:u w:val="single"/>
        </w:rPr>
        <w:t>0242208111</w:t>
      </w:r>
      <w:r w:rsidR="00015691">
        <w:rPr>
          <w:rFonts w:ascii="黑体" w:eastAsia="黑体" w:hint="eastAsia"/>
          <w:sz w:val="30"/>
          <w:u w:val="single"/>
        </w:rPr>
        <w:t>3</w:t>
      </w:r>
      <w:r w:rsidR="00415368">
        <w:rPr>
          <w:rFonts w:ascii="黑体" w:eastAsia="黑体"/>
          <w:sz w:val="30"/>
          <w:u w:val="single"/>
        </w:rPr>
        <w:t xml:space="preserve"> </w:t>
      </w:r>
      <w:r>
        <w:rPr>
          <w:rFonts w:ascii="黑体" w:eastAsia="黑体" w:hint="eastAsia"/>
          <w:sz w:val="30"/>
          <w:u w:val="single"/>
        </w:rPr>
        <w:t xml:space="preserve">        </w:t>
      </w:r>
    </w:p>
    <w:p w14:paraId="3A018D4E" w14:textId="2996BA74" w:rsidR="00446563" w:rsidRDefault="00446563" w:rsidP="00446563">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sidR="00781799">
        <w:rPr>
          <w:rFonts w:ascii="黑体" w:eastAsia="黑体" w:hint="eastAsia"/>
          <w:sz w:val="30"/>
          <w:u w:val="single"/>
        </w:rPr>
        <w:t xml:space="preserve"> </w:t>
      </w:r>
      <w:r w:rsidR="00781799">
        <w:rPr>
          <w:rFonts w:ascii="黑体" w:eastAsia="黑体"/>
          <w:sz w:val="30"/>
          <w:u w:val="single"/>
        </w:rPr>
        <w:t xml:space="preserve">           </w:t>
      </w:r>
      <w:r w:rsidR="00015691">
        <w:rPr>
          <w:rFonts w:ascii="黑体" w:eastAsia="黑体" w:hint="eastAsia"/>
          <w:sz w:val="30"/>
          <w:u w:val="single"/>
        </w:rPr>
        <w:t>王   威</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6896B370" w14:textId="0F3549DF" w:rsidR="00446563" w:rsidRDefault="00446563" w:rsidP="00446563">
      <w:pPr>
        <w:tabs>
          <w:tab w:val="left" w:pos="1276"/>
        </w:tabs>
        <w:spacing w:afterLines="150" w:after="360"/>
        <w:rPr>
          <w:rFonts w:ascii="黑体" w:eastAsia="黑体" w:hint="eastAsia"/>
          <w:sz w:val="30"/>
          <w:u w:val="single"/>
        </w:rPr>
      </w:pPr>
      <w:r>
        <w:rPr>
          <w:rFonts w:ascii="黑体" w:eastAsia="黑体"/>
          <w:sz w:val="30"/>
        </w:rPr>
        <w:tab/>
      </w:r>
      <w:r w:rsidRPr="009C38F0">
        <w:rPr>
          <w:rFonts w:ascii="黑体" w:eastAsia="黑体" w:hint="eastAsia"/>
          <w:spacing w:val="100"/>
          <w:kern w:val="0"/>
          <w:sz w:val="30"/>
          <w:fitText w:val="1800" w:id="1786950154"/>
        </w:rPr>
        <w:t>论文题</w:t>
      </w:r>
      <w:r w:rsidRPr="009C38F0">
        <w:rPr>
          <w:rFonts w:ascii="黑体" w:eastAsia="黑体" w:hint="eastAsia"/>
          <w:kern w:val="0"/>
          <w:sz w:val="30"/>
          <w:fitText w:val="1800" w:id="1786950154"/>
        </w:rPr>
        <w:t>目</w:t>
      </w:r>
      <w:r>
        <w:rPr>
          <w:rFonts w:ascii="黑体" w:eastAsia="黑体" w:hint="eastAsia"/>
          <w:sz w:val="30"/>
        </w:rPr>
        <w:t>：</w:t>
      </w:r>
      <w:r w:rsidR="00015691">
        <w:rPr>
          <w:rFonts w:ascii="黑体" w:eastAsia="黑体" w:hint="eastAsia"/>
          <w:sz w:val="30"/>
          <w:u w:val="single"/>
        </w:rPr>
        <w:t xml:space="preserve">   面向非连续时间约束的区块链 </w:t>
      </w:r>
    </w:p>
    <w:p w14:paraId="21EC6EBB" w14:textId="105E5D7D" w:rsidR="00015691" w:rsidRDefault="00015691" w:rsidP="00446563">
      <w:pPr>
        <w:tabs>
          <w:tab w:val="left" w:pos="1276"/>
        </w:tabs>
        <w:spacing w:afterLines="150" w:after="360"/>
        <w:rPr>
          <w:rFonts w:ascii="黑体" w:eastAsia="黑体" w:hint="eastAsia"/>
          <w:sz w:val="30"/>
        </w:rPr>
      </w:pPr>
      <w:r w:rsidRPr="00015691">
        <w:rPr>
          <w:rFonts w:ascii="黑体" w:eastAsia="黑体" w:hint="eastAsia"/>
          <w:b/>
          <w:bCs/>
          <w:sz w:val="30"/>
        </w:rPr>
        <w:t xml:space="preserve">                      </w:t>
      </w:r>
      <w:r>
        <w:rPr>
          <w:rFonts w:ascii="黑体" w:eastAsia="黑体" w:hint="eastAsia"/>
          <w:sz w:val="30"/>
          <w:u w:val="single"/>
        </w:rPr>
        <w:t xml:space="preserve">   数据共享关键技术研究及实现  </w:t>
      </w:r>
    </w:p>
    <w:p w14:paraId="4C1C272B" w14:textId="0CF1F985"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校内指导教师：</w:t>
      </w:r>
      <w:r w:rsidR="00781799">
        <w:rPr>
          <w:rFonts w:ascii="黑体" w:eastAsia="黑体" w:hint="eastAsia"/>
          <w:sz w:val="30"/>
          <w:u w:val="single"/>
        </w:rPr>
        <w:t xml:space="preserve"> </w:t>
      </w:r>
      <w:r w:rsidR="00781799">
        <w:rPr>
          <w:rFonts w:ascii="黑体" w:eastAsia="黑体"/>
          <w:sz w:val="30"/>
          <w:u w:val="single"/>
        </w:rPr>
        <w:t xml:space="preserve">           </w:t>
      </w:r>
      <w:r w:rsidR="00415368">
        <w:rPr>
          <w:rFonts w:ascii="黑体" w:eastAsia="黑体" w:hint="eastAsia"/>
          <w:sz w:val="30"/>
          <w:u w:val="single"/>
        </w:rPr>
        <w:t>高建彬</w:t>
      </w:r>
      <w:r>
        <w:rPr>
          <w:rFonts w:ascii="黑体" w:eastAsia="黑体" w:hint="eastAsia"/>
          <w:sz w:val="30"/>
          <w:u w:val="single"/>
        </w:rPr>
        <w:t xml:space="preserve">           </w:t>
      </w:r>
    </w:p>
    <w:p w14:paraId="6F1768F8" w14:textId="511DD191" w:rsidR="00446563" w:rsidRDefault="00446563" w:rsidP="00446563">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校外指导教师：</w:t>
      </w:r>
      <w:r w:rsidR="00781799">
        <w:rPr>
          <w:rFonts w:ascii="黑体" w:eastAsia="黑体" w:hint="eastAsia"/>
          <w:sz w:val="30"/>
          <w:u w:val="single"/>
        </w:rPr>
        <w:t xml:space="preserve"> </w:t>
      </w:r>
      <w:r w:rsidR="00781799">
        <w:rPr>
          <w:rFonts w:ascii="黑体" w:eastAsia="黑体"/>
          <w:sz w:val="30"/>
          <w:u w:val="single"/>
        </w:rPr>
        <w:t xml:space="preserve">            </w:t>
      </w:r>
      <w:r w:rsidR="002D6089">
        <w:rPr>
          <w:rFonts w:ascii="黑体" w:eastAsia="黑体" w:hint="eastAsia"/>
          <w:sz w:val="30"/>
          <w:u w:val="single"/>
        </w:rPr>
        <w:t>王鹏</w:t>
      </w:r>
      <w:r>
        <w:rPr>
          <w:rFonts w:ascii="黑体" w:eastAsia="黑体" w:hint="eastAsia"/>
          <w:sz w:val="30"/>
          <w:u w:val="single"/>
        </w:rPr>
        <w:t xml:space="preserve">         </w:t>
      </w:r>
      <w:r w:rsidR="00781799">
        <w:rPr>
          <w:rFonts w:ascii="黑体" w:eastAsia="黑体"/>
          <w:sz w:val="30"/>
          <w:u w:val="single"/>
        </w:rPr>
        <w:t xml:space="preserve"> </w:t>
      </w:r>
      <w:r>
        <w:rPr>
          <w:rFonts w:ascii="黑体" w:eastAsia="黑体" w:hint="eastAsia"/>
          <w:sz w:val="30"/>
          <w:u w:val="single"/>
        </w:rPr>
        <w:t xml:space="preserve">   </w:t>
      </w:r>
    </w:p>
    <w:p w14:paraId="7022F5D1" w14:textId="2DCCB805" w:rsidR="00446563" w:rsidRDefault="00446563" w:rsidP="00446563">
      <w:pPr>
        <w:tabs>
          <w:tab w:val="left" w:pos="1276"/>
        </w:tabs>
        <w:spacing w:afterLines="150" w:after="360"/>
        <w:rPr>
          <w:rFonts w:ascii="黑体" w:eastAsia="黑体"/>
          <w:sz w:val="30"/>
          <w:u w:val="single"/>
        </w:rPr>
      </w:pPr>
      <w:r>
        <w:rPr>
          <w:rFonts w:ascii="黑体" w:eastAsia="黑体"/>
          <w:sz w:val="30"/>
        </w:rPr>
        <w:tab/>
      </w:r>
      <w:r w:rsidRPr="009C38F0">
        <w:rPr>
          <w:rFonts w:ascii="黑体" w:eastAsia="黑体" w:hint="eastAsia"/>
          <w:spacing w:val="100"/>
          <w:kern w:val="0"/>
          <w:sz w:val="30"/>
          <w:fitText w:val="1800" w:id="1786950155"/>
        </w:rPr>
        <w:t>填表日</w:t>
      </w:r>
      <w:r w:rsidRPr="009C38F0">
        <w:rPr>
          <w:rFonts w:ascii="黑体" w:eastAsia="黑体" w:hint="eastAsia"/>
          <w:kern w:val="0"/>
          <w:sz w:val="30"/>
          <w:fitText w:val="1800" w:id="1786950155"/>
        </w:rPr>
        <w:t>期</w:t>
      </w:r>
      <w:r>
        <w:rPr>
          <w:rFonts w:ascii="黑体" w:eastAsia="黑体" w:hint="eastAsia"/>
          <w:sz w:val="30"/>
        </w:rPr>
        <w:t>：</w:t>
      </w:r>
      <w:r>
        <w:rPr>
          <w:rFonts w:ascii="黑体" w:eastAsia="黑体" w:hint="eastAsia"/>
          <w:sz w:val="30"/>
          <w:u w:val="single"/>
        </w:rPr>
        <w:t xml:space="preserve">   </w:t>
      </w:r>
      <w:r w:rsidR="002D6089">
        <w:rPr>
          <w:rFonts w:ascii="黑体" w:eastAsia="黑体"/>
          <w:sz w:val="30"/>
          <w:u w:val="single"/>
        </w:rPr>
        <w:t>2026</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sidRPr="00061A60">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00015691">
        <w:rPr>
          <w:rFonts w:ascii="黑体" w:eastAsia="黑体" w:hint="eastAsia"/>
          <w:sz w:val="30"/>
          <w:u w:val="single"/>
        </w:rPr>
        <w:t>7</w:t>
      </w:r>
      <w:r>
        <w:rPr>
          <w:rFonts w:ascii="黑体" w:eastAsia="黑体"/>
          <w:sz w:val="30"/>
          <w:u w:val="single"/>
        </w:rPr>
        <w:t xml:space="preserve">  </w:t>
      </w:r>
      <w:r w:rsidRPr="00061A60">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002D6089">
        <w:rPr>
          <w:rFonts w:ascii="黑体" w:eastAsia="黑体"/>
          <w:sz w:val="30"/>
          <w:u w:val="single"/>
        </w:rPr>
        <w:t>27</w:t>
      </w:r>
      <w:r>
        <w:rPr>
          <w:rFonts w:ascii="黑体" w:eastAsia="黑体"/>
          <w:sz w:val="30"/>
          <w:u w:val="single"/>
        </w:rPr>
        <w:t xml:space="preserve">    </w:t>
      </w:r>
      <w:r w:rsidRPr="00061A60">
        <w:rPr>
          <w:rFonts w:ascii="黑体" w:eastAsia="黑体" w:hint="eastAsia"/>
          <w:sz w:val="30"/>
        </w:rPr>
        <w:t>日</w:t>
      </w:r>
    </w:p>
    <w:p w14:paraId="083D395B" w14:textId="5D4D9286" w:rsidR="009C1E96" w:rsidRDefault="00446563" w:rsidP="00446563">
      <w:pPr>
        <w:spacing w:beforeLines="500" w:before="1200"/>
        <w:jc w:val="center"/>
        <w:rPr>
          <w:rFonts w:ascii="楷体" w:eastAsia="楷体"/>
          <w:sz w:val="32"/>
        </w:rPr>
      </w:pPr>
      <w:r>
        <w:rPr>
          <w:rFonts w:ascii="楷体" w:eastAsia="楷体" w:hint="eastAsia"/>
          <w:sz w:val="32"/>
        </w:rPr>
        <w:t>电子科技大学研究生院</w:t>
      </w:r>
    </w:p>
    <w:p w14:paraId="7D23B116" w14:textId="51B4AE9A" w:rsidR="00446563" w:rsidRDefault="009C1E96" w:rsidP="009C1E96">
      <w:pPr>
        <w:widowControl/>
        <w:jc w:val="left"/>
        <w:rPr>
          <w:rFonts w:ascii="楷体" w:eastAsia="楷体" w:hint="eastAsia"/>
          <w:sz w:val="32"/>
        </w:rPr>
      </w:pPr>
      <w:r>
        <w:rPr>
          <w:rFonts w:ascii="楷体" w:eastAsia="楷体"/>
          <w:sz w:val="32"/>
        </w:rPr>
        <w:lastRenderedPageBreak/>
        <w:br w:type="page"/>
      </w:r>
    </w:p>
    <w:p w14:paraId="2FCE1739" w14:textId="77777777" w:rsidR="00446563" w:rsidRDefault="00446563" w:rsidP="00446563">
      <w:pPr>
        <w:spacing w:beforeLines="500" w:before="1200"/>
        <w:ind w:firstLine="3210"/>
        <w:jc w:val="left"/>
        <w:rPr>
          <w:rFonts w:ascii="楷体" w:eastAsia="楷体"/>
          <w:sz w:val="32"/>
        </w:rPr>
        <w:sectPr w:rsidR="00446563" w:rsidSect="001C09F5">
          <w:footerReference w:type="default" r:id="rId8"/>
          <w:pgSz w:w="11906" w:h="16838" w:code="9"/>
          <w:pgMar w:top="1418" w:right="1191" w:bottom="1418" w:left="1474" w:header="851" w:footer="992" w:gutter="0"/>
          <w:cols w:space="425"/>
          <w:docGrid w:linePitch="312"/>
        </w:sectPr>
      </w:pPr>
    </w:p>
    <w:p w14:paraId="105DC445" w14:textId="77777777" w:rsidR="00703787" w:rsidRPr="00631781" w:rsidRDefault="00481AAA" w:rsidP="00C4152A">
      <w:pPr>
        <w:numPr>
          <w:ilvl w:val="0"/>
          <w:numId w:val="5"/>
        </w:numPr>
        <w:rPr>
          <w:rFonts w:ascii="黑体" w:eastAsia="黑体" w:hAnsi="黑体" w:hint="eastAsia"/>
          <w:bCs/>
          <w:sz w:val="28"/>
        </w:rPr>
      </w:pPr>
      <w:r>
        <w:rPr>
          <w:rFonts w:ascii="黑体" w:eastAsia="黑体" w:hAnsi="黑体" w:hint="eastAsia"/>
          <w:bCs/>
          <w:sz w:val="28"/>
        </w:rPr>
        <w:lastRenderedPageBreak/>
        <w:t>已完成的主要工作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4451"/>
        <w:gridCol w:w="5177"/>
      </w:tblGrid>
      <w:tr w:rsidR="007200AB" w:rsidRPr="00631781" w14:paraId="2EA25CE9" w14:textId="77777777" w:rsidTr="009273EA">
        <w:trPr>
          <w:trHeight w:val="340"/>
          <w:jc w:val="center"/>
        </w:trPr>
        <w:tc>
          <w:tcPr>
            <w:tcW w:w="5000" w:type="pct"/>
            <w:gridSpan w:val="2"/>
            <w:vAlign w:val="center"/>
          </w:tcPr>
          <w:p w14:paraId="783F4761" w14:textId="38B8E3A4" w:rsidR="007200AB" w:rsidRPr="009273EA" w:rsidRDefault="008F51FC" w:rsidP="008F51FC">
            <w:pPr>
              <w:rPr>
                <w:rFonts w:ascii="宋体" w:hAnsi="宋体" w:hint="eastAsia"/>
                <w:b/>
                <w:sz w:val="24"/>
              </w:rPr>
            </w:pPr>
            <w:r>
              <w:rPr>
                <w:rFonts w:ascii="Times New Roman" w:hAnsi="Times New Roman" w:eastAsia="宋体"/>
                <w:b w:val="0"/>
                <w:i w:val="0"/>
                <w:sz w:val="24"/>
              </w:rPr>
              <w:t>1．开题报告通过时间：2025年12月24日（以开题记录为准）</w:t>
            </w:r>
          </w:p>
        </w:tc>
      </w:tr>
      <w:tr w:rsidR="008F51FC" w:rsidRPr="00631781" w14:paraId="2E04043E" w14:textId="77777777" w:rsidTr="009273EA">
        <w:trPr>
          <w:trHeight w:val="340"/>
          <w:jc w:val="center"/>
        </w:trPr>
        <w:tc>
          <w:tcPr>
            <w:tcW w:w="5000" w:type="pct"/>
            <w:gridSpan w:val="2"/>
            <w:vAlign w:val="center"/>
          </w:tcPr>
          <w:p w14:paraId="25D3161C" w14:textId="60D8D1DA" w:rsidR="008F51FC" w:rsidRDefault="008F51FC" w:rsidP="007419F7">
            <w:pPr>
              <w:rPr>
                <w:rFonts w:ascii="宋体" w:hAnsi="宋体" w:hint="eastAsia"/>
                <w:b/>
                <w:sz w:val="24"/>
              </w:rPr>
            </w:pPr>
            <w:r>
              <w:rPr>
                <w:rFonts w:ascii="宋体" w:hAnsi="宋体"/>
                <w:b/>
                <w:sz w:val="24"/>
              </w:rPr>
              <w:t>2</w:t>
            </w:r>
            <w:r w:rsidR="00F866B1">
              <w:rPr>
                <w:rFonts w:ascii="宋体" w:hAnsi="宋体" w:hint="eastAsia"/>
                <w:b/>
                <w:sz w:val="24"/>
              </w:rPr>
              <w:t>．</w:t>
            </w:r>
            <w:r>
              <w:rPr>
                <w:rFonts w:ascii="宋体" w:hAnsi="宋体"/>
                <w:b/>
                <w:sz w:val="24"/>
              </w:rPr>
              <w:t xml:space="preserve"> </w:t>
            </w:r>
            <w:r>
              <w:rPr>
                <w:rFonts w:ascii="宋体" w:hAnsi="宋体" w:hint="eastAsia"/>
                <w:b/>
                <w:sz w:val="24"/>
              </w:rPr>
              <w:t>课程学习情况</w:t>
            </w:r>
          </w:p>
        </w:tc>
      </w:tr>
      <w:tr w:rsidR="00DA0CAA" w:rsidRPr="00631781" w14:paraId="4A98A60C" w14:textId="77777777" w:rsidTr="00134BFD">
        <w:trPr>
          <w:trHeight w:val="340"/>
          <w:jc w:val="center"/>
        </w:trPr>
        <w:tc>
          <w:tcPr>
            <w:tcW w:w="2206" w:type="pct"/>
            <w:vAlign w:val="center"/>
          </w:tcPr>
          <w:p w14:paraId="6B2390B8" w14:textId="77777777" w:rsidR="00DA0CAA" w:rsidRPr="0091733A" w:rsidRDefault="00363A94" w:rsidP="007419F7">
            <w:pPr>
              <w:rPr>
                <w:rFonts w:ascii="宋体" w:hAnsi="宋体" w:hint="eastAsia"/>
                <w:sz w:val="24"/>
              </w:rPr>
            </w:pPr>
            <w:r>
              <w:rPr>
                <w:rFonts w:ascii="宋体" w:hAnsi="宋体" w:hint="eastAsia"/>
                <w:sz w:val="24"/>
              </w:rPr>
              <w:t>是否已达到</w:t>
            </w:r>
            <w:r w:rsidR="00DA0CAA" w:rsidRPr="0091733A">
              <w:rPr>
                <w:rFonts w:ascii="宋体" w:hAnsi="宋体" w:hint="eastAsia"/>
                <w:sz w:val="24"/>
              </w:rPr>
              <w:t>培养方案规定的</w:t>
            </w:r>
            <w:r>
              <w:rPr>
                <w:rFonts w:ascii="宋体" w:hAnsi="宋体" w:hint="eastAsia"/>
                <w:sz w:val="24"/>
              </w:rPr>
              <w:t>学分要求</w:t>
            </w:r>
          </w:p>
        </w:tc>
        <w:tc>
          <w:tcPr>
            <w:tcW w:w="2794" w:type="pct"/>
            <w:vAlign w:val="center"/>
          </w:tcPr>
          <w:p w14:paraId="4E73C6A6" w14:textId="79B4A35D" w:rsidR="00DA0CAA" w:rsidRPr="0091733A" w:rsidRDefault="006B7DCD" w:rsidP="0091733A">
            <w:pPr>
              <w:rPr>
                <w:rFonts w:ascii="宋体" w:hAnsi="宋体" w:hint="eastAsia"/>
                <w:sz w:val="24"/>
              </w:rPr>
            </w:pPr>
            <w:r>
              <w:rPr>
                <w:rFonts w:ascii="Segoe UI Emoji" w:eastAsia="黑体" w:hAnsi="Segoe UI Emoji" w:cs="Segoe UI Emoji"/>
                <w:sz w:val="30"/>
                <w:szCs w:val="30"/>
              </w:rPr>
              <w:sym w:font="Wingdings 2" w:char="F052"/>
            </w:r>
            <w:r w:rsidR="00DA0CAA">
              <w:rPr>
                <w:rFonts w:ascii="宋体" w:hAnsi="宋体" w:hint="eastAsia"/>
                <w:sz w:val="24"/>
              </w:rPr>
              <w:t xml:space="preserve">是 </w:t>
            </w:r>
            <w:r w:rsidR="00DA0CAA">
              <w:rPr>
                <w:rFonts w:ascii="宋体" w:hAnsi="宋体"/>
                <w:sz w:val="24"/>
              </w:rPr>
              <w:t xml:space="preserve">  </w:t>
            </w:r>
            <w:r w:rsidR="00DA0CAA">
              <w:rPr>
                <w:rFonts w:ascii="宋体" w:hAnsi="宋体" w:hint="eastAsia"/>
                <w:sz w:val="24"/>
              </w:rPr>
              <w:t>□否</w:t>
            </w:r>
          </w:p>
        </w:tc>
      </w:tr>
      <w:tr w:rsidR="00D00DC5" w:rsidRPr="00631781" w14:paraId="38BB4DFD" w14:textId="77777777" w:rsidTr="00845A13">
        <w:trPr>
          <w:trHeight w:val="340"/>
          <w:jc w:val="center"/>
        </w:trPr>
        <w:tc>
          <w:tcPr>
            <w:tcW w:w="5000" w:type="pct"/>
            <w:gridSpan w:val="2"/>
            <w:tcBorders>
              <w:bottom w:val="single" w:sz="4" w:space="0" w:color="auto"/>
            </w:tcBorders>
            <w:vAlign w:val="center"/>
          </w:tcPr>
          <w:p w14:paraId="5D26E8BC" w14:textId="17C45882" w:rsidR="00D00DC5" w:rsidRPr="00D00DC5" w:rsidRDefault="008F51FC" w:rsidP="0091733A">
            <w:pPr>
              <w:rPr>
                <w:rFonts w:ascii="宋体" w:hAnsi="宋体" w:hint="eastAsia"/>
                <w:b/>
                <w:sz w:val="24"/>
              </w:rPr>
            </w:pPr>
            <w:r>
              <w:rPr>
                <w:rFonts w:ascii="宋体" w:hAnsi="宋体"/>
                <w:b/>
                <w:sz w:val="24"/>
              </w:rPr>
              <w:t>3</w:t>
            </w:r>
            <w:r w:rsidR="00F866B1">
              <w:rPr>
                <w:rFonts w:ascii="宋体" w:hAnsi="宋体" w:hint="eastAsia"/>
                <w:b/>
                <w:sz w:val="24"/>
              </w:rPr>
              <w:t>．</w:t>
            </w:r>
            <w:r w:rsidR="00D00DC5" w:rsidRPr="00D00DC5">
              <w:rPr>
                <w:rFonts w:ascii="宋体" w:hAnsi="宋体"/>
                <w:b/>
                <w:sz w:val="24"/>
              </w:rPr>
              <w:t xml:space="preserve"> </w:t>
            </w:r>
            <w:r w:rsidR="00D00DC5" w:rsidRPr="00D00DC5">
              <w:rPr>
                <w:rFonts w:ascii="宋体" w:hAnsi="宋体" w:hint="eastAsia"/>
                <w:b/>
                <w:sz w:val="24"/>
              </w:rPr>
              <w:t>论文研究</w:t>
            </w:r>
            <w:r w:rsidR="00EC48EC">
              <w:rPr>
                <w:rFonts w:ascii="宋体" w:hAnsi="宋体" w:hint="eastAsia"/>
                <w:b/>
                <w:sz w:val="24"/>
              </w:rPr>
              <w:t>进展</w:t>
            </w:r>
          </w:p>
        </w:tc>
      </w:tr>
      <w:tr w:rsidR="009273EA" w:rsidRPr="00C03320" w14:paraId="4B2179E1" w14:textId="77777777" w:rsidTr="00A8200E">
        <w:trPr>
          <w:trHeight w:val="7078"/>
          <w:jc w:val="center"/>
        </w:trPr>
        <w:tc>
          <w:tcPr>
            <w:tcW w:w="5000" w:type="pct"/>
            <w:gridSpan w:val="2"/>
          </w:tcPr>
          <w:p>
            <w:r>
              <w:rPr>
                <w:rFonts w:ascii="Times New Roman" w:hAnsi="Times New Roman" w:eastAsia="宋体"/>
                <w:b w:val="0"/>
                <w:i w:val="0"/>
                <w:sz w:val="24"/>
              </w:rPr>
              <w:t>按照开题计划，填写开题以来学位论文工作的研究进展。视具体研究内容，可包括理论、计算、实验（或实证）等方面（可续页）</w:t>
            </w:r>
          </w:p>
          <w:p>
            <w:pPr>
              <w:spacing w:line="400" w:lineRule="exact" w:before="0" w:after="0"/>
              <w:ind/>
            </w:pPr>
            <w:r>
              <w:rPr>
                <w:rFonts w:ascii="Times New Roman" w:hAnsi="Times New Roman" w:eastAsia="宋体"/>
                <w:b/>
                <w:i w:val="0"/>
                <w:sz w:val="24"/>
              </w:rPr>
              <w:t>（1）研究背景与问题动因</w:t>
            </w:r>
          </w:p>
          <w:p>
            <w:pPr>
              <w:spacing w:line="400" w:lineRule="exact" w:before="0" w:after="0"/>
              <w:ind w:firstLineChars="200"/>
            </w:pPr>
            <w:r>
              <w:rPr>
                <w:rFonts w:ascii="Times New Roman" w:hAnsi="Times New Roman" w:eastAsia="宋体"/>
                <w:b w:val="0"/>
                <w:i w:val="0"/>
                <w:sz w:val="24"/>
              </w:rPr>
              <w:t>随着医疗健康、政务协同、工业互联网和供应链金融等场景持续数字化，数据逐渐由单一机构内部资源转变为跨主体协同要素，跨组织数据共享正在成为数字经济运行的基础环节。这类场景普遍存在两个基本特征：一是数据的产生、存储与使用主体相分离，数据所有者希望在不泄露原始数据的前提下向授权用户提供使用价值；二是共享过程受到法规与业务约束，访问必须被限制在明确的主体范围、用途范围与时间范围之内。由此形成数据所有权与使用权分离下的核心矛盾：一方面要保证数据可用，另一方面要保证访问可控、过程可审计、失效可追溯。仅依靠传统数据库的访问控制列表或应用层权限校验</w:t>
            </w:r>
            <w:r>
              <w:rPr>
                <w:rFonts w:ascii="Times New Roman" w:hAnsi="Times New Roman" w:eastAsia="宋体"/>
                <w:b w:val="0"/>
                <w:i w:val="0"/>
                <w:sz w:val="24"/>
                <w:vertAlign w:val="superscript"/>
              </w:rPr>
              <w:t>[1]</w:t>
            </w:r>
            <w:r>
              <w:rPr>
                <w:rFonts w:ascii="Times New Roman" w:hAnsi="Times New Roman" w:eastAsia="宋体"/>
                <w:b w:val="0"/>
                <w:i w:val="0"/>
                <w:sz w:val="24"/>
                <w:vertAlign w:val="superscript"/>
              </w:rPr>
              <w:t>[2]</w:t>
            </w:r>
            <w:r>
              <w:rPr>
                <w:rFonts w:ascii="Times New Roman" w:hAnsi="Times New Roman" w:eastAsia="宋体"/>
                <w:b w:val="0"/>
                <w:i w:val="0"/>
                <w:sz w:val="24"/>
                <w:vertAlign w:val="superscript"/>
              </w:rPr>
              <w:t>[3]</w:t>
            </w:r>
            <w:r>
              <w:rPr>
                <w:rFonts w:ascii="Times New Roman" w:hAnsi="Times New Roman" w:eastAsia="宋体"/>
                <w:b w:val="0"/>
                <w:i w:val="0"/>
                <w:sz w:val="24"/>
                <w:vertAlign w:val="superscript"/>
              </w:rPr>
              <w:t>[4]</w:t>
            </w:r>
            <w:r>
              <w:rPr>
                <w:rFonts w:ascii="Times New Roman" w:hAnsi="Times New Roman" w:eastAsia="宋体"/>
                <w:b w:val="0"/>
                <w:i w:val="0"/>
                <w:sz w:val="24"/>
              </w:rPr>
              <w:t>，难以满足跨组织场景下多方共同维护授权事实、事后追溯责任边界的需求。</w:t>
            </w:r>
          </w:p>
          <w:p>
            <w:pPr>
              <w:spacing w:line="400" w:lineRule="exact" w:before="0" w:after="0"/>
              <w:ind w:firstLineChars="200"/>
            </w:pPr>
            <w:r>
              <w:rPr>
                <w:rFonts w:ascii="Times New Roman" w:hAnsi="Times New Roman" w:eastAsia="宋体"/>
                <w:b w:val="0"/>
                <w:i w:val="0"/>
                <w:sz w:val="24"/>
              </w:rPr>
              <w:t>区块链凭借不可篡改账本、智能合约和可追溯事件记录，为多方环境下的状态一致性与责任审计提供了天然的技术基础</w:t>
            </w:r>
            <w:r>
              <w:rPr>
                <w:rFonts w:ascii="Times New Roman" w:hAnsi="Times New Roman" w:eastAsia="宋体"/>
                <w:b w:val="0"/>
                <w:i w:val="0"/>
                <w:sz w:val="24"/>
                <w:vertAlign w:val="superscript"/>
              </w:rPr>
              <w:t>[5]</w:t>
            </w:r>
            <w:r>
              <w:rPr>
                <w:rFonts w:ascii="Times New Roman" w:hAnsi="Times New Roman" w:eastAsia="宋体"/>
                <w:b w:val="0"/>
                <w:i w:val="0"/>
                <w:sz w:val="24"/>
                <w:vertAlign w:val="superscript"/>
              </w:rPr>
              <w:t>[6]</w:t>
            </w:r>
            <w:r>
              <w:rPr>
                <w:rFonts w:ascii="Times New Roman" w:hAnsi="Times New Roman" w:eastAsia="宋体"/>
                <w:b w:val="0"/>
                <w:i w:val="0"/>
                <w:sz w:val="24"/>
                <w:vertAlign w:val="superscript"/>
              </w:rPr>
              <w:t>[7]</w:t>
            </w:r>
            <w:r>
              <w:rPr>
                <w:rFonts w:ascii="Times New Roman" w:hAnsi="Times New Roman" w:eastAsia="宋体"/>
                <w:b w:val="0"/>
                <w:i w:val="0"/>
                <w:sz w:val="24"/>
              </w:rPr>
              <w:t>：多个互不信任的组织可以围绕同一份公开账本达成对授权状态的一致认知</w:t>
            </w:r>
            <w:r>
              <w:rPr>
                <w:rFonts w:ascii="Times New Roman" w:hAnsi="Times New Roman" w:eastAsia="宋体"/>
                <w:b w:val="0"/>
                <w:i w:val="0"/>
                <w:sz w:val="24"/>
                <w:vertAlign w:val="superscript"/>
              </w:rPr>
              <w:t>[5]</w:t>
            </w:r>
            <w:r>
              <w:rPr>
                <w:rFonts w:ascii="Times New Roman" w:hAnsi="Times New Roman" w:eastAsia="宋体"/>
                <w:b w:val="0"/>
                <w:i w:val="0"/>
                <w:sz w:val="24"/>
                <w:vertAlign w:val="superscript"/>
              </w:rPr>
              <w:t>[6]</w:t>
            </w:r>
            <w:r>
              <w:rPr>
                <w:rFonts w:ascii="Times New Roman" w:hAnsi="Times New Roman" w:eastAsia="宋体"/>
                <w:b w:val="0"/>
                <w:i w:val="0"/>
                <w:sz w:val="24"/>
              </w:rPr>
              <w:t>，任何状态变化都可以被审计和复核。但区块链本身并不提供数据机密性，将业务数据直接写入链上会造成隐私暴露和高额存储成本，也不符合数据所有者对数据控制权的要求。因此，把密文数据保存在链下、把授权状态与审计记录维护在链上，成为区块链数据共享的基本架构选择。然而这一架构引出一个关键问题：链上维护的授权记录只有在真正约束链下密钥与密文材料释放时才有意义，否则授权记录只是事后审计的附件，无法在访问发生前阻止未授权使用。</w:t>
            </w:r>
          </w:p>
          <w:p>
            <w:pPr>
              <w:spacing w:line="400" w:lineRule="exact" w:before="0" w:after="0"/>
              <w:ind w:firstLineChars="200"/>
            </w:pPr>
            <w:r>
              <w:rPr>
                <w:rFonts w:ascii="Times New Roman" w:hAnsi="Times New Roman" w:eastAsia="宋体"/>
                <w:b w:val="0"/>
                <w:i w:val="0"/>
                <w:sz w:val="24"/>
              </w:rPr>
              <w:t>从时间维度看，面向数据共享的授权策略往往不是单一连续区间。在排班访问、周期授权、跨日窗口和节假日例外等业务中，时间条件通常由多个不连续、非对齐的窗口组成，并可能伴随例外日期、周期性片段和临时开放窗口。例如，一项授权可能仅在工作日的若干时段有效，也可能由多个跨日窗口与例外日期共同构成。传统的连续时间模型难以表达这类由多个片段拼合而成的授权规则；而如果直接把每个最小时间单元写入策略，策略的表示规模、密文头部大小和策略处理成本又会随时间域范围线性膨胀，难以支撑长时间、细粒度的授权场景。</w:t>
            </w:r>
          </w:p>
          <w:p>
            <w:pPr>
              <w:spacing w:line="400" w:lineRule="exact" w:before="0" w:after="0"/>
              <w:ind w:firstLineChars="200"/>
            </w:pPr>
            <w:r>
              <w:rPr>
                <w:rFonts w:ascii="Times New Roman" w:hAnsi="Times New Roman" w:eastAsia="宋体"/>
                <w:b w:val="0"/>
                <w:i w:val="0"/>
                <w:sz w:val="24"/>
              </w:rPr>
              <w:t>非连续时间约束还给策略表示本身带来了更深层的问题：同一组授权规则可以由不同输入序列表达，这些序列可能因乱序、重复、相交、相邻、嵌套或等价拆分而互不相同，却对应相同的允许时间集合。如果这些表示直接参与摘要计算或授权判断，会产生不同的字节表示和不同的策略标识，进而破坏跨组件校验的一致性——策略编译组件、授权签发组件、验证组件与审计组件各自计算出的策略摘要可能互不一致。因此，非连续时间约束首先要求回答“如何获得确定、唯一、可复现的语义表示与策略摘要”这一基础问题。</w:t>
            </w:r>
          </w:p>
          <w:p>
            <w:pPr>
              <w:spacing w:line="400" w:lineRule="exact" w:before="0" w:after="0"/>
              <w:ind w:firstLineChars="200"/>
            </w:pPr>
            <w:r>
              <w:rPr>
                <w:rFonts w:ascii="Times New Roman" w:hAnsi="Times New Roman" w:eastAsia="宋体"/>
                <w:b w:val="0"/>
                <w:i w:val="0"/>
                <w:sz w:val="24"/>
              </w:rPr>
              <w:t>然而，仅有策略表示并不足以构成可信授权。在动态授权环境中，用户即使持有满足策略的长期凭证，其访问仍可能因暂停、撤销、策略更新或密钥轮换而不再有效；授权状态的变化必须被所有参与方一致地感知和执行。若仅依赖本地或单一服务端校验，则难以应对状态变更、跨实例重放以及能力在链与合约上下文之间迁移等场景：本地保存的策略副本可能过期，单一验证服务可能被绕过程序直接访问资源，同一能力可能在多个验证实例上被重复消费。区块链能够提供确定性的公开状态与可审计的状态变迁，但如何把策略摘要、资源状态、用户密钥版本与授权时效锚定到链上，并使授权能力只能用于指定链、指定合约实例与指定资源状态，是需要专门设计的第二个问题。</w:t>
            </w:r>
          </w:p>
          <w:p>
            <w:pPr>
              <w:spacing w:line="400" w:lineRule="exact" w:before="0" w:after="0"/>
              <w:ind w:firstLineChars="200"/>
            </w:pPr>
            <w:r>
              <w:rPr>
                <w:rFonts w:ascii="Times New Roman" w:hAnsi="Times New Roman" w:eastAsia="宋体"/>
                <w:b w:val="0"/>
                <w:i w:val="0"/>
                <w:sz w:val="24"/>
              </w:rPr>
              <w:t>在链上授权状态确定之后，还存在链下密文对象生命周期与链上状态之间的失配问题。链上记录“用户已被撤销”并不自动意味着该用户无法继续获取链下密钥材料：如果密文对象与密钥材料在授权有效期间已经分发到用户侧，撤销只能阻止后续的新请求，而无法收回已经交付的密文；更重要的是，如果链下对象存储、密钥封装记录与链上授权状态之间缺乏版本关联，撤销、文件更新、密钥轮换等事件就无法传导到材料释放判定与密文对象版本上。因此，第三个问题是如何把授权状态、密文对象版本、密钥材料与数据库任务状态组织成可验证的闭合关系，实现前瞻性撤销与故障恢复。</w:t>
            </w:r>
          </w:p>
          <w:p>
            <w:pPr>
              <w:spacing w:line="400" w:lineRule="exact" w:before="0" w:after="0"/>
              <w:ind w:firstLineChars="200"/>
            </w:pPr>
            <w:r>
              <w:rPr>
                <w:rFonts w:ascii="Times New Roman" w:hAnsi="Times New Roman" w:eastAsia="宋体"/>
                <w:b w:val="0"/>
                <w:i w:val="0"/>
                <w:sz w:val="24"/>
              </w:rPr>
              <w:t>综上，本研究面向非连续时间约束下的区块链数据共享场景，以“策略表示—可信授权执行—密文对象生命周期管理”为主线设置三项递进研究内容：其一解决非连续时间策略的确定性表示与编译，其二解决基于许可联盟链状态锚定的可信授权执行，其三解决授权状态变化后的版本化密文头部与前瞻性撤销闭环。三者共享半开区间时间语义与策略摘要，前一阶段输出的语义与状态作为后一阶段的输入，最终形成从策略编译、授权判定到材料释放与恢复的可验证闭合链路。</w:t>
            </w:r>
          </w:p>
          <w:p>
            <w:pPr>
              <w:spacing w:line="400" w:lineRule="exact" w:before="0" w:after="0"/>
              <w:ind w:firstLineChars="200"/>
            </w:pPr>
            <w:r>
              <w:rPr>
                <w:rFonts w:ascii="Times New Roman" w:hAnsi="Times New Roman" w:eastAsia="宋体"/>
                <w:b w:val="0"/>
                <w:i w:val="0"/>
                <w:sz w:val="24"/>
              </w:rPr>
              <w:t>从现有技术路线看，访问控制研究已经发展出角色访问控制、属性访问控制与令牌授权等多种机制：角色与时间约束模型能够表达周期性角色启停等时间语义</w:t>
            </w:r>
            <w:r>
              <w:rPr>
                <w:rFonts w:ascii="Times New Roman" w:hAnsi="Times New Roman" w:eastAsia="宋体"/>
                <w:b w:val="0"/>
                <w:i w:val="0"/>
                <w:sz w:val="24"/>
                <w:vertAlign w:val="superscript"/>
              </w:rPr>
              <w:t>[8]</w:t>
            </w:r>
            <w:r>
              <w:rPr>
                <w:rFonts w:ascii="Times New Roman" w:hAnsi="Times New Roman" w:eastAsia="宋体"/>
                <w:b w:val="0"/>
                <w:i w:val="0"/>
                <w:sz w:val="24"/>
                <w:vertAlign w:val="superscript"/>
              </w:rPr>
              <w:t>[9]</w:t>
            </w:r>
            <w:r>
              <w:rPr>
                <w:rFonts w:ascii="Times New Roman" w:hAnsi="Times New Roman" w:eastAsia="宋体"/>
                <w:b w:val="0"/>
                <w:i w:val="0"/>
                <w:sz w:val="24"/>
              </w:rPr>
              <w:t>，属性基加密能够按属性实施细粒度访问控制</w:t>
            </w:r>
            <w:r>
              <w:rPr>
                <w:rFonts w:ascii="Times New Roman" w:hAnsi="Times New Roman" w:eastAsia="宋体"/>
                <w:b w:val="0"/>
                <w:i w:val="0"/>
                <w:sz w:val="24"/>
                <w:vertAlign w:val="superscript"/>
              </w:rPr>
              <w:t>[10]</w:t>
            </w:r>
            <w:r>
              <w:rPr>
                <w:rFonts w:ascii="Times New Roman" w:hAnsi="Times New Roman" w:eastAsia="宋体"/>
                <w:b w:val="0"/>
                <w:i w:val="0"/>
                <w:sz w:val="24"/>
                <w:vertAlign w:val="superscript"/>
              </w:rPr>
              <w:t>[11]</w:t>
            </w:r>
            <w:r>
              <w:rPr>
                <w:rFonts w:ascii="Times New Roman" w:hAnsi="Times New Roman" w:eastAsia="宋体"/>
                <w:b w:val="0"/>
                <w:i w:val="0"/>
                <w:sz w:val="24"/>
                <w:vertAlign w:val="superscript"/>
              </w:rPr>
              <w:t>[12]</w:t>
            </w:r>
            <w:r>
              <w:rPr>
                <w:rFonts w:ascii="Times New Roman" w:hAnsi="Times New Roman" w:eastAsia="宋体"/>
                <w:b w:val="0"/>
                <w:i w:val="0"/>
                <w:sz w:val="24"/>
              </w:rPr>
              <w:t>，令牌授权框架能够把权限以可携带凭证的形式分发。然而，这些机制在面对“非连续时间约束+动态授权状态+链下密文生命周期”的组合场景时都存在结构性缺口：角色模型与属性策略通常把时间作为单一约束条件，难以表达由多个非对齐窗口与例外片段构成的规则；普通令牌的有效性取决于签发时点的快照</w:t>
            </w:r>
            <w:r>
              <w:rPr>
                <w:rFonts w:ascii="Times New Roman" w:hAnsi="Times New Roman" w:eastAsia="宋体"/>
                <w:b w:val="0"/>
                <w:i w:val="0"/>
                <w:sz w:val="24"/>
                <w:vertAlign w:val="superscript"/>
              </w:rPr>
              <w:t>[13]</w:t>
            </w:r>
            <w:r>
              <w:rPr>
                <w:rFonts w:ascii="Times New Roman" w:hAnsi="Times New Roman" w:eastAsia="宋体"/>
                <w:b w:val="0"/>
                <w:i w:val="0"/>
                <w:sz w:val="24"/>
                <w:vertAlign w:val="superscript"/>
              </w:rPr>
              <w:t>[14]</w:t>
            </w:r>
            <w:r>
              <w:rPr>
                <w:rFonts w:ascii="Times New Roman" w:hAnsi="Times New Roman" w:eastAsia="宋体"/>
                <w:b w:val="0"/>
                <w:i w:val="0"/>
                <w:sz w:val="24"/>
              </w:rPr>
              <w:t>，难以在验证时点约束动态状态与跨实例重放</w:t>
            </w:r>
            <w:r>
              <w:rPr>
                <w:rFonts w:ascii="Times New Roman" w:hAnsi="Times New Roman" w:eastAsia="宋体"/>
                <w:b w:val="0"/>
                <w:i w:val="0"/>
                <w:sz w:val="24"/>
                <w:vertAlign w:val="superscript"/>
              </w:rPr>
              <w:t>[13]</w:t>
            </w:r>
            <w:r>
              <w:rPr>
                <w:rFonts w:ascii="Times New Roman" w:hAnsi="Times New Roman" w:eastAsia="宋体"/>
                <w:b w:val="0"/>
                <w:i w:val="0"/>
                <w:sz w:val="24"/>
                <w:vertAlign w:val="superscript"/>
              </w:rPr>
              <w:t>[14]</w:t>
            </w:r>
            <w:r>
              <w:rPr>
                <w:rFonts w:ascii="Times New Roman" w:hAnsi="Times New Roman" w:eastAsia="宋体"/>
                <w:b w:val="0"/>
                <w:i w:val="0"/>
                <w:sz w:val="24"/>
              </w:rPr>
              <w:t>；属性基加密的长期密钥资格不能反映某次访问发生时的链上状态。区块链相关数据共享方案近年来得到广泛研究</w:t>
            </w:r>
            <w:r>
              <w:rPr>
                <w:rFonts w:ascii="Times New Roman" w:hAnsi="Times New Roman" w:eastAsia="宋体"/>
                <w:b w:val="0"/>
                <w:i w:val="0"/>
                <w:sz w:val="24"/>
                <w:vertAlign w:val="superscript"/>
              </w:rPr>
              <w:t>[15]</w:t>
            </w:r>
            <w:r>
              <w:rPr>
                <w:rFonts w:ascii="Times New Roman" w:hAnsi="Times New Roman" w:eastAsia="宋体"/>
                <w:b w:val="0"/>
                <w:i w:val="0"/>
                <w:sz w:val="24"/>
                <w:vertAlign w:val="superscript"/>
              </w:rPr>
              <w:t>[16]</w:t>
            </w:r>
            <w:r>
              <w:rPr>
                <w:rFonts w:ascii="Times New Roman" w:hAnsi="Times New Roman" w:eastAsia="宋体"/>
                <w:b w:val="0"/>
                <w:i w:val="0"/>
                <w:sz w:val="24"/>
              </w:rPr>
              <w:t>，但多数工作聚焦于链上存证、去中心化存储或属性加密的结合，较少把策略语义确定性、授权状态锚定与密文对象版本化作为一个连贯的问题链整体处理，这为本文方案提供了明确的研究空间。</w:t>
            </w:r>
          </w:p>
          <w:p>
            <w:pPr>
              <w:spacing w:line="400" w:lineRule="exact" w:before="0" w:after="0"/>
              <w:ind w:firstLineChars="200"/>
            </w:pPr>
            <w:r>
              <w:rPr>
                <w:rFonts w:ascii="Times New Roman" w:hAnsi="Times New Roman" w:eastAsia="宋体"/>
                <w:b w:val="0"/>
                <w:i w:val="0"/>
                <w:sz w:val="24"/>
              </w:rPr>
              <w:t>密文对象治理方面，数据共享的最终载体是链下密文，其生命周期包括生成、封装、分发、更新、撤销与恢复多个阶段。现实业务中，授权状态变化与密文对象版本之间经常出现失配：用户被撤销后，已分发的密钥材料仍可能继续使用；文件内容更新后，旧密文头与旧密钥封装记录可能仍指向已失效的版本；对象损坏或副本缺失时，恢复过程又可能因为缺少可信的完整性依据而引入新的风险。这些问题表明，数据共享方案不能只解决“谁可以访问”的问题，还必须解决“访问之后密文对象如何随状态演化”的问题，即把授权状态与密文对象的版本生命周期组织成统一的、可验证的闭合关系。</w:t>
            </w:r>
          </w:p>
          <w:p>
            <w:pPr>
              <w:spacing w:line="400" w:lineRule="exact" w:before="0" w:after="0"/>
              <w:ind/>
            </w:pPr>
            <w:r>
              <w:rPr>
                <w:rFonts w:ascii="Times New Roman" w:hAnsi="Times New Roman" w:eastAsia="宋体"/>
                <w:b/>
                <w:i w:val="0"/>
                <w:sz w:val="24"/>
              </w:rPr>
              <w:t>（2）研究目标与主要技术问题</w:t>
            </w:r>
          </w:p>
          <w:p>
            <w:pPr>
              <w:spacing w:line="400" w:lineRule="exact" w:before="0" w:after="0"/>
              <w:ind w:firstLineChars="200"/>
            </w:pPr>
            <w:r>
              <w:rPr>
                <w:rFonts w:ascii="Times New Roman" w:hAnsi="Times New Roman" w:eastAsia="宋体"/>
                <w:b w:val="0"/>
                <w:i w:val="0"/>
                <w:sz w:val="24"/>
              </w:rPr>
              <w:t>本研究的总体目标是面向具有非连续时间约束和动态授权需求的区块链数据共享场景，建立一套安全边界清晰、协议接口闭合、能够通过原型与实验复核的可信共享方案。系统不追求把大文件或秘密计算迁移到链上，而是利用许可联盟链确定公开授权状态与请求顺序，利用能力结构与原子一次性机制实现跨实例一致的可信执行，并通过版本化密文头部把撤销与更新传导到链下材料释放。围绕这一目标，本研究需要回答三个相互关联的主要技术问题。</w:t>
            </w:r>
          </w:p>
          <w:p>
            <w:pPr>
              <w:spacing w:line="400" w:lineRule="exact" w:before="0" w:after="0"/>
              <w:ind w:firstLineChars="200"/>
            </w:pPr>
            <w:r>
              <w:rPr>
                <w:rFonts w:ascii="Times New Roman" w:hAnsi="Times New Roman" w:eastAsia="宋体"/>
                <w:b w:val="0"/>
                <w:i w:val="0"/>
                <w:sz w:val="24"/>
              </w:rPr>
              <w:t>第一个问题是确定性表示问题：非连续时间约束如何获得确定、唯一、可复现的语义表示与策略摘要。该问题之所以是基础，是因为策略摘要构成后续授权执行与审计复核的公共输入。若不同组件对同一策略计算出不同摘要，则链上状态、能力绑定与材料释放判定都会失去可信基础；若摘要随输入序列的书写方式变化，则等义策略会对应多个状态，破坏审计一致性。因此，确定性表示必须建立在语义等价类之上，即所有表达同一允许时间集合的输入都映射到同一规范表示与同一摘要，同时表示规模与编译复杂度具有可解释的边界。</w:t>
            </w:r>
          </w:p>
          <w:p>
            <w:pPr>
              <w:spacing w:line="400" w:lineRule="exact" w:before="0" w:after="0"/>
              <w:ind w:firstLineChars="200"/>
            </w:pPr>
            <w:r>
              <w:rPr>
                <w:rFonts w:ascii="Times New Roman" w:hAnsi="Times New Roman" w:eastAsia="宋体"/>
                <w:b w:val="0"/>
                <w:i w:val="0"/>
                <w:sz w:val="24"/>
              </w:rPr>
              <w:t>第二个问题是可信执行问题：确定的授权策略如何在许可联盟链环境中形成可信、可审计、抗重放的授权执行。该问题不能只依赖普通令牌或本地校验，原因在于授权状态是动态的：用户撤销、资源暂停、策略更新与密钥轮换都会改变当前请求是否仍然有效</w:t>
            </w:r>
            <w:r>
              <w:rPr>
                <w:rFonts w:ascii="Times New Roman" w:hAnsi="Times New Roman" w:eastAsia="宋体"/>
                <w:b w:val="0"/>
                <w:i w:val="0"/>
                <w:sz w:val="24"/>
                <w:vertAlign w:val="superscript"/>
              </w:rPr>
              <w:t>[17]</w:t>
            </w:r>
            <w:r>
              <w:rPr>
                <w:rFonts w:ascii="Times New Roman" w:hAnsi="Times New Roman" w:eastAsia="宋体"/>
                <w:b w:val="0"/>
                <w:i w:val="0"/>
                <w:sz w:val="24"/>
              </w:rPr>
              <w:t>；令牌一旦签发，其有效性必须由验证时点的链上状态决定，而不能只由签发时点的快照决定。同时，系统存在多个验证实例，重复消费判定必须在实例之间形成统一语义，防止同一能力被并发地多次使用；能力还必须绑定到具体链、具体合约实例与具体资源状态，防止在不同部署环境之间迁移。</w:t>
            </w:r>
          </w:p>
          <w:p>
            <w:pPr>
              <w:spacing w:line="400" w:lineRule="exact" w:before="0" w:after="0"/>
              <w:ind w:firstLineChars="200"/>
            </w:pPr>
            <w:r>
              <w:rPr>
                <w:rFonts w:ascii="Times New Roman" w:hAnsi="Times New Roman" w:eastAsia="宋体"/>
                <w:b w:val="0"/>
                <w:i w:val="0"/>
                <w:sz w:val="24"/>
              </w:rPr>
              <w:t>第三个问题是生命周期一致性问题：授权状态变化后，链下密文对象、密钥材料与链上状态如何维持版本一致性，并实现前瞻性撤销与故障恢复。该问题之所以最终必须传导到密文对象，是因为数据共享的最终载体是链下密文：授权状态变化只有反映到密钥封装记录、密文头部与材料释放判定上，才能真正改变用户的访问能力。撤销应当立即停止后续材料释放，并在新密文头部闭合后恢复合法用户的访问；故障场景下，对象损坏、摘要不一致与副本缺失都需要可验证的恢复路径，且恢复过程不得放宽完整性要求。</w:t>
            </w:r>
          </w:p>
          <w:p>
            <w:pPr>
              <w:spacing w:line="400" w:lineRule="exact" w:before="0" w:after="0"/>
              <w:ind w:firstLineChars="200"/>
            </w:pPr>
            <w:r>
              <w:rPr>
                <w:rFonts w:ascii="Times New Roman" w:hAnsi="Times New Roman" w:eastAsia="宋体"/>
                <w:b w:val="0"/>
                <w:i w:val="0"/>
                <w:sz w:val="24"/>
              </w:rPr>
              <w:t>三个问题的关系是递进的：确定性表示提供语义与摘要基础，使链上链下各方对同一策略形成一致认知；可信执行把该语义与动态授权状态锚定到链上，使授权判定具备统一事实源与抗重放能力；生命周期一致性把链上状态传导到密文对象版本与材料释放，使授权结果真正落到数据访问本身。缺少任何一环，方案都会退化为“链上记录”与“链下执行”相互脱节的半闭合系统。因此，本研究以三个问题的完整闭环作为总体目标，并以“统一语义—状态锚定—生命周期闭合”作为评价方案完整性的基本框架。</w:t>
            </w:r>
          </w:p>
          <w:p>
            <w:pPr>
              <w:keepNext/>
              <w:spacing w:line="240" w:lineRule="auto" w:before="120" w:after="0"/>
              <w:jc w:val="center"/>
            </w:pPr>
            <w:r>
              <w:drawing>
                <wp:inline xmlns:a="http://schemas.openxmlformats.org/drawingml/2006/main" xmlns:pic="http://schemas.openxmlformats.org/drawingml/2006/picture">
                  <wp:extent cx="4680000" cy="2588817"/>
                  <wp:docPr id="1" name="Picture 1"/>
                  <wp:cNvGraphicFramePr>
                    <a:graphicFrameLocks noChangeAspect="1"/>
                  </wp:cNvGraphicFramePr>
                  <a:graphic>
                    <a:graphicData uri="http://schemas.openxmlformats.org/drawingml/2006/picture">
                      <pic:pic>
                        <pic:nvPicPr>
                          <pic:cNvPr id="0" name="m4-fig1-route.png"/>
                          <pic:cNvPicPr/>
                        </pic:nvPicPr>
                        <pic:blipFill>
                          <a:blip r:embed="rId23"/>
                          <a:stretch>
                            <a:fillRect/>
                          </a:stretch>
                        </pic:blipFill>
                        <pic:spPr>
                          <a:xfrm>
                            <a:off x="0" y="0"/>
                            <a:ext cx="4680000" cy="2588817"/>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 论文总体技术路线与三项研究内容递进关系</w:t>
            </w:r>
          </w:p>
          <w:p>
            <w:pPr>
              <w:spacing w:line="400" w:lineRule="exact" w:before="0" w:after="0"/>
              <w:ind/>
            </w:pPr>
            <w:r>
              <w:rPr>
                <w:rFonts w:ascii="Times New Roman" w:hAnsi="Times New Roman" w:eastAsia="宋体"/>
                <w:b/>
                <w:i w:val="0"/>
                <w:sz w:val="24"/>
              </w:rPr>
              <w:t>（3）研究思路、技术路线与主要创新点</w:t>
            </w:r>
          </w:p>
          <w:p>
            <w:pPr>
              <w:spacing w:line="400" w:lineRule="exact" w:before="0" w:after="0"/>
              <w:ind w:firstLineChars="200"/>
            </w:pPr>
            <w:r>
              <w:rPr>
                <w:rFonts w:ascii="Times New Roman" w:hAnsi="Times New Roman" w:eastAsia="宋体"/>
                <w:b w:val="0"/>
                <w:i w:val="0"/>
                <w:sz w:val="24"/>
              </w:rPr>
              <w:t>本研究的技术路线可以概括为“一次数据共享的完整生命周期”：数据所有者首先以非连续时间窗口定义授权策略；策略编译组件对窗口进行离散化、规范化与确定性编码，生成唯一语义表示与策略摘要；资源与摘要信息注册到链上授权状态合约；数据用户获得由授权状态约束的能力；验证实例在验证时点重新读取链上状态、复核时间策略并原子消费一次性 Nonce；材料释放组件依据链上复合状态决定是否释放密文材料；授权状态变化（暂停、撤销、更新、轮换）通过事件传导至密文头部更新与材料释放判定；对象损坏等故障通过恢复协调器从隔离副本验证并恢复。整个生命周期中，策略摘要、授权状态、任务状态与对象摘要相互绑定，构成可审计的闭合链路。</w:t>
            </w:r>
          </w:p>
          <w:p>
            <w:pPr>
              <w:spacing w:line="400" w:lineRule="exact" w:before="0" w:after="0"/>
              <w:ind w:firstLineChars="200"/>
            </w:pPr>
            <w:r>
              <w:rPr>
                <w:rFonts w:ascii="Times New Roman" w:hAnsi="Times New Roman" w:eastAsia="宋体"/>
                <w:b w:val="0"/>
                <w:i w:val="0"/>
                <w:sz w:val="24"/>
              </w:rPr>
              <w:t>从系统组成看，方案包含数据所有者、数据用户、策略编译组件、许可联盟链（Besu QBFT）、链上授权状态合约、能力签发与验证组件、共享数据库、密文头部注册表、链下对象存储与隔离副本、材料释放组件与恢复协调器等部分。各部分并非简单的组件堆叠：策略编译组件输出的摘要进入链上状态与能力绑定；链上状态是签发与验证的唯一事实源；共享数据库提供跨实例的一次性消费；链下对象以内容摘要为完整性权威并受链上状态约束。系统不把大文件或秘密计算迁移到链上，链上只保存必要的公开状态、摘要与审计信息。</w:t>
            </w:r>
          </w:p>
          <w:p>
            <w:pPr>
              <w:spacing w:line="400" w:lineRule="exact" w:before="0" w:after="0"/>
              <w:ind w:firstLineChars="200"/>
            </w:pPr>
            <w:r>
              <w:rPr>
                <w:rFonts w:ascii="Times New Roman" w:hAnsi="Times New Roman" w:eastAsia="宋体"/>
                <w:b w:val="0"/>
                <w:i w:val="0"/>
                <w:sz w:val="24"/>
              </w:rPr>
              <w:t>围绕上述技术路线，本阶段形成三项阶段性创新方向。</w:t>
            </w:r>
          </w:p>
          <w:p>
            <w:pPr>
              <w:spacing w:line="400" w:lineRule="exact" w:before="0" w:after="0"/>
              <w:ind w:firstLineChars="200"/>
            </w:pPr>
            <w:r>
              <w:rPr>
                <w:rFonts w:ascii="Times New Roman" w:hAnsi="Times New Roman" w:eastAsia="宋体"/>
                <w:b w:val="0"/>
                <w:i w:val="0"/>
                <w:sz w:val="24"/>
              </w:rPr>
              <w:t>创新点一：面向非连续时间约束的确定性策略表示与编译。已有访问控制模型多面向连续时间或单一时间点，难以表达由多个非对齐窗口、例外日期与周期片段构成的授权规则；若将最小时间单元逐一写入策略，表示规模随时间域线性膨胀；而不同输入序列可能对应同一允许时间集合却产生不同摘要，破坏跨组件一致性。本文针对这些问题，首先把“策略语义”与“策略书写形式”解耦：以统一时区、最小粒度和半开区间定义时间域与策略语义，以规范区间序列作为唯一语义表示</w:t>
            </w:r>
            <w:r>
              <w:rPr>
                <w:rFonts w:ascii="Times New Roman" w:hAnsi="Times New Roman" w:eastAsia="宋体"/>
                <w:b w:val="0"/>
                <w:i w:val="0"/>
                <w:sz w:val="24"/>
                <w:vertAlign w:val="superscript"/>
              </w:rPr>
              <w:t>[18]</w:t>
            </w:r>
            <w:r>
              <w:rPr>
                <w:rFonts w:ascii="Times New Roman" w:hAnsi="Times New Roman" w:eastAsia="宋体"/>
                <w:b w:val="0"/>
                <w:i w:val="0"/>
                <w:sz w:val="24"/>
              </w:rPr>
              <w:t>，使任何表达同一允许时间集合的输入都经规范化映射到同一表示；其次把“语义表示”与“派生执行表示”解耦：层次覆盖只作为可再生成的执行结构，不参与语义与摘要定义；最后以固定宽度规范编码与摘要计算把唯一语义固化</w:t>
            </w:r>
            <w:r>
              <w:rPr>
                <w:rFonts w:ascii="Times New Roman" w:hAnsi="Times New Roman" w:eastAsia="宋体"/>
                <w:b w:val="0"/>
                <w:i w:val="0"/>
                <w:sz w:val="24"/>
                <w:vertAlign w:val="superscript"/>
              </w:rPr>
              <w:t>[19]</w:t>
            </w:r>
            <w:r>
              <w:rPr>
                <w:rFonts w:ascii="Times New Roman" w:hAnsi="Times New Roman" w:eastAsia="宋体"/>
                <w:b w:val="0"/>
                <w:i w:val="0"/>
                <w:sz w:val="24"/>
              </w:rPr>
              <w:t>为唯一标识，使策略编译、授权签发、验证复核与审计组件共享同一策略事实。与常规区间压缩方法相比，本文的关键区别在于摘要由语义表示决定而非由执行表示决定，从而保证了表示层变化不引起策略标识变化。阶段验证覆盖形式化模型、算法实现、性质测试与 15120 条正式记录</w:t>
            </w:r>
            <w:r>
              <w:rPr>
                <w:rFonts w:ascii="Times New Roman" w:hAnsi="Times New Roman" w:eastAsia="宋体"/>
                <w:b w:val="0"/>
                <w:i w:val="0"/>
                <w:sz w:val="24"/>
                <w:vertAlign w:val="superscript"/>
              </w:rPr>
              <w:t>[20]</w:t>
            </w:r>
            <w:r>
              <w:rPr>
                <w:rFonts w:ascii="Times New Roman" w:hAnsi="Times New Roman" w:eastAsia="宋体"/>
                <w:b w:val="0"/>
                <w:i w:val="0"/>
                <w:sz w:val="24"/>
              </w:rPr>
              <w:t>，明确了规范区间在实验范围内的稳健性以及层次覆盖的适用边界。</w:t>
            </w:r>
          </w:p>
          <w:p>
            <w:pPr>
              <w:spacing w:line="400" w:lineRule="exact" w:before="0" w:after="0"/>
              <w:ind w:firstLineChars="200"/>
            </w:pPr>
            <w:r>
              <w:rPr>
                <w:rFonts w:ascii="Times New Roman" w:hAnsi="Times New Roman" w:eastAsia="宋体"/>
                <w:b w:val="0"/>
                <w:i w:val="0"/>
                <w:sz w:val="24"/>
              </w:rPr>
              <w:t>创新点二：基于许可联盟链状态锚定的可信授权执行。已有方案或依赖中心化授权服务，存在单点失效与越权响应风险；或使用无状态令牌，无法在验证时点约束动态状态、无法统一跨实例重放语义、也无法防止能力在链与合约之间迁移。本文以许可联盟链为授权状态的事实源：资源状态与用户状态以版本化模型维护在链上，能力结构把链标识、合约地址、策略摘要、epoch、资源状态版本与用户密钥版本等维度完整绑定，每个绑定维度对应一类具体风险；两个相互独立的验证实例共享数据库原子约束，以单条事务完成 Nonce 一次性消费，使“同一能力只能成功消费一次”在实例之间具有统一语义；验证流程在依赖故障时拒绝而非降级放行。与令牌方案相比，能力有效性由验证时点的链上状态决定而非签发时点；与中心化方案相比，状态变更具有可审计的公开记录。阶段实验在真实五节点链上完成，验证了重放控制、状态竞争控制与故障闭合，并明确了链读取主导时延这一性能边界。</w:t>
            </w:r>
          </w:p>
          <w:p>
            <w:pPr>
              <w:spacing w:line="400" w:lineRule="exact" w:before="0" w:after="0"/>
              <w:ind w:firstLineChars="200"/>
            </w:pPr>
            <w:r>
              <w:rPr>
                <w:rFonts w:ascii="Times New Roman" w:hAnsi="Times New Roman" w:eastAsia="宋体"/>
                <w:b w:val="0"/>
                <w:i w:val="0"/>
                <w:sz w:val="24"/>
              </w:rPr>
              <w:t>创新点三：版本化密文头部与前瞻性撤销闭环。已有数据共享方案在授权撤销后通常只能阻止新请求，难以把撤销传导到已分发密文对象的生命周期；重新加密整个文件主体又带来与文件规模成正比的数据搬移开销。本文把密文对象组织为 Header 与 Body 两部分，以 Header、Body 与内容密钥的独立版本描述对象更新：授权语义变化通过仅更新 Header 完成，密钥与对象内容变化通过整体轮换完成，两类操作具有不同的成本结构与语义，不作等价比较；材料释放判定依据链上复合状态与对象完整性共同执行，撤销事件发生后立即停止后续材料释放，在新 Header 闭合后恢复合法用户访问；数据库任务状态机以操作标识保证链上写入幂等，链下对象以内容摘要为完整性权威，恢复过程从隔离副本验证并恢复而不放宽完整性要求。方案采用前瞻性撤销语义，明确不追回此前已合法获得的明文或旧密钥。阶段实验覆盖状态一致性、撤销窗口 Fail-Closed、规模影响与故障恢复，未观察到错误材料释放。</w:t>
            </w:r>
          </w:p>
          <w:p>
            <w:pPr>
              <w:spacing w:line="400" w:lineRule="exact" w:before="0" w:after="0"/>
              <w:ind/>
            </w:pPr>
            <w:r>
              <w:rPr>
                <w:rFonts w:ascii="Times New Roman" w:hAnsi="Times New Roman" w:eastAsia="宋体"/>
                <w:b/>
                <w:i w:val="0"/>
                <w:sz w:val="24"/>
              </w:rPr>
              <w:t>（4）研究内容一：非连续时间策略的确定性表示与编译</w:t>
            </w:r>
          </w:p>
          <w:p>
            <w:pPr>
              <w:spacing w:line="400" w:lineRule="exact" w:before="0" w:after="0"/>
              <w:ind w:firstLineChars="200"/>
            </w:pPr>
            <w:r>
              <w:rPr>
                <w:rFonts w:ascii="Times New Roman" w:hAnsi="Times New Roman" w:eastAsia="宋体"/>
                <w:b w:val="0"/>
                <w:i w:val="0"/>
                <w:sz w:val="24"/>
              </w:rPr>
              <w:t>研究内容一要解决的是非连续时间约束的确定性表示问题。其来源在于，同一授权规则可以由多种输入形式表达：用户提交的原始策略可能包含乱序区间、重复区间、相交或嵌套区间，也可能把相邻区间拆分成多个片段。这些输入虽然表达相同的允许时间集合，但若直接参与摘要计算或授权判断，会产生不同的字节表示和不同的策略标识，破坏跨组件校验的一致性。因此，研究首先需要回答：如何从任意等义输入中确定性地恢复唯一语义，并使其可以被链上链下各方共同复核。</w:t>
            </w:r>
          </w:p>
          <w:p>
            <w:pPr>
              <w:spacing w:line="400" w:lineRule="exact" w:before="0" w:after="0"/>
              <w:ind w:firstLineChars="200"/>
            </w:pPr>
            <w:r>
              <w:rPr>
                <w:rFonts w:ascii="Times New Roman" w:hAnsi="Times New Roman" w:eastAsia="宋体"/>
                <w:b w:val="0"/>
                <w:i w:val="0"/>
                <w:sz w:val="24"/>
              </w:rPr>
              <w:t xml:space="preserve">为此，本研究首先建立时间策略的形式化模型。设系统研究的真实时间域为 </w:t>
            </w:r>
            <m:oMath xmlns:mml="http://www.w3.org/1998/Math/MathML">
              <m:r>
                <m:t>[</m:t>
              </m:r>
              <m:sSub>
                <m:e>
                  <m:r>
                    <m:t>t</m:t>
                  </m:r>
                </m:e>
                <m:sub>
                  <m:r>
                    <m:t>0</m:t>
                  </m:r>
                </m:sub>
              </m:sSub>
              <m:r>
                <m:t>,</m:t>
              </m:r>
              <m:sSub>
                <m:e>
                  <m:r>
                    <m:t>t</m:t>
                  </m:r>
                </m:e>
                <m:sub>
                  <m:r>
                    <m:t>0</m:t>
                  </m:r>
                </m:sub>
              </m:sSub>
              <m:r>
                <m:t>+UΔ)</m:t>
              </m:r>
            </m:oMath>
            <w:r>
              <w:rPr>
                <w:rFonts w:ascii="Times New Roman" w:hAnsi="Times New Roman" w:eastAsia="宋体"/>
                <w:b w:val="0"/>
                <w:i w:val="0"/>
                <w:sz w:val="24"/>
              </w:rPr>
              <w:t xml:space="preserve">，其中 </w:t>
            </w:r>
            <m:oMath xmlns:mml="http://www.w3.org/1998/Math/MathML">
              <m:sSub>
                <m:e>
                  <m:r>
                    <m:t>t</m:t>
                  </m:r>
                </m:e>
                <m:sub>
                  <m:r>
                    <m:t>0</m:t>
                  </m:r>
                </m:sub>
              </m:sSub>
            </m:oMath>
            <w:r>
              <w:rPr>
                <w:rFonts w:ascii="Times New Roman" w:hAnsi="Times New Roman" w:eastAsia="宋体"/>
                <w:b w:val="0"/>
                <w:i w:val="0"/>
                <w:sz w:val="24"/>
              </w:rPr>
              <w:t xml:space="preserve"> 为可转换为 UTC 的时区感知起点，</w:t>
            </w:r>
            <m:oMath xmlns:mml="http://www.w3.org/1998/Math/MathML">
              <m:r>
                <m:t>Δ&gt;0</m:t>
              </m:r>
            </m:oMath>
            <w:r>
              <w:rPr>
                <w:rFonts w:ascii="Times New Roman" w:hAnsi="Times New Roman" w:eastAsia="宋体"/>
                <w:b w:val="0"/>
                <w:i w:val="0"/>
                <w:sz w:val="24"/>
              </w:rPr>
              <w:t xml:space="preserve"> 为时间槽粒度，</w:t>
            </w:r>
            <m:oMath xmlns:mml="http://www.w3.org/1998/Math/MathML">
              <m:r>
                <m:t>U∈</m:t>
              </m:r>
              <m:sSup>
                <m:e>
                  <m:r>
                    <m:t>ℕ</m:t>
                  </m:r>
                </m:e>
                <m:sup>
                  <m:r>
                    <m:t>+</m:t>
                  </m:r>
                </m:sup>
              </m:sSup>
            </m:oMath>
            <w:r>
              <w:rPr>
                <w:rFonts w:ascii="Times New Roman" w:hAnsi="Times New Roman" w:eastAsia="宋体"/>
                <w:b w:val="0"/>
                <w:i w:val="0"/>
                <w:sz w:val="24"/>
              </w:rPr>
              <w:t xml:space="preserve"> 为槽总数；离散时间域为 </w:t>
            </w:r>
            <m:oMath xmlns:mml="http://www.w3.org/1998/Math/MathML">
              <m:r>
                <m:t>T={0,1,…,U−1}</m:t>
              </m:r>
            </m:oMath>
            <w:r>
              <w:rPr>
                <w:rFonts w:ascii="Times New Roman" w:hAnsi="Times New Roman" w:eastAsia="宋体"/>
                <w:b w:val="0"/>
                <w:i w:val="0"/>
                <w:sz w:val="24"/>
              </w:rPr>
              <w:t xml:space="preserve">，任意真实时间点通过取整映射到槽坐标。策略以半开区间 </w:t>
            </w:r>
            <m:oMath xmlns:mml="http://www.w3.org/1998/Math/MathML">
              <m:r>
                <m:t>[l,r)</m:t>
              </m:r>
            </m:oMath>
            <w:r>
              <w:rPr>
                <w:rFonts w:ascii="Times New Roman" w:hAnsi="Times New Roman" w:eastAsia="宋体"/>
                <w:b w:val="0"/>
                <w:i w:val="0"/>
                <w:sz w:val="24"/>
              </w:rPr>
              <w:t xml:space="preserve"> 表达一段连续允许时间，原始策略是允许重复的区间序列 </w:t>
            </w:r>
            <m:oMath xmlns:mml="http://www.w3.org/1998/Math/MathML">
              <m:r>
                <m:t>P=⟨[</m:t>
              </m:r>
              <m:sSub>
                <m:e>
                  <m:r>
                    <m:t>l</m:t>
                  </m:r>
                </m:e>
                <m:sub>
                  <m:r>
                    <m:t>1</m:t>
                  </m:r>
                </m:sub>
              </m:sSub>
              <m:r>
                <m:t>,</m:t>
              </m:r>
              <m:sSub>
                <m:e>
                  <m:r>
                    <m:t>r</m:t>
                  </m:r>
                </m:e>
                <m:sub>
                  <m:r>
                    <m:t>1</m:t>
                  </m:r>
                </m:sub>
              </m:sSub>
              <m:r>
                <m:t>),…,[</m:t>
              </m:r>
              <m:sSub>
                <m:e>
                  <m:r>
                    <m:t>l</m:t>
                  </m:r>
                </m:e>
                <m:sub>
                  <m:r>
                    <m:t>n</m:t>
                  </m:r>
                </m:sub>
              </m:sSub>
              <m:r>
                <m:t>,</m:t>
              </m:r>
              <m:sSub>
                <m:e>
                  <m:r>
                    <m:t>r</m:t>
                  </m:r>
                </m:e>
                <m:sub>
                  <m:r>
                    <m:t>n</m:t>
                  </m:r>
                </m:sub>
              </m:sSub>
              <m:r>
                <m:t>)⟩</m:t>
              </m:r>
            </m:oMath>
            <w:r>
              <w:rPr>
                <w:rFonts w:ascii="Times New Roman" w:hAnsi="Times New Roman" w:eastAsia="宋体"/>
                <w:b w:val="0"/>
                <w:i w:val="0"/>
                <w:sz w:val="24"/>
              </w:rPr>
              <w:t xml:space="preserve">，其语义定义为允许槽集合 </w:t>
            </w:r>
            <m:oMath xmlns:mml="http://www.w3.org/1998/Math/MathML">
              <m:r>
                <m:t>S(P)=</m:t>
              </m:r>
              <m:nary>
                <m:naryPr>
                  <m:chr m:val="⋃"/>
                  <m:limLoc m:val="subSup"/>
                  <m:grow m:val="1"/>
                  <m:subHide m:val="off"/>
                  <m:supHide m:val="off"/>
                </m:naryPr>
                <m:sub>
                  <m:r>
                    <m:t>i=1</m:t>
                  </m:r>
                </m:sub>
                <m:sup>
                  <m:r>
                    <m:t>n</m:t>
                  </m:r>
                </m:sup>
                <m:e/>
              </m:nary>
              <m:r>
                <m:t>{x∈T∣</m:t>
              </m:r>
              <m:sSub>
                <m:e>
                  <m:r>
                    <m:t>l</m:t>
                  </m:r>
                </m:e>
                <m:sub>
                  <m:r>
                    <m:t>i</m:t>
                  </m:r>
                </m:sub>
              </m:sSub>
              <m:r>
                <m:t>≤x&lt;</m:t>
              </m:r>
              <m:sSub>
                <m:e>
                  <m:r>
                    <m:t>r</m:t>
                  </m:r>
                </m:e>
                <m:sub>
                  <m:r>
                    <m:t>i</m:t>
                  </m:r>
                </m:sub>
              </m:sSub>
              <m:r>
                <m:t>}</m:t>
              </m:r>
            </m:oMath>
            <w:r>
              <w:rPr>
                <w:rFonts w:ascii="Times New Roman" w:hAnsi="Times New Roman" w:eastAsia="宋体"/>
                <w:b w:val="0"/>
                <w:i w:val="0"/>
                <w:sz w:val="24"/>
              </w:rPr>
              <w:t>。该模型以半开区间避免端点归属歧义，以统一粒度保证跨组件计算的确定性，为后续规范化与编码提供公共基础。</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S(P)=</m:t>
              </m:r>
              <m:nary>
                <m:naryPr>
                  <m:chr m:val="⋃"/>
                  <m:limLoc m:val="subSup"/>
                  <m:grow m:val="1"/>
                  <m:subHide m:val="off"/>
                  <m:supHide m:val="off"/>
                </m:naryPr>
                <m:sub>
                  <m:r>
                    <m:t>i=1</m:t>
                  </m:r>
                </m:sub>
                <m:sup>
                  <m:r>
                    <m:t>n</m:t>
                  </m:r>
                </m:sup>
                <m:e/>
              </m:nary>
              <m:r>
                <m:t>{x∈T∣</m:t>
              </m:r>
              <m:sSub>
                <m:e>
                  <m:r>
                    <m:t>l</m:t>
                  </m:r>
                </m:e>
                <m:sub>
                  <m:r>
                    <m:t>i</m:t>
                  </m:r>
                </m:sub>
              </m:sSub>
              <m:r>
                <m:t>≤x&lt;</m:t>
              </m:r>
              <m:sSub>
                <m:e>
                  <m:r>
                    <m:t>r</m:t>
                  </m:r>
                </m:e>
                <m:sub>
                  <m:r>
                    <m:t>i</m:t>
                  </m:r>
                </m:sub>
              </m:sSub>
              <m:r>
                <m:t>}.</m:t>
              </m:r>
            </m:oMath>
            <w:r>
              <w:rPr>
                <w:rFonts w:ascii="Times New Roman" w:hAnsi="Times New Roman" w:eastAsia="宋体"/>
                <w:b w:val="0"/>
                <w:i w:val="0"/>
                <w:sz w:val="21"/>
              </w:rPr>
              <w:tab/>
              <w:t>(1)</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T={0,1,…,U−1}.</m:t>
              </m:r>
            </m:oMath>
            <w:r>
              <w:rPr>
                <w:rFonts w:ascii="Times New Roman" w:hAnsi="Times New Roman" w:eastAsia="宋体"/>
                <w:b w:val="0"/>
                <w:i w:val="0"/>
                <w:sz w:val="21"/>
              </w:rPr>
              <w:tab/>
              <w:t>(2)</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ϕ(t)=⌊</m:t>
              </m:r>
              <m:f>
                <m:fPr>
                  <m:type m:val="bar"/>
                </m:fPr>
                <m:num>
                  <m:r>
                    <m:t>t−</m:t>
                  </m:r>
                  <m:sSub>
                    <m:e>
                      <m:r>
                        <m:t>t</m:t>
                      </m:r>
                    </m:e>
                    <m:sub>
                      <m:r>
                        <m:t>0</m:t>
                      </m:r>
                    </m:sub>
                  </m:sSub>
                </m:num>
                <m:den>
                  <m:r>
                    <m:t>Δ</m:t>
                  </m:r>
                </m:den>
              </m:f>
              <m:r>
                <m:t>⌋.</m:t>
              </m:r>
            </m:oMath>
            <w:r>
              <w:rPr>
                <w:rFonts w:ascii="Times New Roman" w:hAnsi="Times New Roman" w:eastAsia="宋体"/>
                <w:b w:val="0"/>
                <w:i w:val="0"/>
                <w:sz w:val="21"/>
              </w:rPr>
              <w:tab/>
              <w:t>(3)</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𝒟=[</m:t>
              </m:r>
              <m:sSub>
                <m:e>
                  <m:r>
                    <m:t>t</m:t>
                  </m:r>
                </m:e>
                <m:sub>
                  <m:r>
                    <m:t>0</m:t>
                  </m:r>
                </m:sub>
              </m:sSub>
              <m:r>
                <m:t>,</m:t>
              </m:r>
              <m:sSub>
                <m:e>
                  <m:r>
                    <m:t>t</m:t>
                  </m:r>
                </m:e>
                <m:sub>
                  <m:r>
                    <m:t>0</m:t>
                  </m:r>
                </m:sub>
              </m:sSub>
              <m:r>
                <m:t>+UΔ),</m:t>
              </m:r>
            </m:oMath>
            <w:r>
              <w:rPr>
                <w:rFonts w:ascii="Times New Roman" w:hAnsi="Times New Roman" w:eastAsia="宋体"/>
                <w:b w:val="0"/>
                <w:i w:val="0"/>
                <w:sz w:val="21"/>
              </w:rPr>
              <w:tab/>
              <w:t>(4)</w:t>
            </w:r>
          </w:p>
          <w:p>
            <w:pPr>
              <w:spacing w:line="400" w:lineRule="exact" w:before="0" w:after="0"/>
              <w:ind w:firstLineChars="200"/>
            </w:pPr>
            <w:r>
              <w:rPr>
                <w:rFonts w:ascii="Times New Roman" w:hAnsi="Times New Roman" w:eastAsia="宋体"/>
                <w:b w:val="0"/>
                <w:i w:val="0"/>
                <w:sz w:val="24"/>
              </w:rPr>
              <w:t xml:space="preserve">在形式化模型之上，本研究定义唯一语义表示 </w:t>
            </w:r>
            <m:oMath xmlns:mml="http://www.w3.org/1998/Math/MathML">
              <m:sSup>
                <m:e>
                  <m:r>
                    <m:t>I</m:t>
                  </m:r>
                </m:e>
                <m:sup>
                  <m:r>
                    <m:t>*</m:t>
                  </m:r>
                </m:sup>
              </m:sSup>
            </m:oMath>
            <w:r>
              <w:rPr>
                <w:rFonts w:ascii="Times New Roman" w:hAnsi="Times New Roman" w:eastAsia="宋体"/>
                <w:b w:val="0"/>
                <w:i w:val="0"/>
                <w:sz w:val="24"/>
              </w:rPr>
              <w:t xml:space="preserve">：它是允许槽集合的极大连续分量分解，即把策略语义规范化为有序、互不重叠、互不相邻的规范区间序列。规范化过程（Normalize）首先按区间左端点排序，再进行一次线性扫描：若新区间与当前分量相交或相邻，则合并为凸并；否则结束当前分量并开始新的分量。重复区间、嵌套区间与相邻区间由同一合并条件自然消除，输入对象不被修改，输出仅依赖允许槽集合而不依赖输入序列的书写方式。据此，任意等义输入都映射到同一 </w:t>
            </w:r>
            <m:oMath xmlns:mml="http://www.w3.org/1998/Math/MathML">
              <m:sSup>
                <m:e>
                  <m:r>
                    <m:t>I</m:t>
                  </m:r>
                </m:e>
                <m:sup>
                  <m:r>
                    <m:t>*</m:t>
                  </m:r>
                </m:sup>
              </m:sSup>
            </m:oMath>
            <w:r>
              <w:rPr>
                <w:rFonts w:ascii="Times New Roman" w:hAnsi="Times New Roman" w:eastAsia="宋体"/>
                <w:b w:val="0"/>
                <w:i w:val="0"/>
                <w:sz w:val="24"/>
              </w:rPr>
              <w:t>，从而获得语义上的唯一性。</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算法1 非连续时间策略规范化（Normalize</w:t>
            </w:r>
          </w:p>
          <w:p>
            <w:pPr>
              <w:spacing w:line="400" w:lineRule="exact" w:before="0" w:after="0"/>
              <w:ind w:firstLineChars="200"/>
            </w:pPr>
            <w:r>
              <w:rPr>
                <w:rFonts w:ascii="Times New Roman" w:hAnsi="Times New Roman" w:eastAsia="宋体"/>
                <w:b w:val="0"/>
                <w:i w:val="0"/>
                <w:sz w:val="24"/>
              </w:rPr>
              <w:t>输入：已离散化区间序列 P，时间域 T={0,1,…,U-1}</w:t>
            </w:r>
          </w:p>
          <w:p>
            <w:pPr>
              <w:spacing w:line="400" w:lineRule="exact" w:before="0" w:after="0"/>
              <w:ind w:firstLineChars="200"/>
            </w:pPr>
            <w:r>
              <w:rPr>
                <w:rFonts w:ascii="Times New Roman" w:hAnsi="Times New Roman" w:eastAsia="宋体"/>
                <w:b w:val="0"/>
                <w:i w:val="0"/>
                <w:sz w:val="24"/>
              </w:rPr>
              <w:t>输出：规范区间序列 I*</w:t>
            </w:r>
          </w:p>
          <w:p>
            <w:pPr>
              <w:spacing w:line="400" w:lineRule="exact" w:before="0" w:after="0"/>
              <w:ind w:firstLineChars="200"/>
            </w:pPr>
            <w:r>
              <w:rPr>
                <w:rFonts w:ascii="Times New Roman" w:hAnsi="Times New Roman" w:eastAsia="宋体"/>
                <w:b w:val="0"/>
                <w:i w:val="0"/>
                <w:sz w:val="24"/>
              </w:rPr>
              <w:t>1: 将 P 中每个区间按左端点升序排序，同左端点按右端点升序</w:t>
            </w:r>
          </w:p>
          <w:p>
            <w:pPr>
              <w:spacing w:line="400" w:lineRule="exact" w:before="0" w:after="0"/>
              <w:ind w:firstLineChars="200"/>
            </w:pPr>
            <w:r>
              <w:rPr>
                <w:rFonts w:ascii="Times New Roman" w:hAnsi="Times New Roman" w:eastAsia="宋体"/>
                <w:b w:val="0"/>
                <w:i w:val="0"/>
                <w:sz w:val="24"/>
              </w:rPr>
              <w:t>2: 初始化空分量序列 cur ← []</w:t>
            </w:r>
          </w:p>
          <w:p>
            <w:pPr>
              <w:spacing w:line="400" w:lineRule="exact" w:before="0" w:after="0"/>
              <w:ind w:firstLineChars="200"/>
            </w:pPr>
            <w:r>
              <w:rPr>
                <w:rFonts w:ascii="Times New Roman" w:hAnsi="Times New Roman" w:eastAsia="宋体"/>
                <w:b w:val="0"/>
                <w:i w:val="0"/>
                <w:sz w:val="24"/>
              </w:rPr>
              <w:t>3: FOR EACH 区间 [l,r) ∈ 排序后序列 DO</w:t>
            </w:r>
          </w:p>
          <w:p>
            <w:pPr>
              <w:spacing w:line="400" w:lineRule="exact" w:before="0" w:after="0"/>
              <w:ind w:firstLineChars="200"/>
            </w:pPr>
            <w:r>
              <w:rPr>
                <w:rFonts w:ascii="Times New Roman" w:hAnsi="Times New Roman" w:eastAsia="宋体"/>
                <w:b w:val="0"/>
                <w:i w:val="0"/>
                <w:sz w:val="24"/>
              </w:rPr>
              <w:t>4:   IF cur 非空 AND l ≤ cur.right 或 l = cur.right THEN</w:t>
            </w:r>
          </w:p>
          <w:p>
            <w:pPr>
              <w:spacing w:line="400" w:lineRule="exact" w:before="0" w:after="0"/>
              <w:ind w:firstLineChars="200"/>
            </w:pPr>
            <w:r>
              <w:rPr>
                <w:rFonts w:ascii="Times New Roman" w:hAnsi="Times New Roman" w:eastAsia="宋体"/>
                <w:b w:val="0"/>
                <w:i w:val="0"/>
                <w:sz w:val="24"/>
              </w:rPr>
              <w:t>5:     cur.right ← max(cur.right, r)   /* 合并相交或相邻区间 */</w:t>
            </w:r>
          </w:p>
          <w:p>
            <w:pPr>
              <w:spacing w:line="400" w:lineRule="exact" w:before="0" w:after="0"/>
              <w:ind w:firstLineChars="200"/>
            </w:pPr>
            <w:r>
              <w:rPr>
                <w:rFonts w:ascii="Times New Roman" w:hAnsi="Times New Roman" w:eastAsia="宋体"/>
                <w:b w:val="0"/>
                <w:i w:val="0"/>
                <w:sz w:val="24"/>
              </w:rPr>
              <w:t>6:   ELSE</w:t>
            </w:r>
          </w:p>
          <w:p>
            <w:pPr>
              <w:spacing w:line="400" w:lineRule="exact" w:before="0" w:after="0"/>
              <w:ind w:firstLineChars="200"/>
            </w:pPr>
            <w:r>
              <w:rPr>
                <w:rFonts w:ascii="Times New Roman" w:hAnsi="Times New Roman" w:eastAsia="宋体"/>
                <w:b w:val="0"/>
                <w:i w:val="0"/>
                <w:sz w:val="24"/>
              </w:rPr>
              <w:t>7:     将 cur 加入 I</w:t>
            </w:r>
            <w:r>
              <w:rPr>
                <w:rFonts w:ascii="Times New Roman" w:hAnsi="Times New Roman" w:eastAsia="宋体"/>
                <w:b w:val="0"/>
                <w:i/>
                <w:sz w:val="24"/>
              </w:rPr>
              <w:t>；cur ← [l,r)      /</w:t>
            </w:r>
            <w:r>
              <w:rPr>
                <w:rFonts w:ascii="Times New Roman" w:hAnsi="Times New Roman" w:eastAsia="宋体"/>
                <w:b w:val="0"/>
                <w:i w:val="0"/>
                <w:sz w:val="24"/>
              </w:rPr>
              <w:t xml:space="preserve"> 开始新分量 */</w:t>
            </w:r>
          </w:p>
          <w:p>
            <w:pPr>
              <w:spacing w:line="400" w:lineRule="exact" w:before="0" w:after="0"/>
              <w:ind w:firstLineChars="200"/>
            </w:pPr>
            <w:r>
              <w:rPr>
                <w:rFonts w:ascii="Times New Roman" w:hAnsi="Times New Roman" w:eastAsia="宋体"/>
                <w:b w:val="0"/>
                <w:i w:val="0"/>
                <w:sz w:val="24"/>
              </w:rPr>
              <w:t>8:   END IF</w:t>
            </w:r>
          </w:p>
          <w:p>
            <w:pPr>
              <w:spacing w:line="400" w:lineRule="exact" w:before="0" w:after="0"/>
              <w:ind w:firstLineChars="200"/>
            </w:pPr>
            <w:r>
              <w:rPr>
                <w:rFonts w:ascii="Times New Roman" w:hAnsi="Times New Roman" w:eastAsia="宋体"/>
                <w:b w:val="0"/>
                <w:i w:val="0"/>
                <w:sz w:val="24"/>
              </w:rPr>
              <w:t>9: END FOR</w:t>
            </w:r>
          </w:p>
          <w:p>
            <w:pPr>
              <w:spacing w:line="400" w:lineRule="exact" w:before="0" w:after="0"/>
              <w:ind w:firstLineChars="200"/>
            </w:pPr>
            <w:r>
              <w:rPr>
                <w:rFonts w:ascii="Times New Roman" w:hAnsi="Times New Roman" w:eastAsia="宋体"/>
                <w:b w:val="0"/>
                <w:i w:val="0"/>
                <w:sz w:val="24"/>
              </w:rPr>
              <w:t>10: 将最后一个 cur 加入 I*</w:t>
            </w:r>
          </w:p>
          <w:p>
            <w:pPr>
              <w:spacing w:line="400" w:lineRule="exact" w:before="0" w:after="0"/>
              <w:ind w:firstLineChars="200"/>
            </w:pPr>
            <w:r>
              <w:rPr>
                <w:rFonts w:ascii="Times New Roman" w:hAnsi="Times New Roman" w:eastAsia="宋体"/>
                <w:b w:val="0"/>
                <w:i w:val="0"/>
                <w:sz w:val="24"/>
              </w:rPr>
              <w:t>11: 返回 I*  /* 有序、互斥、互不相邻 */</w:t>
            </w:r>
          </w:p>
          <w:p>
            <w:pPr>
              <w:spacing w:line="400" w:lineRule="exact" w:before="0" w:after="0"/>
              <w:ind w:firstLineChars="200"/>
            </w:pPr>
            <w:r>
              <w:rPr>
                <w:rFonts w:ascii="Times New Roman" w:hAnsi="Times New Roman" w:eastAsia="宋体"/>
                <w:b w:val="0"/>
                <w:i w:val="0"/>
                <w:sz w:val="24"/>
              </w:rPr>
              <w:t>算法结束</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sSup>
                <m:e>
                  <m:r>
                    <m:t>I</m:t>
                  </m:r>
                </m:e>
                <m:sup>
                  <m:r>
                    <m:t>*</m:t>
                  </m:r>
                </m:sup>
              </m:sSup>
              <m:r>
                <m:t>=Normalize(P)=⟨[</m:t>
              </m:r>
              <m:sSub>
                <m:e>
                  <m:r>
                    <m:t>a</m:t>
                  </m:r>
                </m:e>
                <m:sub>
                  <m:r>
                    <m:t>1</m:t>
                  </m:r>
                </m:sub>
              </m:sSub>
              <m:r>
                <m:t>,</m:t>
              </m:r>
              <m:sSub>
                <m:e>
                  <m:r>
                    <m:t>b</m:t>
                  </m:r>
                </m:e>
                <m:sub>
                  <m:r>
                    <m:t>1</m:t>
                  </m:r>
                </m:sub>
              </m:sSub>
              <m:r>
                <m:t>),…,[</m:t>
              </m:r>
              <m:sSub>
                <m:e>
                  <m:r>
                    <m:t>a</m:t>
                  </m:r>
                </m:e>
                <m:sub>
                  <m:r>
                    <m:t>k</m:t>
                  </m:r>
                </m:sub>
              </m:sSub>
              <m:r>
                <m:t>,</m:t>
              </m:r>
              <m:sSub>
                <m:e>
                  <m:r>
                    <m:t>b</m:t>
                  </m:r>
                </m:e>
                <m:sub>
                  <m:r>
                    <m:t>k</m:t>
                  </m:r>
                </m:sub>
              </m:sSub>
              <m:r>
                <m:t>)⟩.</m:t>
              </m:r>
            </m:oMath>
            <w:r>
              <w:rPr>
                <w:rFonts w:ascii="Times New Roman" w:hAnsi="Times New Roman" w:eastAsia="宋体"/>
                <w:b w:val="0"/>
                <w:i w:val="0"/>
                <w:sz w:val="21"/>
              </w:rPr>
              <w:tab/>
              <w:t>(5)</w:t>
            </w:r>
          </w:p>
          <w:p>
            <w:pPr>
              <w:spacing w:line="400" w:lineRule="exact" w:before="0" w:after="0"/>
              <w:ind w:firstLineChars="200"/>
            </w:pPr>
            <w:r>
              <w:rPr>
                <w:rFonts w:ascii="Times New Roman" w:hAnsi="Times New Roman" w:eastAsia="宋体"/>
                <w:b w:val="0"/>
                <w:i w:val="0"/>
                <w:sz w:val="24"/>
              </w:rPr>
              <w:t xml:space="preserve">除语义表示外，研究还构造了层次执行表示 </w:t>
            </w:r>
            <m:oMath xmlns:mml="http://www.w3.org/1998/Math/MathML">
              <m:r>
                <m:t>C(P)</m:t>
              </m:r>
            </m:oMath>
            <w:r>
              <w:rPr>
                <w:rFonts w:ascii="Times New Roman" w:hAnsi="Times New Roman" w:eastAsia="宋体"/>
                <w:b w:val="0"/>
                <w:i w:val="0"/>
                <w:sz w:val="24"/>
              </w:rPr>
              <w:t xml:space="preserve">：以二进制对齐节点（起点可被长度整除、长度为 2 的幂的半开区间）对规范区间进行最大分解。算法从左至右为每个未覆盖左端点选择当前位置可用的最大对齐块；若该块超过剩余长度，则持续右移缩小，直至完全位于源区间内。所得节点集合两两互斥、首尾相接且并集等于源区间，覆盖的节点总数记为 </w:t>
            </w:r>
            <m:oMath xmlns:mml="http://www.w3.org/1998/Math/MathML">
              <m:r>
                <m:t>c</m:t>
              </m:r>
            </m:oMath>
            <w:r>
              <w:rPr>
                <w:rFonts w:ascii="Times New Roman" w:hAnsi="Times New Roman" w:eastAsia="宋体"/>
                <w:b w:val="0"/>
                <w:i w:val="0"/>
                <w:sz w:val="24"/>
              </w:rPr>
              <w:t>。</w:t>
            </w:r>
            <m:oMath xmlns:mml="http://www.w3.org/1998/Math/MathML">
              <m:r>
                <m:t>C(P)</m:t>
              </m:r>
            </m:oMath>
            <w:r>
              <w:rPr>
                <w:rFonts w:ascii="Times New Roman" w:hAnsi="Times New Roman" w:eastAsia="宋体"/>
                <w:b w:val="0"/>
                <w:i w:val="0"/>
                <w:sz w:val="24"/>
              </w:rPr>
              <w:t xml:space="preserve"> 为后续可能的节点级授权、缓存键与聚合接口提供确定性的层次节点标识，但它不参与策略语义与摘要的定义。本文明确区分两种表示的职责：</w:t>
            </w:r>
            <m:oMath xmlns:mml="http://www.w3.org/1998/Math/MathML">
              <m:sSup>
                <m:e>
                  <m:r>
                    <m:t>I</m:t>
                  </m:r>
                </m:e>
                <m:sup>
                  <m:r>
                    <m:t>*</m:t>
                  </m:r>
                </m:sup>
              </m:sSup>
            </m:oMath>
            <w:r>
              <w:rPr>
                <w:rFonts w:ascii="Times New Roman" w:hAnsi="Times New Roman" w:eastAsia="宋体"/>
                <w:b w:val="0"/>
                <w:i w:val="0"/>
                <w:sz w:val="24"/>
              </w:rPr>
              <w:t xml:space="preserve"> 是主语义表示，负责表达语义、生成摘要与支持普通匹配；</w:t>
            </w:r>
            <m:oMath xmlns:mml="http://www.w3.org/1998/Math/MathML">
              <m:r>
                <m:t>C(P)</m:t>
              </m:r>
            </m:oMath>
            <w:r>
              <w:rPr>
                <w:rFonts w:ascii="Times New Roman" w:hAnsi="Times New Roman" w:eastAsia="宋体"/>
                <w:b w:val="0"/>
                <w:i w:val="0"/>
                <w:sz w:val="24"/>
              </w:rPr>
              <w:t xml:space="preserve"> 是派生执行表示，负责提供层次结构，且可以随时由 </w:t>
            </w:r>
            <m:oMath xmlns:mml="http://www.w3.org/1998/Math/MathML">
              <m:sSup>
                <m:e>
                  <m:r>
                    <m:t>I</m:t>
                  </m:r>
                </m:e>
                <m:sup>
                  <m:r>
                    <m:t>*</m:t>
                  </m:r>
                </m:sup>
              </m:sSup>
            </m:oMath>
            <w:r>
              <w:rPr>
                <w:rFonts w:ascii="Times New Roman" w:hAnsi="Times New Roman" w:eastAsia="宋体"/>
                <w:b w:val="0"/>
                <w:i w:val="0"/>
                <w:sz w:val="24"/>
              </w:rPr>
              <w:t xml:space="preserve"> 再生成。</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算法2 Dyadic 层次覆盖生成（Cover</w:t>
            </w:r>
          </w:p>
          <w:p>
            <w:pPr>
              <w:spacing w:line="400" w:lineRule="exact" w:before="0" w:after="0"/>
              <w:ind w:firstLineChars="200"/>
            </w:pPr>
            <w:r>
              <w:rPr>
                <w:rFonts w:ascii="Times New Roman" w:hAnsi="Times New Roman" w:eastAsia="宋体"/>
                <w:b w:val="0"/>
                <w:i w:val="0"/>
                <w:sz w:val="24"/>
              </w:rPr>
              <w:t>输入：规范区间 I=[l,r)，槽总数 U（L=2^⌈log2 U⌉）</w:t>
            </w:r>
          </w:p>
          <w:p>
            <w:pPr>
              <w:spacing w:line="400" w:lineRule="exact" w:before="0" w:after="0"/>
              <w:ind w:firstLineChars="200"/>
            </w:pPr>
            <w:r>
              <w:rPr>
                <w:rFonts w:ascii="Times New Roman" w:hAnsi="Times New Roman" w:eastAsia="宋体"/>
                <w:b w:val="0"/>
                <w:i w:val="0"/>
                <w:sz w:val="24"/>
              </w:rPr>
              <w:t>输出：最大对齐覆盖节点集合 C</w:t>
            </w:r>
          </w:p>
          <w:p>
            <w:pPr>
              <w:spacing w:line="400" w:lineRule="exact" w:before="0" w:after="0"/>
              <w:ind w:firstLineChars="200"/>
            </w:pPr>
            <w:r>
              <w:rPr>
                <w:rFonts w:ascii="Times New Roman" w:hAnsi="Times New Roman" w:eastAsia="宋体"/>
                <w:b w:val="0"/>
                <w:i w:val="0"/>
                <w:sz w:val="24"/>
              </w:rPr>
              <w:t>1: 初始化 C ← ∅，pos ← l</w:t>
            </w:r>
          </w:p>
          <w:p>
            <w:pPr>
              <w:spacing w:line="400" w:lineRule="exact" w:before="0" w:after="0"/>
              <w:ind w:firstLineChars="200"/>
            </w:pPr>
            <w:r>
              <w:rPr>
                <w:rFonts w:ascii="Times New Roman" w:hAnsi="Times New Roman" w:eastAsia="宋体"/>
                <w:b w:val="0"/>
                <w:i w:val="0"/>
                <w:sz w:val="24"/>
              </w:rPr>
              <w:t>2: WHILE pos &lt; r DO</w:t>
            </w:r>
          </w:p>
          <w:p>
            <w:pPr>
              <w:spacing w:line="400" w:lineRule="exact" w:before="0" w:after="0"/>
              <w:ind w:firstLineChars="200"/>
            </w:pPr>
            <w:r>
              <w:rPr>
                <w:rFonts w:ascii="Times New Roman" w:hAnsi="Times New Roman" w:eastAsia="宋体"/>
                <w:b w:val="0"/>
                <w:i w:val="0"/>
                <w:sz w:val="24"/>
              </w:rPr>
              <w:t>3:   size ← 当前位置可用的最大 2 的幂对齐块</w:t>
            </w:r>
          </w:p>
          <w:p>
            <w:pPr>
              <w:spacing w:line="400" w:lineRule="exact" w:before="0" w:after="0"/>
              <w:ind w:firstLineChars="200"/>
            </w:pPr>
            <w:r>
              <w:rPr>
                <w:rFonts w:ascii="Times New Roman" w:hAnsi="Times New Roman" w:eastAsia="宋体"/>
                <w:b w:val="0"/>
                <w:i w:val="0"/>
                <w:sz w:val="24"/>
              </w:rPr>
              <w:t>4:   WHILE size &gt; r-pos DO size ← size ≫ 1  /* 不超过剩余长度 */</w:t>
            </w:r>
          </w:p>
          <w:p>
            <w:pPr>
              <w:spacing w:line="400" w:lineRule="exact" w:before="0" w:after="0"/>
              <w:ind w:firstLineChars="200"/>
            </w:pPr>
            <w:r>
              <w:rPr>
                <w:rFonts w:ascii="Times New Roman" w:hAnsi="Times New Roman" w:eastAsia="宋体"/>
                <w:b w:val="0"/>
                <w:i w:val="0"/>
                <w:sz w:val="24"/>
              </w:rPr>
              <w:t>5:   将节点 (pos,size) 加入 C</w:t>
            </w:r>
          </w:p>
          <w:p>
            <w:pPr>
              <w:spacing w:line="400" w:lineRule="exact" w:before="0" w:after="0"/>
              <w:ind w:firstLineChars="200"/>
            </w:pPr>
            <w:r>
              <w:rPr>
                <w:rFonts w:ascii="Times New Roman" w:hAnsi="Times New Roman" w:eastAsia="宋体"/>
                <w:b w:val="0"/>
                <w:i w:val="0"/>
                <w:sz w:val="24"/>
              </w:rPr>
              <w:t>6:   pos ← pos + size</w:t>
            </w:r>
          </w:p>
          <w:p>
            <w:pPr>
              <w:spacing w:line="400" w:lineRule="exact" w:before="0" w:after="0"/>
              <w:ind w:firstLineChars="200"/>
            </w:pPr>
            <w:r>
              <w:rPr>
                <w:rFonts w:ascii="Times New Roman" w:hAnsi="Times New Roman" w:eastAsia="宋体"/>
                <w:b w:val="0"/>
                <w:i w:val="0"/>
                <w:sz w:val="24"/>
              </w:rPr>
              <w:t>7: END WHILE</w:t>
            </w:r>
          </w:p>
          <w:p>
            <w:pPr>
              <w:spacing w:line="400" w:lineRule="exact" w:before="0" w:after="0"/>
              <w:ind w:firstLineChars="200"/>
            </w:pPr>
            <w:r>
              <w:rPr>
                <w:rFonts w:ascii="Times New Roman" w:hAnsi="Times New Roman" w:eastAsia="宋体"/>
                <w:b w:val="0"/>
                <w:i w:val="0"/>
                <w:sz w:val="24"/>
              </w:rPr>
              <w:t>8: 返回 C  /* 节点互斥、首尾相接、并集等于 I */</w:t>
            </w:r>
          </w:p>
          <w:p>
            <w:pPr>
              <w:spacing w:line="400" w:lineRule="exact" w:before="0" w:after="0"/>
              <w:ind w:firstLineChars="200"/>
            </w:pPr>
            <w:r>
              <w:rPr>
                <w:rFonts w:ascii="Times New Roman" w:hAnsi="Times New Roman" w:eastAsia="宋体"/>
                <w:b w:val="0"/>
                <w:i w:val="0"/>
                <w:sz w:val="24"/>
              </w:rPr>
              <w:t>算法结束</w:t>
            </w:r>
          </w:p>
          <w:p>
            <w:pPr>
              <w:keepNext/>
              <w:spacing w:line="240" w:lineRule="auto" w:before="120" w:after="0"/>
              <w:jc w:val="center"/>
            </w:pPr>
            <w:r>
              <w:drawing>
                <wp:inline xmlns:a="http://schemas.openxmlformats.org/drawingml/2006/main" xmlns:pic="http://schemas.openxmlformats.org/drawingml/2006/picture">
                  <wp:extent cx="4680000" cy="2397073"/>
                  <wp:docPr id="2" name="Picture 2"/>
                  <wp:cNvGraphicFramePr>
                    <a:graphicFrameLocks noChangeAspect="1"/>
                  </wp:cNvGraphicFramePr>
                  <a:graphic>
                    <a:graphicData uri="http://schemas.openxmlformats.org/drawingml/2006/picture">
                      <pic:pic>
                        <pic:nvPicPr>
                          <pic:cNvPr id="0" name="m4-fig2-ir.png"/>
                          <pic:cNvPicPr/>
                        </pic:nvPicPr>
                        <pic:blipFill>
                          <a:blip r:embed="rId24"/>
                          <a:stretch>
                            <a:fillRect/>
                          </a:stretch>
                        </pic:blipFill>
                        <pic:spPr>
                          <a:xfrm>
                            <a:off x="0" y="0"/>
                            <a:ext cx="4680000" cy="2397073"/>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图2 语义主表示—摘要—派生执行IR关系</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C(P)=</m:t>
              </m:r>
              <m:nary>
                <m:naryPr>
                  <m:chr m:val="⋃"/>
                  <m:limLoc m:val="subSup"/>
                  <m:grow m:val="1"/>
                  <m:subHide m:val="off"/>
                  <m:supHide m:val="on"/>
                </m:naryPr>
                <m:sub>
                  <m:r>
                    <m:t>I∈</m:t>
                  </m:r>
                  <m:sSup>
                    <m:e>
                      <m:r>
                        <m:t>I</m:t>
                      </m:r>
                    </m:e>
                    <m:sup>
                      <m:r>
                        <m:t>*</m:t>
                      </m:r>
                    </m:sup>
                  </m:sSup>
                </m:sub>
                <m:sup/>
                <m:e/>
              </m:nary>
              <m:r>
                <m:t>C(I),</m:t>
              </m:r>
              <m:r>
                <m:t>c=|C(P)|.</m:t>
              </m:r>
            </m:oMath>
            <w:r>
              <w:rPr>
                <w:rFonts w:ascii="Times New Roman" w:hAnsi="Times New Roman" w:eastAsia="宋体"/>
                <w:b w:val="0"/>
                <w:i w:val="0"/>
                <w:sz w:val="21"/>
              </w:rPr>
              <w:tab/>
              <w:t>(6)</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D(j,s)=[j</m:t>
              </m:r>
              <m:sSup>
                <m:e>
                  <m:r>
                    <m:t>2</m:t>
                  </m:r>
                </m:e>
                <m:sup>
                  <m:r>
                    <m:t>s</m:t>
                  </m:r>
                </m:sup>
              </m:sSup>
              <m:r>
                <m:t>,(j+1)</m:t>
              </m:r>
              <m:sSup>
                <m:e>
                  <m:r>
                    <m:t>2</m:t>
                  </m:r>
                </m:e>
                <m:sup>
                  <m:r>
                    <m:t>s</m:t>
                  </m:r>
                </m:sup>
              </m:sSup>
              <m:r>
                <m:t>).</m:t>
              </m:r>
            </m:oMath>
            <w:r>
              <w:rPr>
                <w:rFonts w:ascii="Times New Roman" w:hAnsi="Times New Roman" w:eastAsia="宋体"/>
                <w:b w:val="0"/>
                <w:i w:val="0"/>
                <w:sz w:val="21"/>
              </w:rPr>
              <w:tab/>
              <w:t>(7)</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L=</m:t>
              </m:r>
              <m:sSup>
                <m:e>
                  <m:r>
                    <m:t>2</m:t>
                  </m:r>
                </m:e>
                <m:sup>
                  <m:r>
                    <m:t>⌈</m:t>
                  </m:r>
                  <m:sSub>
                    <m:e>
                      <m:r>
                        <m:rPr>
                          <m:sty m:val="p"/>
                        </m:rPr>
                        <m:t>log</m:t>
                      </m:r>
                    </m:e>
                    <m:sub>
                      <m:r>
                        <m:t>2</m:t>
                      </m:r>
                    </m:sub>
                  </m:sSub>
                  <m:r>
                    <m:t>U⌉</m:t>
                  </m:r>
                </m:sup>
              </m:sSup>
              <m:r>
                <m:t>.</m:t>
              </m:r>
            </m:oMath>
            <w:r>
              <w:rPr>
                <w:rFonts w:ascii="Times New Roman" w:hAnsi="Times New Roman" w:eastAsia="宋体"/>
                <w:b w:val="0"/>
                <w:i w:val="0"/>
                <w:sz w:val="21"/>
              </w:rPr>
              <w:tab/>
              <w:t>(8)</w:t>
            </w:r>
          </w:p>
          <w:p>
            <w:pPr>
              <w:spacing w:line="400" w:lineRule="exact" w:before="0" w:after="0"/>
              <w:ind w:firstLineChars="200"/>
            </w:pPr>
            <w:r>
              <w:rPr>
                <w:rFonts w:ascii="Times New Roman" w:hAnsi="Times New Roman" w:eastAsia="宋体"/>
                <w:b w:val="0"/>
                <w:i w:val="0"/>
                <w:sz w:val="24"/>
              </w:rPr>
              <w:t xml:space="preserve">为保证跨组件摘要一致，研究设计了 NTP1 固定宽度大端编码：规范字节串由 magic、schema、时区起点、粒度、时间域大小、区间数量与区间列表等字段按固定顺序和宽度编码，序列化器拒绝微秒未对齐起点、非整秒粒度、非法字段范围、越界或非规范区间；解码后重新调用编码器验证规范性，降低编码与校验规则分叉的风险。策略摘要定义为 </w:t>
            </w:r>
            <m:oMath xmlns:mml="http://www.w3.org/1998/Math/MathML">
              <m:r>
                <m:t>pd=</m:t>
              </m:r>
              <m:r>
                <m:rPr>
                  <m:sty m:val="p"/>
                </m:rPr>
                <m:t>SHA</m:t>
              </m:r>
              <m:r>
                <m:t>256</m:t>
              </m:r>
              <m:r>
                <m:t>(B(P))</m:t>
              </m:r>
            </m:oMath>
            <w:r>
              <w:rPr>
                <w:rFonts w:ascii="Times New Roman" w:hAnsi="Times New Roman" w:eastAsia="宋体"/>
                <w:b w:val="0"/>
                <w:i w:val="0"/>
                <w:sz w:val="24"/>
              </w:rPr>
              <w:t xml:space="preserve">，其中 </w:t>
            </w:r>
            <m:oMath xmlns:mml="http://www.w3.org/1998/Math/MathML">
              <m:r>
                <m:t>B(P)</m:t>
              </m:r>
            </m:oMath>
            <w:r>
              <w:rPr>
                <w:rFonts w:ascii="Times New Roman" w:hAnsi="Times New Roman" w:eastAsia="宋体"/>
                <w:b w:val="0"/>
                <w:i w:val="0"/>
                <w:sz w:val="24"/>
              </w:rPr>
              <w:t xml:space="preserve"> 为规范字节串。摘要绑定时间解释环境与 </w:t>
            </w:r>
            <m:oMath xmlns:mml="http://www.w3.org/1998/Math/MathML">
              <m:sSup>
                <m:e>
                  <m:r>
                    <m:t>I</m:t>
                  </m:r>
                </m:e>
                <m:sup>
                  <m:r>
                    <m:t>*</m:t>
                  </m:r>
                </m:sup>
              </m:sSup>
            </m:oMath>
            <w:r>
              <w:rPr>
                <w:rFonts w:ascii="Times New Roman" w:hAnsi="Times New Roman" w:eastAsia="宋体"/>
                <w:b w:val="0"/>
                <w:i w:val="0"/>
                <w:sz w:val="24"/>
              </w:rPr>
              <w:t xml:space="preserve">，而不绑定 </w:t>
            </w:r>
            <m:oMath xmlns:mml="http://www.w3.org/1998/Math/MathML">
              <m:r>
                <m:t>C(P)</m:t>
              </m:r>
            </m:oMath>
            <w:r>
              <w:rPr>
                <w:rFonts w:ascii="Times New Roman" w:hAnsi="Times New Roman" w:eastAsia="宋体"/>
                <w:b w:val="0"/>
                <w:i w:val="0"/>
                <w:sz w:val="24"/>
              </w:rPr>
              <w:t xml:space="preserve">，原因在于 </w:t>
            </w:r>
            <m:oMath xmlns:mml="http://www.w3.org/1998/Math/MathML">
              <m:sSup>
                <m:e>
                  <m:r>
                    <m:t>I</m:t>
                  </m:r>
                </m:e>
                <m:sup>
                  <m:r>
                    <m:t>*</m:t>
                  </m:r>
                </m:sup>
              </m:sSup>
            </m:oMath>
            <w:r>
              <w:rPr>
                <w:rFonts w:ascii="Times New Roman" w:hAnsi="Times New Roman" w:eastAsia="宋体"/>
                <w:b w:val="0"/>
                <w:i w:val="0"/>
                <w:sz w:val="24"/>
              </w:rPr>
              <w:t xml:space="preserve"> 直接表达策略语义，只要语义、起点、粒度和时间域不变，执行层更换索引或覆盖实现不应改变链上或协议中的策略标识。</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pd=</m:t>
              </m:r>
              <m:r>
                <m:t>SHA256</m:t>
              </m:r>
              <m:r>
                <m:t>(B(P)).</m:t>
              </m:r>
            </m:oMath>
            <w:r>
              <w:rPr>
                <w:rFonts w:ascii="Times New Roman" w:hAnsi="Times New Roman" w:eastAsia="宋体"/>
                <w:b w:val="0"/>
                <w:i w:val="0"/>
                <w:sz w:val="21"/>
              </w:rPr>
              <w:tab/>
              <w:t>(9)</w:t>
            </w:r>
          </w:p>
          <w:p>
            <w:pPr>
              <w:spacing w:line="400" w:lineRule="exact" w:before="0" w:after="0"/>
              <w:ind w:firstLineChars="200"/>
            </w:pPr>
            <w:r>
              <w:rPr>
                <w:rFonts w:ascii="Times New Roman" w:hAnsi="Times New Roman" w:eastAsia="宋体"/>
                <w:b w:val="0"/>
                <w:i w:val="0"/>
                <w:sz w:val="24"/>
              </w:rPr>
              <w:t xml:space="preserve">上述流程的正确性建立在若干分析结论之上：规范化保持允许槽集合不变，且输出唯一；层次覆盖完整覆盖源区间且节点互斥；规范序列在固定时间解释环境下唯一；确定性哈希对相同字节输入输出相同摘要。研究同时给出输出敏感复杂度刻画：整体编译复杂度为 </w:t>
            </w:r>
            <m:oMath xmlns:mml="http://www.w3.org/1998/Math/MathML">
              <m:r>
                <m:t>O(n</m:t>
              </m:r>
              <m:r>
                <m:rPr>
                  <m:sty m:val="p"/>
                </m:rPr>
                <m:t>log</m:t>
              </m:r>
              <m:r>
                <m:t>n+c)</m:t>
              </m:r>
            </m:oMath>
            <w:r>
              <w:rPr>
                <w:rFonts w:ascii="Times New Roman" w:hAnsi="Times New Roman" w:eastAsia="宋体"/>
                <w:b w:val="0"/>
                <w:i w:val="0"/>
                <w:sz w:val="24"/>
              </w:rPr>
              <w:t xml:space="preserve">，其中 </w:t>
            </w:r>
            <m:oMath xmlns:mml="http://www.w3.org/1998/Math/MathML">
              <m:r>
                <m:t>n</m:t>
              </m:r>
            </m:oMath>
            <w:r>
              <w:rPr>
                <w:rFonts w:ascii="Times New Roman" w:hAnsi="Times New Roman" w:eastAsia="宋体"/>
                <w:b w:val="0"/>
                <w:i w:val="0"/>
                <w:sz w:val="24"/>
              </w:rPr>
              <w:t xml:space="preserve"> 为原始区间数，</w:t>
            </w:r>
            <m:oMath xmlns:mml="http://www.w3.org/1998/Math/MathML">
              <m:r>
                <m:t>c</m:t>
              </m:r>
            </m:oMath>
            <w:r>
              <w:rPr>
                <w:rFonts w:ascii="Times New Roman" w:hAnsi="Times New Roman" w:eastAsia="宋体"/>
                <w:b w:val="0"/>
                <w:i w:val="0"/>
                <w:sz w:val="24"/>
              </w:rPr>
              <w:t xml:space="preserve"> 为覆盖节点数；该式表示复杂度由实际输出规模决定，不意味着任意非连续策略具有对数级表示。对于由 </w:t>
            </w:r>
            <m:oMath xmlns:mml="http://www.w3.org/1998/Math/MathML">
              <m:r>
                <m:t>k</m:t>
              </m:r>
            </m:oMath>
            <w:r>
              <w:rPr>
                <w:rFonts w:ascii="Times New Roman" w:hAnsi="Times New Roman" w:eastAsia="宋体"/>
                <w:b w:val="0"/>
                <w:i w:val="0"/>
                <w:sz w:val="24"/>
              </w:rPr>
              <w:t xml:space="preserve"> 个彼此隔离的单槽构成的策略，任何保持独立分量的表示至少需要 </w:t>
            </w:r>
            <m:oMath xmlns:mml="http://www.w3.org/1998/Math/MathML">
              <m:r>
                <m:t>Ω(k)</m:t>
              </m:r>
            </m:oMath>
            <w:r>
              <w:rPr>
                <w:rFonts w:ascii="Times New Roman" w:hAnsi="Times New Roman" w:eastAsia="宋体"/>
                <w:b w:val="0"/>
                <w:i w:val="0"/>
                <w:sz w:val="24"/>
              </w:rPr>
              <w:t xml:space="preserve"> 个信息单元，层次覆盖在该情形下同样达到 </w:t>
            </w:r>
            <m:oMath xmlns:mml="http://www.w3.org/1998/Math/MathML">
              <m:r>
                <m:t>c=k</m:t>
              </m:r>
            </m:oMath>
            <w:r>
              <w:rPr>
                <w:rFonts w:ascii="Times New Roman" w:hAnsi="Times New Roman" w:eastAsia="宋体"/>
                <w:b w:val="0"/>
                <w:i w:val="0"/>
                <w:sz w:val="24"/>
              </w:rPr>
              <w:t>。</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T(n,c)=O(n</m:t>
              </m:r>
              <m:r>
                <m:rPr>
                  <m:sty m:val="p"/>
                </m:rPr>
                <m:t>log</m:t>
              </m:r>
              <m:r>
                <m:t>n+c).</m:t>
              </m:r>
            </m:oMath>
            <w:r>
              <w:rPr>
                <w:rFonts w:ascii="Times New Roman" w:hAnsi="Times New Roman" w:eastAsia="宋体"/>
                <w:b w:val="0"/>
                <w:i w:val="0"/>
                <w:sz w:val="21"/>
              </w:rPr>
              <w:tab/>
              <w:t>(10)</w:t>
            </w:r>
          </w:p>
          <w:p>
            <w:pPr>
              <w:spacing w:line="400" w:lineRule="exact" w:before="0" w:after="0"/>
              <w:ind w:firstLineChars="200"/>
            </w:pPr>
            <w:r>
              <w:rPr>
                <w:rFonts w:ascii="Times New Roman" w:hAnsi="Times New Roman" w:eastAsia="宋体"/>
                <w:b w:val="0"/>
                <w:i w:val="0"/>
                <w:sz w:val="24"/>
              </w:rPr>
              <w:t>算法层面，确定性编译流程由算法1给出整体组织：首先校验输入满足时区与粒度约束，随后依次执行时区归一化、区间规范化、层次覆盖构造、规范编码与摘要计算，最后返回语义表示、执行表示、规范字节串与摘要。规范化算法基于排序与线性扫描合并，输入顺序、重复区间与等价拆分不会改变输出；覆盖算法基于最大对齐块选择，通过位运算快速确定当前位置可用的最大二进制块，并保证节点互斥与完整覆盖。两段算法分别对应编译器与覆盖模块的实现，真实时间离散化在核心入口之前完成，使算法输入与实验使用的整数策略保持一致，也便于对核心逻辑进行独立测试与形式化核对。</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算法3 确定性策略编译与摘要生成（PolicyCompile</w:t>
            </w:r>
          </w:p>
          <w:p>
            <w:pPr>
              <w:spacing w:line="400" w:lineRule="exact" w:before="0" w:after="0"/>
              <w:ind w:firstLineChars="200"/>
            </w:pPr>
            <w:r>
              <w:rPr>
                <w:rFonts w:ascii="Times New Roman" w:hAnsi="Times New Roman" w:eastAsia="宋体"/>
                <w:b w:val="0"/>
                <w:i w:val="0"/>
                <w:sz w:val="24"/>
              </w:rPr>
              <w:t>输入：时区感知起点 t0、时间粒度 Δ、槽总数 U、区间序列 P</w:t>
            </w:r>
          </w:p>
          <w:p>
            <w:pPr>
              <w:spacing w:line="400" w:lineRule="exact" w:before="0" w:after="0"/>
              <w:ind w:firstLineChars="200"/>
            </w:pPr>
            <w:r>
              <w:rPr>
                <w:rFonts w:ascii="Times New Roman" w:hAnsi="Times New Roman" w:eastAsia="宋体"/>
                <w:b w:val="0"/>
                <w:i w:val="0"/>
                <w:sz w:val="24"/>
              </w:rPr>
              <w:t>输出：唯一语义表示 I*、层次执行表示 C、规范字节串 B、策略摘要 pd</w:t>
            </w:r>
          </w:p>
          <w:p>
            <w:pPr>
              <w:spacing w:line="400" w:lineRule="exact" w:before="0" w:after="0"/>
              <w:ind w:firstLineChars="200"/>
            </w:pPr>
            <w:r>
              <w:rPr>
                <w:rFonts w:ascii="Times New Roman" w:hAnsi="Times New Roman" w:eastAsia="宋体"/>
                <w:b w:val="0"/>
                <w:i w:val="0"/>
                <w:sz w:val="24"/>
              </w:rPr>
              <w:t>1: 校验 t0 可转换为 UTC、Δ&gt;0、U&gt;0 且 P 的端点均落在 [0,U) 内</w:t>
            </w:r>
          </w:p>
          <w:p>
            <w:pPr>
              <w:spacing w:line="400" w:lineRule="exact" w:before="0" w:after="0"/>
              <w:ind w:firstLineChars="200"/>
            </w:pPr>
            <w:r>
              <w:rPr>
                <w:rFonts w:ascii="Times New Roman" w:hAnsi="Times New Roman" w:eastAsia="宋体"/>
                <w:b w:val="0"/>
                <w:i w:val="0"/>
                <w:sz w:val="24"/>
              </w:rPr>
              <w:t>2: I* ← Normalize(P)                    /* 唯一语义表示 */</w:t>
            </w:r>
          </w:p>
          <w:p>
            <w:pPr>
              <w:spacing w:line="400" w:lineRule="exact" w:before="0" w:after="0"/>
              <w:ind w:firstLineChars="200"/>
            </w:pPr>
            <w:r>
              <w:rPr>
                <w:rFonts w:ascii="Times New Roman" w:hAnsi="Times New Roman" w:eastAsia="宋体"/>
                <w:b w:val="0"/>
                <w:i w:val="0"/>
                <w:sz w:val="24"/>
              </w:rPr>
              <w:t>3: C ← Cover(I</w:t>
            </w:r>
            <w:r>
              <w:rPr>
                <w:rFonts w:ascii="Times New Roman" w:hAnsi="Times New Roman" w:eastAsia="宋体"/>
                <w:b w:val="0"/>
                <w:i/>
                <w:sz w:val="24"/>
              </w:rPr>
              <w:t>, U)                     /</w:t>
            </w:r>
            <w:r>
              <w:rPr>
                <w:rFonts w:ascii="Times New Roman" w:hAnsi="Times New Roman" w:eastAsia="宋体"/>
                <w:b w:val="0"/>
                <w:i w:val="0"/>
                <w:sz w:val="24"/>
              </w:rPr>
              <w:t xml:space="preserve"> 派生执行表示，可再生成 */</w:t>
            </w:r>
          </w:p>
          <w:p>
            <w:pPr>
              <w:spacing w:line="400" w:lineRule="exact" w:before="0" w:after="0"/>
              <w:ind w:firstLineChars="200"/>
            </w:pPr>
            <w:r>
              <w:rPr>
                <w:rFonts w:ascii="Times New Roman" w:hAnsi="Times New Roman" w:eastAsia="宋体"/>
                <w:b w:val="0"/>
                <w:i w:val="0"/>
                <w:sz w:val="24"/>
              </w:rPr>
              <w:t>4: B ← NTP1Serialize(t0, Δ, U, I</w:t>
            </w:r>
            <w:r>
              <w:rPr>
                <w:rFonts w:ascii="Times New Roman" w:hAnsi="Times New Roman" w:eastAsia="宋体"/>
                <w:b w:val="0"/>
                <w:i/>
                <w:sz w:val="24"/>
              </w:rPr>
              <w:t>)      /</w:t>
            </w:r>
            <w:r>
              <w:rPr>
                <w:rFonts w:ascii="Times New Roman" w:hAnsi="Times New Roman" w:eastAsia="宋体"/>
                <w:b w:val="0"/>
                <w:i w:val="0"/>
                <w:sz w:val="24"/>
              </w:rPr>
              <w:t xml:space="preserve"> 固定宽度规范编码 */</w:t>
            </w:r>
          </w:p>
          <w:p>
            <w:pPr>
              <w:spacing w:line="400" w:lineRule="exact" w:before="0" w:after="0"/>
              <w:ind w:firstLineChars="200"/>
            </w:pPr>
            <w:r>
              <w:rPr>
                <w:rFonts w:ascii="Times New Roman" w:hAnsi="Times New Roman" w:eastAsia="宋体"/>
                <w:b w:val="0"/>
                <w:i w:val="0"/>
                <w:sz w:val="24"/>
              </w:rPr>
              <w:t>5: pd ← SHA-256(B)                      /* 策略摘要 */</w:t>
            </w:r>
          </w:p>
          <w:p>
            <w:pPr>
              <w:spacing w:line="400" w:lineRule="exact" w:before="0" w:after="0"/>
              <w:ind w:firstLineChars="200"/>
            </w:pPr>
            <w:r>
              <w:rPr>
                <w:rFonts w:ascii="Times New Roman" w:hAnsi="Times New Roman" w:eastAsia="宋体"/>
                <w:b w:val="0"/>
                <w:i w:val="0"/>
                <w:sz w:val="24"/>
              </w:rPr>
              <w:t>6: 返回 (I*, C, B, pd)</w:t>
            </w:r>
          </w:p>
          <w:p>
            <w:pPr>
              <w:spacing w:line="400" w:lineRule="exact" w:before="0" w:after="0"/>
              <w:ind w:firstLineChars="200"/>
            </w:pPr>
            <w:r>
              <w:rPr>
                <w:rFonts w:ascii="Times New Roman" w:hAnsi="Times New Roman" w:eastAsia="宋体"/>
                <w:b w:val="0"/>
                <w:i w:val="0"/>
                <w:sz w:val="24"/>
              </w:rPr>
              <w:t>算法结束</w:t>
            </w:r>
          </w:p>
          <w:p>
            <w:pPr>
              <w:keepNext/>
              <w:spacing w:line="240" w:lineRule="auto" w:before="120" w:after="0"/>
              <w:jc w:val="center"/>
            </w:pPr>
            <w:r>
              <w:drawing>
                <wp:inline xmlns:a="http://schemas.openxmlformats.org/drawingml/2006/main" xmlns:pic="http://schemas.openxmlformats.org/drawingml/2006/picture">
                  <wp:extent cx="4680000" cy="2600674"/>
                  <wp:docPr id="3" name="Picture 3"/>
                  <wp:cNvGraphicFramePr>
                    <a:graphicFrameLocks noChangeAspect="1"/>
                  </wp:cNvGraphicFramePr>
                  <a:graphic>
                    <a:graphicData uri="http://schemas.openxmlformats.org/drawingml/2006/picture">
                      <pic:pic>
                        <pic:nvPicPr>
                          <pic:cNvPr id="0" name="m4-fig3-compile.png"/>
                          <pic:cNvPicPr/>
                        </pic:nvPicPr>
                        <pic:blipFill>
                          <a:blip r:embed="rId25"/>
                          <a:stretch>
                            <a:fillRect/>
                          </a:stretch>
                        </pic:blipFill>
                        <pic:spPr>
                          <a:xfrm>
                            <a:off x="0" y="0"/>
                            <a:ext cx="4680000" cy="2600674"/>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图3 非连续时间策略确定性编译流程</w:t>
            </w:r>
          </w:p>
          <w:p>
            <w:pPr>
              <w:spacing w:line="400" w:lineRule="exact" w:before="0" w:after="0"/>
              <w:ind w:firstLineChars="200"/>
            </w:pPr>
            <w:r>
              <w:rPr>
                <w:rFonts w:ascii="Times New Roman" w:hAnsi="Times New Roman" w:eastAsia="宋体"/>
                <w:b w:val="0"/>
                <w:i w:val="0"/>
                <w:sz w:val="24"/>
              </w:rPr>
              <w:t xml:space="preserve">NTP1 编码字段方面，规范字节串由固定头部与区间列表组成：头部包括标识、模式版本、UTC 起点、粒度、时间域大小与区间数量等字段，区间列表按 (left,right) 定长编码，整体为固定宽度大端字节流。编码长度等于固定头部加 </w:t>
            </w:r>
            <m:oMath xmlns:mml="http://www.w3.org/1998/Math/MathML">
              <m:r>
                <m:t>16k</m:t>
              </m:r>
            </m:oMath>
            <w:r>
              <w:rPr>
                <w:rFonts w:ascii="Times New Roman" w:hAnsi="Times New Roman" w:eastAsia="宋体"/>
                <w:b w:val="0"/>
                <w:i w:val="0"/>
                <w:sz w:val="24"/>
              </w:rPr>
              <w:t xml:space="preserve"> 字节，其中 </w:t>
            </w:r>
            <m:oMath xmlns:mml="http://www.w3.org/1998/Math/MathML">
              <m:r>
                <m:t>k</m:t>
              </m:r>
            </m:oMath>
            <w:r>
              <w:rPr>
                <w:rFonts w:ascii="Times New Roman" w:hAnsi="Times New Roman" w:eastAsia="宋体"/>
                <w:b w:val="0"/>
                <w:i w:val="0"/>
                <w:sz w:val="24"/>
              </w:rPr>
              <w:t xml:space="preserve"> 为规范区间数。固定宽度的意义在于消除序列化层的不确定性：JSON 等文本格式会因键顺序、数字表示与空白差异产生不同字节，而固定宽度编码保证相同语义必定产生相同字节，从而保证摘要的确定性。解码器在解析后重新调用编码器进行规范性校验，进一步降低编码与校验规则分叉的风险。</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B(P)=CanonicalSerialize(</m:t>
              </m:r>
              <m:sSub>
                <m:e>
                  <m:r>
                    <m:t>t</m:t>
                  </m:r>
                </m:e>
                <m:sub>
                  <m:r>
                    <m:t>0</m:t>
                  </m:r>
                </m:sub>
              </m:sSub>
              <m:r>
                <m:t>,Δ,U,</m:t>
              </m:r>
              <m:sSup>
                <m:e>
                  <m:r>
                    <m:t>I</m:t>
                  </m:r>
                </m:e>
                <m:sup>
                  <m:r>
                    <m:t>*</m:t>
                  </m:r>
                </m:sup>
              </m:sSup>
              <m:r>
                <m:t>).</m:t>
              </m:r>
            </m:oMath>
            <w:r>
              <w:rPr>
                <w:rFonts w:ascii="Times New Roman" w:hAnsi="Times New Roman" w:eastAsia="宋体"/>
                <w:b w:val="0"/>
                <w:i w:val="0"/>
                <w:sz w:val="21"/>
              </w:rPr>
              <w:tab/>
              <w:t>(11)</w:t>
            </w:r>
          </w:p>
          <w:p>
            <w:pPr>
              <w:spacing w:line="400" w:lineRule="exact" w:before="0" w:after="0"/>
              <w:ind w:firstLineChars="200"/>
            </w:pPr>
            <w:r>
              <w:rPr>
                <w:rFonts w:ascii="Times New Roman" w:hAnsi="Times New Roman" w:eastAsia="宋体"/>
                <w:b w:val="0"/>
                <w:i w:val="0"/>
                <w:sz w:val="24"/>
              </w:rPr>
              <w:t>工程原型方面，研究完成了 Python 实现，包括时区感知离散化、规范化、最大层次覆盖、规范编码与摘要计算等模块，并提供与抽象定义一致的自动化测试。正确性验证完成 81 项测试（含性质测试与小域穷举），分支感知代码覆盖率为 98.61%，未发现偏离形式化定义的反例；测试覆盖语义一致性、规范化幂等性、输入置换不变性、等价拆分摘要一致性与覆盖结构约束等性质。数学分析证明编码前语义规范性与编译过程正确性，测试验证具体实现与抽象定义一致，两者相互补充但不相互替代。</w:t>
            </w:r>
          </w:p>
          <w:p>
            <w:pPr>
              <w:spacing w:line="400" w:lineRule="exact" w:before="0" w:after="0"/>
              <w:ind w:firstLineChars="200"/>
            </w:pPr>
            <w:r>
              <w:rPr>
                <w:rFonts w:ascii="Times New Roman" w:hAnsi="Times New Roman" w:eastAsia="宋体"/>
                <w:b w:val="0"/>
                <w:i w:val="0"/>
                <w:sz w:val="24"/>
              </w:rPr>
              <w:t xml:space="preserve">实验设计方面，研究选择三种表示进行比较：时间槽枚举（以冻结集合存储全部允许槽，逻辑编码按每槽 8 字节计算，查询为期望常数时间）、普通规范区间列表（以 16 字节区间端点存储，二分查找查询）、二进制层次覆盖（以 (start,size) 节点存储，沿叶到根路径检查）。三种表示共享同一 </w:t>
            </w:r>
            <m:oMath xmlns:mml="http://www.w3.org/1998/Math/MathML">
              <m:sSup>
                <m:e>
                  <m:r>
                    <m:t>I</m:t>
                  </m:r>
                </m:e>
                <m:sup>
                  <m:r>
                    <m:t>*</m:t>
                  </m:r>
                </m:sup>
              </m:sSup>
            </m:oMath>
            <w:r>
              <w:rPr>
                <w:rFonts w:ascii="Times New Roman" w:hAnsi="Times New Roman" w:eastAsia="宋体"/>
                <w:b w:val="0"/>
                <w:i w:val="0"/>
                <w:sz w:val="24"/>
              </w:rPr>
              <w:t xml:space="preserve">、同一语义策略与同一查询集合，逻辑编码字节、对象深层驻留内存与峰值分配分别统计，不混为同一指标。正式实验 E1 分为三部分：E1-A 覆盖时间域长度 </w:t>
            </w:r>
            <m:oMath xmlns:mml="http://www.w3.org/1998/Math/MathML">
              <m:r>
                <m:t>U∈{</m:t>
              </m:r>
              <m:sSup>
                <m:e>
                  <m:r>
                    <m:t>10</m:t>
                  </m:r>
                </m:e>
                <m:sup>
                  <m:r>
                    <m:t>3</m:t>
                  </m:r>
                </m:sup>
              </m:sSup>
              <m:r>
                <m:t>,</m:t>
              </m:r>
              <m:sSup>
                <m:e>
                  <m:r>
                    <m:t>10</m:t>
                  </m:r>
                </m:e>
                <m:sup>
                  <m:r>
                    <m:t>4</m:t>
                  </m:r>
                </m:sup>
              </m:sSup>
              <m:r>
                <m:t>,</m:t>
              </m:r>
              <m:sSup>
                <m:e>
                  <m:r>
                    <m:t>10</m:t>
                  </m:r>
                </m:e>
                <m:sup>
                  <m:r>
                    <m:t>5</m:t>
                  </m:r>
                </m:sup>
              </m:sSup>
              <m:r>
                <m:t>,</m:t>
              </m:r>
              <m:sSup>
                <m:e>
                  <m:r>
                    <m:t>10</m:t>
                  </m:r>
                </m:e>
                <m:sup>
                  <m:r>
                    <m:t>6</m:t>
                  </m:r>
                </m:sup>
              </m:sSup>
              <m:r>
                <m:t>}</m:t>
              </m:r>
            </m:oMath>
            <w:r>
              <w:rPr>
                <w:rFonts w:ascii="Times New Roman" w:hAnsi="Times New Roman" w:eastAsia="宋体"/>
                <w:b w:val="0"/>
                <w:i w:val="0"/>
                <w:sz w:val="24"/>
              </w:rPr>
              <w:t xml:space="preserve">、目标碎片率 </w:t>
            </w:r>
            <m:oMath xmlns:mml="http://www.w3.org/1998/Math/MathML">
              <m:r>
                <m:t>F∈{0,0.5,1}</m:t>
              </m:r>
            </m:oMath>
            <w:r>
              <w:rPr>
                <w:rFonts w:ascii="Times New Roman" w:hAnsi="Times New Roman" w:eastAsia="宋体"/>
                <w:b w:val="0"/>
                <w:i w:val="0"/>
                <w:sz w:val="24"/>
              </w:rPr>
              <w:t xml:space="preserve">、目标覆盖率 </w:t>
            </w:r>
            <m:oMath xmlns:mml="http://www.w3.org/1998/Math/MathML">
              <m:r>
                <m:t>ρ∈{0.01,0.10,0.50}</m:t>
              </m:r>
            </m:oMath>
            <w:r>
              <w:rPr>
                <w:rFonts w:ascii="Times New Roman" w:hAnsi="Times New Roman" w:eastAsia="宋体"/>
                <w:b w:val="0"/>
                <w:i w:val="0"/>
                <w:sz w:val="24"/>
              </w:rPr>
              <w:t xml:space="preserve">、冗余度 </w:t>
            </w:r>
            <m:oMath xmlns:mml="http://www.w3.org/1998/Math/MathML">
              <m:r>
                <m:t>R=2</m:t>
              </m:r>
            </m:oMath>
            <w:r>
              <w:rPr>
                <w:rFonts w:ascii="Times New Roman" w:hAnsi="Times New Roman" w:eastAsia="宋体"/>
                <w:b w:val="0"/>
                <w:i w:val="0"/>
                <w:sz w:val="24"/>
              </w:rPr>
              <w:t xml:space="preserve"> 与 3 个随机种子，共 108 个样本；E1-B 固定时间域与覆盖率，考察冗余度 </w:t>
            </w:r>
            <m:oMath xmlns:mml="http://www.w3.org/1998/Math/MathML">
              <m:r>
                <m:t>R∈{1,2,4,8}</m:t>
              </m:r>
            </m:oMath>
            <w:r>
              <w:rPr>
                <w:rFonts w:ascii="Times New Roman" w:hAnsi="Times New Roman" w:eastAsia="宋体"/>
                <w:b w:val="0"/>
                <w:i w:val="0"/>
                <w:sz w:val="24"/>
              </w:rPr>
              <w:t>，共 36 个样本；E1-C 覆盖 8 类边界策略与 3 个种子，共 24 个样本。每个样本预热 5 次、正式重复 30 次，正式实验共 15120 条记录且全部有效。</w:t>
            </w:r>
          </w:p>
          <w:p>
            <w:pPr>
              <w:keepNext/>
              <w:spacing w:line="320" w:lineRule="exact" w:before="120" w:after="60"/>
              <w:jc w:val="center"/>
            </w:pPr>
            <w:r>
              <w:rPr>
                <w:rFonts w:ascii="Times New Roman" w:hAnsi="Times New Roman" w:eastAsia="宋体"/>
                <w:b w:val="0"/>
                <w:i w:val="0"/>
                <w:sz w:val="21"/>
              </w:rPr>
              <w:t>表1 三种表示的理论与实现特征</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604"/>
              <w:gridCol w:w="1604"/>
              <w:gridCol w:w="1604"/>
              <w:gridCol w:w="1604"/>
              <w:gridCol w:w="1604"/>
              <w:gridCol w:w="1604"/>
            </w:tblGrid>
            <w:tr>
              <w:tc>
                <w:tcPr>
                  <w:tcW w:type="dxa" w:w="1604"/>
                  <w:tcBorders>
                    <w:bottom w:val="single" w:sz="6" w:color="000000"/>
                  </w:tcBorders>
                </w:tcPr>
                <w:p>
                  <w:pPr>
                    <w:spacing w:line="280" w:lineRule="exact"/>
                    <w:jc w:val="center"/>
                  </w:pPr>
                  <w:r>
                    <w:rPr>
                      <w:rFonts w:ascii="Times New Roman" w:hAnsi="Times New Roman" w:eastAsia="宋体"/>
                      <w:b/>
                      <w:i w:val="0"/>
                      <w:sz w:val="17"/>
                    </w:rPr>
                    <w:t>表示</w:t>
                  </w:r>
                </w:p>
              </w:tc>
              <w:tc>
                <w:tcPr>
                  <w:tcW w:type="dxa" w:w="1604"/>
                  <w:tcBorders>
                    <w:bottom w:val="single" w:sz="6" w:color="000000"/>
                  </w:tcBorders>
                </w:tcPr>
                <w:p>
                  <w:pPr>
                    <w:spacing w:line="280" w:lineRule="exact"/>
                    <w:jc w:val="center"/>
                  </w:pPr>
                  <w:r>
                    <w:rPr>
                      <w:rFonts w:ascii="Times New Roman" w:hAnsi="Times New Roman" w:eastAsia="宋体"/>
                      <w:b/>
                      <w:i w:val="0"/>
                      <w:sz w:val="17"/>
                    </w:rPr>
                    <w:t>构造复杂度</w:t>
                  </w:r>
                </w:p>
              </w:tc>
              <w:tc>
                <w:tcPr>
                  <w:tcW w:type="dxa" w:w="1604"/>
                  <w:tcBorders>
                    <w:bottom w:val="single" w:sz="6" w:color="000000"/>
                  </w:tcBorders>
                </w:tcPr>
                <w:p>
                  <w:pPr>
                    <w:spacing w:line="280" w:lineRule="exact"/>
                    <w:jc w:val="center"/>
                  </w:pPr>
                  <w:r>
                    <w:rPr>
                      <w:rFonts w:ascii="Times New Roman" w:hAnsi="Times New Roman" w:eastAsia="宋体"/>
                      <w:b/>
                      <w:i w:val="0"/>
                      <w:sz w:val="17"/>
                    </w:rPr>
                    <w:t>查询复杂度</w:t>
                  </w:r>
                </w:p>
              </w:tc>
              <w:tc>
                <w:tcPr>
                  <w:tcW w:type="dxa" w:w="1604"/>
                  <w:tcBorders>
                    <w:bottom w:val="single" w:sz="6" w:color="000000"/>
                  </w:tcBorders>
                </w:tcPr>
                <w:p>
                  <w:pPr>
                    <w:spacing w:line="280" w:lineRule="exact"/>
                    <w:jc w:val="center"/>
                  </w:pPr>
                  <w:r>
                    <w:rPr>
                      <w:rFonts w:ascii="Times New Roman" w:hAnsi="Times New Roman" w:eastAsia="宋体"/>
                      <w:b/>
                      <w:i w:val="0"/>
                      <w:sz w:val="17"/>
                    </w:rPr>
                    <w:t>E1-A样本逻辑字节中位数</w:t>
                  </w:r>
                </w:p>
              </w:tc>
              <w:tc>
                <w:tcPr>
                  <w:tcW w:type="dxa" w:w="1604"/>
                  <w:tcBorders>
                    <w:bottom w:val="single" w:sz="6" w:color="000000"/>
                  </w:tcBorders>
                </w:tcPr>
                <w:p>
                  <w:pPr>
                    <w:spacing w:line="280" w:lineRule="exact"/>
                    <w:jc w:val="center"/>
                  </w:pPr>
                  <w:r>
                    <w:rPr>
                      <w:rFonts w:ascii="Times New Roman" w:hAnsi="Times New Roman" w:eastAsia="宋体"/>
                      <w:b/>
                      <w:i w:val="0"/>
                      <w:sz w:val="17"/>
                    </w:rPr>
                    <w:t>E1-A查询中位数/ns</w:t>
                  </w:r>
                </w:p>
              </w:tc>
              <w:tc>
                <w:tcPr>
                  <w:tcW w:type="dxa" w:w="1604"/>
                  <w:tcBorders>
                    <w:bottom w:val="single" w:sz="6" w:color="000000"/>
                  </w:tcBorders>
                </w:tcPr>
                <w:p>
                  <w:pPr>
                    <w:spacing w:line="280" w:lineRule="exact"/>
                    <w:jc w:val="center"/>
                  </w:pPr>
                  <w:r>
                    <w:rPr>
                      <w:rFonts w:ascii="Times New Roman" w:hAnsi="Times New Roman" w:eastAsia="宋体"/>
                      <w:b/>
                      <w:i w:val="0"/>
                      <w:sz w:val="17"/>
                    </w:rPr>
                    <w:t>主要用途</w:t>
                  </w:r>
                </w:p>
              </w:tc>
            </w:tr>
            <w:tr>
              <w:tc>
                <w:tcPr>
                  <w:tcW w:type="dxa" w:w="1604"/>
                </w:tcPr>
                <w:p>
                  <w:pPr>
                    <w:spacing w:line="280" w:lineRule="exact"/>
                    <w:jc w:val="center"/>
                  </w:pPr>
                  <w:r>
                    <w:rPr>
                      <w:rFonts w:ascii="Times New Roman" w:hAnsi="Times New Roman" w:eastAsia="宋体"/>
                      <w:b w:val="0"/>
                      <w:i w:val="0"/>
                      <w:sz w:val="17"/>
                    </w:rPr>
                    <w:t>时间槽枚举</w:t>
                  </w:r>
                </w:p>
              </w:tc>
              <w:tc>
                <w:tcPr>
                  <w:tcW w:type="dxa" w:w="1604"/>
                </w:tcPr>
                <w:p>
                  <w:pPr>
                    <w:spacing w:line="280" w:lineRule="exact"/>
                    <w:jc w:val="center"/>
                  </w:pPr>
                  <w:r>
                    <w:rPr>
                      <w:rFonts w:ascii="Times New Roman" w:hAnsi="Times New Roman" w:eastAsia="宋体"/>
                      <w:b w:val="0"/>
                      <w:i w:val="0"/>
                      <w:sz w:val="17"/>
                    </w:rPr>
                    <w:t>O(A)</w:t>
                  </w:r>
                </w:p>
              </w:tc>
              <w:tc>
                <w:tcPr>
                  <w:tcW w:type="dxa" w:w="1604"/>
                </w:tcPr>
                <w:p>
                  <w:pPr>
                    <w:spacing w:line="280" w:lineRule="exact"/>
                    <w:jc w:val="center"/>
                  </w:pPr>
                  <w:r>
                    <w:rPr>
                      <w:rFonts w:ascii="Times New Roman" w:hAnsi="Times New Roman" w:eastAsia="宋体"/>
                      <w:b w:val="0"/>
                      <w:i w:val="0"/>
                      <w:sz w:val="17"/>
                    </w:rPr>
                    <w:t>期望 O(1)</w:t>
                  </w:r>
                </w:p>
              </w:tc>
              <w:tc>
                <w:tcPr>
                  <w:tcW w:type="dxa" w:w="1604"/>
                </w:tcPr>
                <w:p>
                  <w:pPr>
                    <w:spacing w:line="280" w:lineRule="exact"/>
                    <w:jc w:val="center"/>
                  </w:pPr>
                  <w:r>
                    <w:rPr>
                      <w:rFonts w:ascii="Times New Roman" w:hAnsi="Times New Roman" w:eastAsia="宋体"/>
                      <w:b w:val="0"/>
                      <w:i w:val="0"/>
                      <w:sz w:val="17"/>
                    </w:rPr>
                    <w:t>24000</w:t>
                  </w:r>
                </w:p>
              </w:tc>
              <w:tc>
                <w:tcPr>
                  <w:tcW w:type="dxa" w:w="1604"/>
                </w:tcPr>
                <w:p>
                  <w:pPr>
                    <w:spacing w:line="280" w:lineRule="exact"/>
                    <w:jc w:val="center"/>
                  </w:pPr>
                  <w:r>
                    <w:rPr>
                      <w:rFonts w:ascii="Times New Roman" w:hAnsi="Times New Roman" w:eastAsia="宋体"/>
                      <w:b w:val="0"/>
                      <w:i w:val="0"/>
                      <w:sz w:val="17"/>
                    </w:rPr>
                    <w:t>350.4</w:t>
                  </w:r>
                </w:p>
              </w:tc>
              <w:tc>
                <w:tcPr>
                  <w:tcW w:type="dxa" w:w="1604"/>
                </w:tcPr>
                <w:p>
                  <w:pPr>
                    <w:spacing w:line="280" w:lineRule="exact"/>
                    <w:jc w:val="center"/>
                  </w:pPr>
                  <w:r>
                    <w:rPr>
                      <w:rFonts w:ascii="Times New Roman" w:hAnsi="Times New Roman" w:eastAsia="宋体"/>
                      <w:b w:val="0"/>
                      <w:i w:val="0"/>
                      <w:sz w:val="17"/>
                    </w:rPr>
                    <w:t>小域、高频查询</w:t>
                  </w:r>
                </w:p>
              </w:tc>
            </w:tr>
            <w:tr>
              <w:tc>
                <w:tcPr>
                  <w:tcW w:type="dxa" w:w="1604"/>
                </w:tcPr>
                <w:p>
                  <w:pPr>
                    <w:spacing w:line="280" w:lineRule="exact"/>
                    <w:jc w:val="center"/>
                  </w:pPr>
                  <w:r>
                    <w:rPr>
                      <w:rFonts w:ascii="Times New Roman" w:hAnsi="Times New Roman" w:eastAsia="宋体"/>
                      <w:b w:val="0"/>
                      <w:i w:val="0"/>
                      <w:sz w:val="17"/>
                    </w:rPr>
                    <w:t>规范区间列表</w:t>
                  </w:r>
                </w:p>
              </w:tc>
              <w:tc>
                <w:tcPr>
                  <w:tcW w:type="dxa" w:w="1604"/>
                </w:tcPr>
                <w:p>
                  <w:pPr>
                    <w:spacing w:line="280" w:lineRule="exact"/>
                    <w:jc w:val="center"/>
                  </w:pPr>
                  <w:r>
                    <w:rPr>
                      <w:rFonts w:ascii="Times New Roman" w:hAnsi="Times New Roman" w:eastAsia="宋体"/>
                      <w:b w:val="0"/>
                      <w:i w:val="0"/>
                      <w:sz w:val="17"/>
                    </w:rPr>
                    <w:t>O(n log n)</w:t>
                  </w:r>
                </w:p>
              </w:tc>
              <w:tc>
                <w:tcPr>
                  <w:tcW w:type="dxa" w:w="1604"/>
                </w:tcPr>
                <w:p>
                  <w:pPr>
                    <w:spacing w:line="280" w:lineRule="exact"/>
                    <w:jc w:val="center"/>
                  </w:pPr>
                  <w:r>
                    <w:rPr>
                      <w:rFonts w:ascii="Times New Roman" w:hAnsi="Times New Roman" w:eastAsia="宋体"/>
                      <w:b w:val="0"/>
                      <w:i w:val="0"/>
                      <w:sz w:val="17"/>
                    </w:rPr>
                    <w:t>O(log k)</w:t>
                  </w:r>
                </w:p>
              </w:tc>
              <w:tc>
                <w:tcPr>
                  <w:tcW w:type="dxa" w:w="1604"/>
                </w:tcPr>
                <w:p>
                  <w:pPr>
                    <w:spacing w:line="280" w:lineRule="exact"/>
                    <w:jc w:val="center"/>
                  </w:pPr>
                  <w:r>
                    <w:rPr>
                      <w:rFonts w:ascii="Times New Roman" w:hAnsi="Times New Roman" w:eastAsia="宋体"/>
                      <w:b w:val="0"/>
                      <w:i w:val="0"/>
                      <w:sz w:val="17"/>
                    </w:rPr>
                    <w:t>2808</w:t>
                  </w:r>
                </w:p>
              </w:tc>
              <w:tc>
                <w:tcPr>
                  <w:tcW w:type="dxa" w:w="1604"/>
                </w:tcPr>
                <w:p>
                  <w:pPr>
                    <w:spacing w:line="280" w:lineRule="exact"/>
                    <w:jc w:val="center"/>
                  </w:pPr>
                  <w:r>
                    <w:rPr>
                      <w:rFonts w:ascii="Times New Roman" w:hAnsi="Times New Roman" w:eastAsia="宋体"/>
                      <w:b w:val="0"/>
                      <w:i w:val="0"/>
                      <w:sz w:val="17"/>
                    </w:rPr>
                    <w:t>561.0</w:t>
                  </w:r>
                </w:p>
              </w:tc>
              <w:tc>
                <w:tcPr>
                  <w:tcW w:type="dxa" w:w="1604"/>
                </w:tcPr>
                <w:p>
                  <w:pPr>
                    <w:spacing w:line="280" w:lineRule="exact"/>
                    <w:jc w:val="center"/>
                  </w:pPr>
                  <w:r>
                    <w:rPr>
                      <w:rFonts w:ascii="Times New Roman" w:hAnsi="Times New Roman" w:eastAsia="宋体"/>
                      <w:b w:val="0"/>
                      <w:i w:val="0"/>
                      <w:sz w:val="17"/>
                    </w:rPr>
                    <w:t>一维存储与匹配</w:t>
                  </w:r>
                </w:p>
              </w:tc>
            </w:tr>
            <w:tr>
              <w:tc>
                <w:tcPr>
                  <w:tcW w:type="dxa" w:w="1604"/>
                </w:tcPr>
                <w:p>
                  <w:pPr>
                    <w:spacing w:line="280" w:lineRule="exact"/>
                    <w:jc w:val="center"/>
                  </w:pPr>
                  <w:r>
                    <w:rPr>
                      <w:rFonts w:ascii="Times New Roman" w:hAnsi="Times New Roman" w:eastAsia="宋体"/>
                      <w:b w:val="0"/>
                      <w:i w:val="0"/>
                      <w:sz w:val="17"/>
                    </w:rPr>
                    <w:t>层次覆盖</w:t>
                  </w:r>
                </w:p>
              </w:tc>
              <w:tc>
                <w:tcPr>
                  <w:tcW w:type="dxa" w:w="1604"/>
                </w:tcPr>
                <w:p>
                  <w:pPr>
                    <w:spacing w:line="280" w:lineRule="exact"/>
                    <w:jc w:val="center"/>
                  </w:pPr>
                  <w:r>
                    <w:rPr>
                      <w:rFonts w:ascii="Times New Roman" w:hAnsi="Times New Roman" w:eastAsia="宋体"/>
                      <w:b w:val="0"/>
                      <w:i w:val="0"/>
                      <w:sz w:val="17"/>
                    </w:rPr>
                    <w:t>O(n log n + c)</w:t>
                  </w:r>
                </w:p>
              </w:tc>
              <w:tc>
                <w:tcPr>
                  <w:tcW w:type="dxa" w:w="1604"/>
                </w:tcPr>
                <w:p>
                  <w:pPr>
                    <w:spacing w:line="280" w:lineRule="exact"/>
                    <w:jc w:val="center"/>
                  </w:pPr>
                  <w:r>
                    <w:rPr>
                      <w:rFonts w:ascii="Times New Roman" w:hAnsi="Times New Roman" w:eastAsia="宋体"/>
                      <w:b w:val="0"/>
                      <w:i w:val="0"/>
                      <w:sz w:val="17"/>
                    </w:rPr>
                    <w:t>O(log U)</w:t>
                  </w:r>
                </w:p>
              </w:tc>
              <w:tc>
                <w:tcPr>
                  <w:tcW w:type="dxa" w:w="1604"/>
                </w:tcPr>
                <w:p>
                  <w:pPr>
                    <w:spacing w:line="280" w:lineRule="exact"/>
                    <w:jc w:val="center"/>
                  </w:pPr>
                  <w:r>
                    <w:rPr>
                      <w:rFonts w:ascii="Times New Roman" w:hAnsi="Times New Roman" w:eastAsia="宋体"/>
                      <w:b w:val="0"/>
                      <w:i w:val="0"/>
                      <w:sz w:val="17"/>
                    </w:rPr>
                    <w:t>3664</w:t>
                  </w:r>
                </w:p>
              </w:tc>
              <w:tc>
                <w:tcPr>
                  <w:tcW w:type="dxa" w:w="1604"/>
                </w:tcPr>
                <w:p>
                  <w:pPr>
                    <w:spacing w:line="280" w:lineRule="exact"/>
                    <w:jc w:val="center"/>
                  </w:pPr>
                  <w:r>
                    <w:rPr>
                      <w:rFonts w:ascii="Times New Roman" w:hAnsi="Times New Roman" w:eastAsia="宋体"/>
                      <w:b w:val="0"/>
                      <w:i w:val="0"/>
                      <w:sz w:val="17"/>
                    </w:rPr>
                    <w:t>1984.7</w:t>
                  </w:r>
                </w:p>
              </w:tc>
              <w:tc>
                <w:tcPr>
                  <w:tcW w:type="dxa" w:w="1604"/>
                </w:tcPr>
                <w:p>
                  <w:pPr>
                    <w:spacing w:line="280" w:lineRule="exact"/>
                    <w:jc w:val="center"/>
                  </w:pPr>
                  <w:r>
                    <w:rPr>
                      <w:rFonts w:ascii="Times New Roman" w:hAnsi="Times New Roman" w:eastAsia="宋体"/>
                      <w:b w:val="0"/>
                      <w:i w:val="0"/>
                      <w:sz w:val="17"/>
                    </w:rPr>
                    <w:t>层次授权接口</w:t>
                  </w:r>
                </w:p>
              </w:tc>
            </w:tr>
          </w:tbl>
          <w:p/>
          <w:p>
            <w:pPr>
              <w:spacing w:line="400" w:lineRule="exact" w:before="0" w:after="0"/>
              <w:ind w:firstLineChars="200"/>
            </w:pPr>
            <w:r>
              <w:rPr>
                <w:rFonts w:ascii="Times New Roman" w:hAnsi="Times New Roman" w:eastAsia="宋体"/>
                <w:b w:val="0"/>
                <w:i w:val="0"/>
                <w:sz w:val="24"/>
              </w:rPr>
              <w:t xml:space="preserve">阶段性实验结果表明：在统一定长编码下，层次覆盖相对普通规范区间列表更紧凑 0 次、相同 36 次、更大 72 次，未观察到层次覆盖比规范区间列表更紧凑的样本；原因是每个非空规范区间至少需要一个层次节点，且通常因对齐边界被分解为多个节点，即 </w:t>
            </w:r>
            <m:oMath xmlns:mml="http://www.w3.org/1998/Math/MathML">
              <m:r>
                <m:t>c≥k</m:t>
              </m:r>
            </m:oMath>
            <w:r>
              <w:rPr>
                <w:rFonts w:ascii="Times New Roman" w:hAnsi="Times New Roman" w:eastAsia="宋体"/>
                <w:b w:val="0"/>
                <w:i w:val="0"/>
                <w:sz w:val="24"/>
              </w:rPr>
              <w:t xml:space="preserve">。查询性能方面，E1-A 中槽枚举、规范区间列表与层次覆盖的查询中位数的中位数分别约为 350.4 ns、561.0 ns 与 1984.7 ns，层次 Matcher 未表现出速度优势。补充的二次幂全域实验进一步表明，时间域与根节点对齐时 </w:t>
            </w:r>
            <m:oMath xmlns:mml="http://www.w3.org/1998/Math/MathML">
              <m:r>
                <m:t>c=1</m:t>
              </m:r>
            </m:oMath>
            <w:r>
              <w:rPr>
                <w:rFonts w:ascii="Times New Roman" w:hAnsi="Times New Roman" w:eastAsia="宋体"/>
                <w:b w:val="0"/>
                <w:i w:val="0"/>
                <w:sz w:val="24"/>
              </w:rPr>
              <w:t xml:space="preserve">，相邻非二次幂全域则 </w:t>
            </w:r>
            <m:oMath xmlns:mml="http://www.w3.org/1998/Math/MathML">
              <m:r>
                <m:t>c=17</m:t>
              </m:r>
            </m:oMath>
            <w:r>
              <w:rPr>
                <w:rFonts w:ascii="Times New Roman" w:hAnsi="Times New Roman" w:eastAsia="宋体"/>
                <w:b w:val="0"/>
                <w:i w:val="0"/>
                <w:sz w:val="24"/>
              </w:rPr>
              <w:t>，对齐收益属于层次执行结构而非相对规范区间列表的普遍压缩优势。</w:t>
            </w:r>
          </w:p>
          <w:p>
            <w:pPr>
              <w:keepNext/>
              <w:spacing w:line="240" w:lineRule="auto" w:before="120" w:after="0"/>
              <w:jc w:val="center"/>
            </w:pPr>
            <w:r>
              <w:drawing>
                <wp:inline xmlns:a="http://schemas.openxmlformats.org/drawingml/2006/main" xmlns:pic="http://schemas.openxmlformats.org/drawingml/2006/picture">
                  <wp:extent cx="4680000" cy="1382727"/>
                  <wp:docPr id="4" name="Picture 4"/>
                  <wp:cNvGraphicFramePr>
                    <a:graphicFrameLocks noChangeAspect="1"/>
                  </wp:cNvGraphicFramePr>
                  <a:graphic>
                    <a:graphicData uri="http://schemas.openxmlformats.org/drawingml/2006/picture">
                      <pic:pic>
                        <pic:nvPicPr>
                          <pic:cNvPr id="0" name="m4-exp-fig8-match.png"/>
                          <pic:cNvPicPr/>
                        </pic:nvPicPr>
                        <pic:blipFill>
                          <a:blip r:embed="rId26"/>
                          <a:stretch>
                            <a:fillRect/>
                          </a:stretch>
                        </pic:blipFill>
                        <pic:spPr>
                          <a:xfrm>
                            <a:off x="0" y="0"/>
                            <a:ext cx="4680000" cy="1382727"/>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图4 匹配查询中位时延（E1-A 正式实验结果）</w:t>
            </w:r>
          </w:p>
          <w:p>
            <w:pPr>
              <w:spacing w:line="400" w:lineRule="exact" w:before="0" w:after="0"/>
              <w:ind w:firstLineChars="200"/>
            </w:pPr>
            <w:r>
              <w:rPr>
                <w:rFonts w:ascii="Times New Roman" w:hAnsi="Times New Roman" w:eastAsia="宋体"/>
                <w:b w:val="0"/>
                <w:i w:val="0"/>
                <w:sz w:val="24"/>
              </w:rPr>
              <w:t xml:space="preserve">从规模数据看，E1-A 样本逻辑字节中位数分别为：槽枚举 24000 字节、规范区间列表 2808 字节、层次覆盖 3664 字节。在连续且覆盖率较高的策略中，允许槽数量较大而规范区间与覆盖节点数量较小，区间与层次表示相对枚举具有明显空间收益；当策略趋于单槽碎片时，规范区间数 </w:t>
            </w:r>
            <m:oMath xmlns:mml="http://www.w3.org/1998/Math/MathML">
              <m:r>
                <m:t>k</m:t>
              </m:r>
            </m:oMath>
            <w:r>
              <w:rPr>
                <w:rFonts w:ascii="Times New Roman" w:hAnsi="Times New Roman" w:eastAsia="宋体"/>
                <w:b w:val="0"/>
                <w:i w:val="0"/>
                <w:sz w:val="24"/>
              </w:rPr>
              <w:t xml:space="preserve"> 与覆盖节点数 </w:t>
            </w:r>
            <m:oMath xmlns:mml="http://www.w3.org/1998/Math/MathML">
              <m:r>
                <m:t>c</m:t>
              </m:r>
            </m:oMath>
            <w:r>
              <w:rPr>
                <w:rFonts w:ascii="Times New Roman" w:hAnsi="Times New Roman" w:eastAsia="宋体"/>
                <w:b w:val="0"/>
                <w:i w:val="0"/>
                <w:sz w:val="24"/>
              </w:rPr>
              <w:t xml:space="preserve"> 接近允许槽数，枚举的单元素编码反而更小，三种表示的规模关系随策略形态发生反转。E1-B 冗余度实验表明，冗余度增大时原始区间数与规范化处理量增加，而规范化后保存的策略保持一致，NTP1 字节与摘要的不变性由正确性验证直接检查；规范化消除的是语义表示差异，而不是输入处理成本。E1-C 边界实验覆盖偶数槽、奇数槽、随机孤立点、最大碎片、全域与近全域等八类边界策略，进一步确认碎片化策略下层次分解无法消除语义本身的碎片信息量。</w:t>
            </w:r>
          </w:p>
          <w:p>
            <w:pPr>
              <w:keepNext/>
              <w:spacing w:line="240" w:lineRule="auto" w:before="120" w:after="0"/>
              <w:jc w:val="center"/>
            </w:pPr>
            <w:r>
              <w:drawing>
                <wp:inline xmlns:a="http://schemas.openxmlformats.org/drawingml/2006/main" xmlns:pic="http://schemas.openxmlformats.org/drawingml/2006/picture">
                  <wp:extent cx="4680000" cy="1384136"/>
                  <wp:docPr id="5" name="Picture 5"/>
                  <wp:cNvGraphicFramePr>
                    <a:graphicFrameLocks noChangeAspect="1"/>
                  </wp:cNvGraphicFramePr>
                  <a:graphic>
                    <a:graphicData uri="http://schemas.openxmlformats.org/drawingml/2006/picture">
                      <pic:pic>
                        <pic:nvPicPr>
                          <pic:cNvPr id="0" name="m4-exp-fig9-rep-size.png"/>
                          <pic:cNvPicPr/>
                        </pic:nvPicPr>
                        <pic:blipFill>
                          <a:blip r:embed="rId27"/>
                          <a:stretch>
                            <a:fillRect/>
                          </a:stretch>
                        </pic:blipFill>
                        <pic:spPr>
                          <a:xfrm>
                            <a:off x="0" y="0"/>
                            <a:ext cx="4680000" cy="1384136"/>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图5 三种表示的逻辑规模比较（E1-A 正式实验结果）</w:t>
            </w:r>
          </w:p>
          <w:p>
            <w:pPr>
              <w:keepNext/>
              <w:spacing w:line="240" w:lineRule="auto" w:before="120" w:after="0"/>
              <w:jc w:val="center"/>
            </w:pPr>
            <w:r>
              <w:drawing>
                <wp:inline xmlns:a="http://schemas.openxmlformats.org/drawingml/2006/main" xmlns:pic="http://schemas.openxmlformats.org/drawingml/2006/picture">
                  <wp:extent cx="4680000" cy="2521360"/>
                  <wp:docPr id="6" name="Picture 6"/>
                  <wp:cNvGraphicFramePr>
                    <a:graphicFrameLocks noChangeAspect="1"/>
                  </wp:cNvGraphicFramePr>
                  <a:graphic>
                    <a:graphicData uri="http://schemas.openxmlformats.org/drawingml/2006/picture">
                      <pic:pic>
                        <pic:nvPicPr>
                          <pic:cNvPr id="0" name="m4-exp-fig10-boundary.png"/>
                          <pic:cNvPicPr/>
                        </pic:nvPicPr>
                        <pic:blipFill>
                          <a:blip r:embed="rId28"/>
                          <a:stretch>
                            <a:fillRect/>
                          </a:stretch>
                        </pic:blipFill>
                        <pic:spPr>
                          <a:xfrm>
                            <a:off x="0" y="0"/>
                            <a:ext cx="4680000" cy="2521360"/>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图6 表示的压缩比与适用边界（E1-A 正式实验结果）</w:t>
            </w:r>
          </w:p>
          <w:p>
            <w:pPr>
              <w:spacing w:line="400" w:lineRule="exact" w:before="0" w:after="0"/>
              <w:ind w:firstLineChars="200"/>
            </w:pPr>
            <w:r>
              <w:rPr>
                <w:rFonts w:ascii="Times New Roman" w:hAnsi="Times New Roman" w:eastAsia="宋体"/>
                <w:b w:val="0"/>
                <w:i w:val="0"/>
                <w:sz w:val="24"/>
              </w:rPr>
              <w:t>负结果的解读是研究内容一的重要收获：层次覆盖没有表现出相对规范区间列表的普遍存储优势，这并不意味着设计失败，而是把“覆盖结构是否有价值”这一假设从“存储压缩”转向“协议接口”：在保留 I* 主表示的同时，C(P) 可以作为节点级授权、缓存键与聚合接口的输入，其价值需要由后续授权协议来检验。这一认识直接约束了研究内容二的设计空间，也防止把未经验证的性能假设写入论文结论。</w:t>
            </w:r>
          </w:p>
          <w:p>
            <w:pPr>
              <w:spacing w:line="400" w:lineRule="exact" w:before="0" w:after="0"/>
              <w:ind w:firstLineChars="200"/>
            </w:pPr>
            <w:r>
              <w:rPr>
                <w:rFonts w:ascii="Times New Roman" w:hAnsi="Times New Roman" w:eastAsia="宋体"/>
                <w:b w:val="0"/>
                <w:i w:val="0"/>
                <w:sz w:val="24"/>
              </w:rPr>
              <w:t xml:space="preserve">综上，研究内容一目前已完成时间策略形式化、唯一语义表示、确定性编译流程、正确性分析与输出敏感复杂度刻画，并完成 168 个样本、15120 条记录与 81 项测试的阶段性验证。现有证据支持 </w:t>
            </w:r>
            <m:oMath xmlns:mml="http://www.w3.org/1998/Math/MathML">
              <m:sSup>
                <m:e>
                  <m:r>
                    <m:t>I</m:t>
                  </m:r>
                </m:e>
                <m:sup>
                  <m:r>
                    <m:t>*</m:t>
                  </m:r>
                </m:sup>
              </m:sSup>
            </m:oMath>
            <w:r>
              <w:rPr>
                <w:rFonts w:ascii="Times New Roman" w:hAnsi="Times New Roman" w:eastAsia="宋体"/>
                <w:b w:val="0"/>
                <w:i w:val="0"/>
                <w:sz w:val="24"/>
              </w:rPr>
              <w:t xml:space="preserve"> 作为主语义表示与摘要基础，同时明确表明层次覆盖不具普遍存储或一维查询优势。因此，后续研究不再将层次覆盖作为压缩优势的来源，而将其定位为派生执行结构与节点级授权接口的可选输入；这一负结果构成方法适用边界的一部分，也为研究内容二的授权执行设计提供了明确的输入约束。</w:t>
            </w:r>
          </w:p>
          <w:p>
            <w:pPr>
              <w:spacing w:line="400" w:lineRule="exact" w:before="0" w:after="0"/>
              <w:ind/>
            </w:pPr>
            <w:r>
              <w:rPr>
                <w:rFonts w:ascii="Times New Roman" w:hAnsi="Times New Roman" w:eastAsia="宋体"/>
                <w:b/>
                <w:i w:val="0"/>
                <w:sz w:val="24"/>
              </w:rPr>
              <w:t>（5）研究内容二：基于许可联盟链的可信授权执行</w:t>
            </w:r>
          </w:p>
          <w:p>
            <w:pPr>
              <w:spacing w:line="400" w:lineRule="exact" w:before="0" w:after="0"/>
              <w:ind w:firstLineChars="200"/>
            </w:pPr>
            <w:r>
              <w:rPr>
                <w:rFonts w:ascii="Times New Roman" w:hAnsi="Times New Roman" w:eastAsia="宋体"/>
                <w:b w:val="0"/>
                <w:i w:val="0"/>
                <w:sz w:val="24"/>
              </w:rPr>
              <w:t>研究内容二要解决的是授权执行的可信性问题。研究内容一输出的唯一语义表示与策略摘要构成研究内容二的输入：资源在链上注册时记录策略摘要，能力签发与验证都绑定该摘要，验证流程重新执行时间策略检查，从而把策略语义、策略摘要与链上状态绑定在一起。但仅有策略表示仍然不够——授权执行面对的是动态状态：用户可能被暂停或撤销，资源策略可能更新，用户密钥可能轮换，epoch 可能推进。若授权判定依赖本地保存的策略副本或单一服务端，则本地副本可能过期、单一服务可能被绕过、同一能力可能在多个验证实例上被重复消费，这些场景都要求授权执行具备统一、可审计、抗重放的事实源。</w:t>
            </w:r>
          </w:p>
          <w:p>
            <w:pPr>
              <w:spacing w:line="400" w:lineRule="exact" w:before="0" w:after="0"/>
              <w:ind w:firstLineChars="200"/>
            </w:pPr>
            <w:r>
              <w:rPr>
                <w:rFonts w:ascii="Times New Roman" w:hAnsi="Times New Roman" w:eastAsia="宋体"/>
                <w:b w:val="0"/>
                <w:i w:val="0"/>
                <w:sz w:val="24"/>
              </w:rPr>
              <w:t>基于上述分析，本研究选择许可联盟链作为授权状态的锚点与审计事实源</w:t>
            </w:r>
            <w:r>
              <w:rPr>
                <w:rFonts w:ascii="Times New Roman" w:hAnsi="Times New Roman" w:eastAsia="宋体"/>
                <w:b w:val="0"/>
                <w:i w:val="0"/>
                <w:sz w:val="24"/>
                <w:vertAlign w:val="superscript"/>
              </w:rPr>
              <w:t>[7]</w:t>
            </w:r>
            <w:r>
              <w:rPr>
                <w:rFonts w:ascii="Times New Roman" w:hAnsi="Times New Roman" w:eastAsia="宋体"/>
                <w:b w:val="0"/>
                <w:i w:val="0"/>
                <w:sz w:val="24"/>
                <w:vertAlign w:val="superscript"/>
              </w:rPr>
              <w:t>[21]</w:t>
            </w:r>
            <w:r>
              <w:rPr>
                <w:rFonts w:ascii="Times New Roman" w:hAnsi="Times New Roman" w:eastAsia="宋体"/>
                <w:b w:val="0"/>
                <w:i w:val="0"/>
                <w:sz w:val="24"/>
              </w:rPr>
              <w:t>。与公有链相比，许可联盟链由一组可识别的组织节点共同维护，适合多方协作但受控的数据共享场景；与中心化数据库相比，链上状态具有多副本一致、写入可审计、状态变迁可追溯的特点，适合作为多方共同信任的授权事实源。研究采用 Besu QBFT 共识部署真实链环境</w:t>
            </w:r>
            <w:r>
              <w:rPr>
                <w:rFonts w:ascii="Times New Roman" w:hAnsi="Times New Roman" w:eastAsia="宋体"/>
                <w:b w:val="0"/>
                <w:i w:val="0"/>
                <w:sz w:val="24"/>
                <w:vertAlign w:val="superscript"/>
              </w:rPr>
              <w:t>[21]</w:t>
            </w:r>
            <w:r>
              <w:rPr>
                <w:rFonts w:ascii="Times New Roman" w:hAnsi="Times New Roman" w:eastAsia="宋体"/>
                <w:b w:val="0"/>
                <w:i w:val="0"/>
                <w:sz w:val="24"/>
              </w:rPr>
              <w:t>：四个 Validator 节点负责出块与共识，一个非验证 RPC/客户端节点承载应用访问，链标识与网络标识固定，所有正式实验在同一冻结链上完成。该部署不是“演示性搭链”，而是为授权状态提供确定性的公开事实源：任何状态更新都经过共识确认，任何读取都可以与链上快照核对。</w:t>
            </w:r>
          </w:p>
          <w:p>
            <w:pPr>
              <w:keepNext/>
              <w:spacing w:line="240" w:lineRule="auto" w:before="120" w:after="0"/>
              <w:jc w:val="center"/>
            </w:pPr>
            <w:r>
              <w:drawing>
                <wp:inline xmlns:a="http://schemas.openxmlformats.org/drawingml/2006/main" xmlns:pic="http://schemas.openxmlformats.org/drawingml/2006/picture">
                  <wp:extent cx="4680000" cy="3113366"/>
                  <wp:docPr id="7" name="Picture 7"/>
                  <wp:cNvGraphicFramePr>
                    <a:graphicFrameLocks noChangeAspect="1"/>
                  </wp:cNvGraphicFramePr>
                  <a:graphic>
                    <a:graphicData uri="http://schemas.openxmlformats.org/drawingml/2006/picture">
                      <pic:pic>
                        <pic:nvPicPr>
                          <pic:cNvPr id="0" name="m4-fig4-arch.png"/>
                          <pic:cNvPicPr/>
                        </pic:nvPicPr>
                        <pic:blipFill>
                          <a:blip r:embed="rId29"/>
                          <a:stretch>
                            <a:fillRect/>
                          </a:stretch>
                        </pic:blipFill>
                        <pic:spPr>
                          <a:xfrm>
                            <a:off x="0" y="0"/>
                            <a:ext cx="4680000" cy="3113366"/>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图7 许可联盟链可信授权系统总体架构</w:t>
            </w:r>
          </w:p>
          <w:p>
            <w:pPr>
              <w:spacing w:line="400" w:lineRule="exact" w:before="0" w:after="0"/>
              <w:ind w:firstLineChars="200"/>
            </w:pPr>
            <w:r>
              <w:rPr>
                <w:rFonts w:ascii="Times New Roman" w:hAnsi="Times New Roman" w:eastAsia="宋体"/>
                <w:b w:val="0"/>
                <w:i w:val="0"/>
                <w:sz w:val="24"/>
              </w:rPr>
              <w:t xml:space="preserve">链上授权状态由 </w:t>
            </w:r>
            <w:r>
              <w:rPr>
                <w:rFonts w:ascii="Consolas" w:hAnsi="Consolas" w:eastAsia="宋体"/>
                <w:b w:val="0"/>
                <w:i w:val="0"/>
                <w:sz w:val="22"/>
              </w:rPr>
              <w:t>AuthorizationState</w:t>
            </w:r>
            <w:r>
              <w:rPr>
                <w:rFonts w:ascii="Times New Roman" w:hAnsi="Times New Roman" w:eastAsia="宋体"/>
                <w:b w:val="0"/>
                <w:i w:val="0"/>
                <w:sz w:val="24"/>
              </w:rPr>
              <w:t xml:space="preserve"> 合约分别维护资源状态与用户状态。资源状态记录所有者、策略摘要、epoch、状态、策略版本、状态版本与更新时间；用户状态记录账户、用户密钥标识、状态、用户版本与更新时间。状态枚举为 NONE、ACTIVE、SUSPENDED 与 REVOKED：资源注册后进入 ACTIVE，策略更新递增策略版本与状态版本，epoch 推进递增 epoch 与状态版本，暂停、恢复与撤销推动资源状态及状态版本；用户注册后进入 ACTIVE，密钥轮换递增用户版本，用户状态变化同样递增用户版本；资源或用户一旦进入 REVOKED 不得恢复为 ACTIVE。版本字段构成状态快照的基础：任何验证与材料释放判定都可以基于某一时刻的快照进行，并通过版本比较检测状态变化。</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stateVersio</m:t>
              </m:r>
              <m:sSup>
                <m:e>
                  <m:r>
                    <m:t>n</m:t>
                  </m:r>
                </m:e>
                <m:sup>
                  <m:r>
                    <m:t>′</m:t>
                  </m:r>
                </m:sup>
              </m:sSup>
              <m:r>
                <m:t>=stateVersion+1</m:t>
              </m:r>
              <m:r>
                <m:rPr>
                  <m:nor/>
                </m:rPr>
                <m:t> </m:t>
              </m:r>
              <m:r>
                <m:t>∧</m:t>
              </m:r>
              <m:r>
                <m:rPr>
                  <m:nor/>
                </m:rPr>
                <m:t> </m:t>
              </m:r>
              <m:r>
                <m:t>REVOKED</m:t>
              </m:r>
              <m:r>
                <m:rPr>
                  <m:nor/>
                </m:rPr>
                <m:t> 为终态</m:t>
              </m:r>
              <m:r>
                <m:t>.</m:t>
              </m:r>
            </m:oMath>
            <w:r>
              <w:rPr>
                <w:rFonts w:ascii="Times New Roman" w:hAnsi="Times New Roman" w:eastAsia="宋体"/>
                <w:b w:val="0"/>
                <w:i w:val="0"/>
                <w:sz w:val="21"/>
              </w:rPr>
              <w:tab/>
              <w:t>(12)</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U=(account,userKeyId,status,userVersion,updatedAtBlock).</m:t>
              </m:r>
            </m:oMath>
            <w:r>
              <w:rPr>
                <w:rFonts w:ascii="Times New Roman" w:hAnsi="Times New Roman" w:eastAsia="宋体"/>
                <w:b w:val="0"/>
                <w:i w:val="0"/>
                <w:sz w:val="21"/>
              </w:rPr>
              <w:tab/>
              <w:t>(13)</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R=(owner,policyDigest,epoch,status,policyVersion,stateVersion,updatedAtBlock).</m:t>
              </m:r>
            </m:oMath>
            <w:r>
              <w:rPr>
                <w:rFonts w:ascii="Times New Roman" w:hAnsi="Times New Roman" w:eastAsia="宋体"/>
                <w:b w:val="0"/>
                <w:i w:val="0"/>
                <w:sz w:val="21"/>
              </w:rPr>
              <w:tab/>
              <w:t>(14)</w:t>
            </w:r>
          </w:p>
          <w:p>
            <w:pPr>
              <w:spacing w:line="400" w:lineRule="exact" w:before="0" w:after="0"/>
              <w:ind w:firstLineChars="200"/>
            </w:pPr>
            <w:r>
              <w:rPr>
                <w:rFonts w:ascii="Times New Roman" w:hAnsi="Times New Roman" w:eastAsia="宋体"/>
                <w:b w:val="0"/>
                <w:i w:val="0"/>
                <w:sz w:val="24"/>
              </w:rPr>
              <w:t>在授权状态模型之上，研究设计了 CAP2 能力结构。设计的动因是：普通令牌通常只包含签发者、主体与有效期，无法约束令牌在哪个链、哪个合约实例、哪个资源状态版本下有效；持有令牌的用户可以把令牌用于其他环境或其他资源，也可以在状态变化后继续使用旧令牌。CAP2 以规范化字节序列为输入，使用 Ed25519 签名，将链标识、合约地址、策略摘要、epoch</w:t>
            </w:r>
            <w:r>
              <w:rPr>
                <w:rFonts w:ascii="Times New Roman" w:hAnsi="Times New Roman" w:eastAsia="宋体"/>
                <w:b w:val="0"/>
                <w:i w:val="0"/>
                <w:sz w:val="24"/>
                <w:vertAlign w:val="superscript"/>
              </w:rPr>
              <w:t>[22]</w:t>
            </w:r>
            <w:r>
              <w:rPr>
                <w:rFonts w:ascii="Times New Roman" w:hAnsi="Times New Roman" w:eastAsia="宋体"/>
                <w:b w:val="0"/>
                <w:i w:val="0"/>
                <w:sz w:val="24"/>
              </w:rPr>
              <w:t>、资源状态版本、用户密钥标识与用户版本、操作类型、生效与失效时间以及一次性 Nonce 等字段完整绑定。其中，链标识与合约地址阻止能力迁移到其他链或合约实例；策略摘要、epoch 与资源状态版本绑定资源当前状态；用户密钥标识与用户版本绑定当前用户密钥；操作类型、生效与失效时间限定用途与时间窗口；Nonce 支撑一次性消费。每个绑定维度对应一类具体的失效风险，验证时对全部维度逐一复核。</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σ=</m:t>
              </m:r>
              <m:r>
                <m:t>Ed25519.Sign</m:t>
              </m:r>
              <m:r>
                <m:t>(s</m:t>
              </m:r>
              <m:sSub>
                <m:e>
                  <m:r>
                    <m:t>k</m:t>
                  </m:r>
                </m:e>
                <m:sub>
                  <m:r>
                    <m:t>I</m:t>
                  </m:r>
                </m:sub>
              </m:sSub>
              <m:r>
                <m:t>,B).</m:t>
              </m:r>
            </m:oMath>
            <w:r>
              <w:rPr>
                <w:rFonts w:ascii="Times New Roman" w:hAnsi="Times New Roman" w:eastAsia="宋体"/>
                <w:b w:val="0"/>
                <w:i w:val="0"/>
                <w:sz w:val="21"/>
              </w:rPr>
              <w:tab/>
              <w:t>(15)</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B=</m:t>
              </m:r>
              <m:sSub>
                <m:e>
                  <m:r>
                    <m:t>Encode</m:t>
                  </m:r>
                </m:e>
                <m:sub>
                  <m:r>
                    <m:t>CAP2</m:t>
                  </m:r>
                </m:sub>
              </m:sSub>
              <m:r>
                <m:t>(</m:t>
              </m:r>
              <m:sSub>
                <m:e>
                  <m:r>
                    <m:t>F</m:t>
                  </m:r>
                </m:e>
                <m:sub>
                  <m:r>
                    <m:t>1</m:t>
                  </m:r>
                </m:sub>
              </m:sSub>
              <m:r>
                <m:t>‖</m:t>
              </m:r>
              <m:sSub>
                <m:e>
                  <m:r>
                    <m:t>F</m:t>
                  </m:r>
                </m:e>
                <m:sub>
                  <m:r>
                    <m:t>2</m:t>
                  </m:r>
                </m:sub>
              </m:sSub>
              <m:r>
                <m:t>‖⋯‖</m:t>
              </m:r>
              <m:sSub>
                <m:e>
                  <m:r>
                    <m:t>F</m:t>
                  </m:r>
                </m:e>
                <m:sub>
                  <m:r>
                    <m:t>n</m:t>
                  </m:r>
                </m:sub>
              </m:sSub>
              <m:r>
                <m:t>).</m:t>
              </m:r>
            </m:oMath>
            <w:r>
              <w:rPr>
                <w:rFonts w:ascii="Times New Roman" w:hAnsi="Times New Roman" w:eastAsia="宋体"/>
                <w:b w:val="0"/>
                <w:i w:val="0"/>
                <w:sz w:val="21"/>
              </w:rPr>
              <w:tab/>
              <w:t>(16)</w:t>
            </w:r>
          </w:p>
          <w:p>
            <w:pPr>
              <w:spacing w:line="400" w:lineRule="exact" w:before="0" w:after="0"/>
              <w:ind w:firstLineChars="200"/>
            </w:pPr>
            <w:r>
              <w:rPr>
                <w:rFonts w:ascii="Times New Roman" w:hAnsi="Times New Roman" w:eastAsia="宋体"/>
                <w:b w:val="0"/>
                <w:i w:val="0"/>
                <w:sz w:val="24"/>
              </w:rPr>
              <w:t>编码层面，CAP2 采用规范化字节序列作为签名输入：整数采用无符号大端编码，变长字符串带 16 位长度前缀，字段顺序固定，从而保证同一能力内容对应唯一字节串，签名结果具有确定性。策略摘要始终由 I* 计算，C(P) 不参与语义身份定义；在启用层次模式的配置下，能力可附加匹配节点与覆盖版本字段，供后续节点级授权实验使用，但这些字段不改变语义身份。签名密钥由 Issuer 持有并保护，验证方通过登记的公钥验签，把能力内容的完整性与签发者的可信性绑定。</w:t>
            </w:r>
          </w:p>
          <w:p>
            <w:pPr>
              <w:spacing w:line="400" w:lineRule="exact" w:before="0" w:after="0"/>
              <w:ind w:firstLineChars="200"/>
            </w:pPr>
            <w:r>
              <w:rPr>
                <w:rFonts w:ascii="Times New Roman" w:hAnsi="Times New Roman" w:eastAsia="宋体"/>
                <w:b w:val="0"/>
                <w:i w:val="0"/>
                <w:sz w:val="24"/>
              </w:rPr>
              <w:t>能力签发流程由 Issuer 执行：首先在同一确认区块读取资源状态与用户状态，检查资源与用户均为 ACTIVE；随后校验用户公钥哈希与链上密钥标识一致，检查策略摘要一致且当前时间落入策略允许窗口；生成 Nonce、有效期与待签字段后，在签名前再次读取同一资源与用户状态，若两次快照不一致则拒绝签发。签名前复读的目的在于防止“签发时点与读取时点之间状态已经变化”的竞态：签发操作依据的是签名前的最终确认快照，避免把基于过期状态的判断固化到能力中。</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算法4 CAP2 能力签发（Issue</w:t>
            </w:r>
          </w:p>
          <w:p>
            <w:pPr>
              <w:spacing w:line="400" w:lineRule="exact" w:before="0" w:after="0"/>
              <w:ind w:firstLineChars="200"/>
            </w:pPr>
            <w:r>
              <w:rPr>
                <w:rFonts w:ascii="Times New Roman" w:hAnsi="Times New Roman" w:eastAsia="宋体"/>
                <w:b w:val="0"/>
                <w:i w:val="0"/>
                <w:sz w:val="24"/>
              </w:rPr>
              <w:t>输入：授权请求（资源、用户、操作）、链上确认状态</w:t>
            </w:r>
          </w:p>
          <w:p>
            <w:pPr>
              <w:spacing w:line="400" w:lineRule="exact" w:before="0" w:after="0"/>
              <w:ind w:firstLineChars="200"/>
            </w:pPr>
            <w:r>
              <w:rPr>
                <w:rFonts w:ascii="Times New Roman" w:hAnsi="Times New Roman" w:eastAsia="宋体"/>
                <w:b w:val="0"/>
                <w:i w:val="0"/>
                <w:sz w:val="24"/>
              </w:rPr>
              <w:t>输出：签名能力 CAP2 或拒绝码</w:t>
            </w:r>
          </w:p>
          <w:p>
            <w:pPr>
              <w:spacing w:line="400" w:lineRule="exact" w:before="0" w:after="0"/>
              <w:ind w:firstLineChars="200"/>
            </w:pPr>
            <w:r>
              <w:rPr>
                <w:rFonts w:ascii="Times New Roman" w:hAnsi="Times New Roman" w:eastAsia="宋体"/>
                <w:b w:val="0"/>
                <w:i w:val="0"/>
                <w:sz w:val="24"/>
              </w:rPr>
              <w:t>1: 在确认区块读取资源状态与用户状态</w:t>
            </w:r>
          </w:p>
          <w:p>
            <w:pPr>
              <w:spacing w:line="400" w:lineRule="exact" w:before="0" w:after="0"/>
              <w:ind w:firstLineChars="200"/>
            </w:pPr>
            <w:r>
              <w:rPr>
                <w:rFonts w:ascii="Times New Roman" w:hAnsi="Times New Roman" w:eastAsia="宋体"/>
                <w:b w:val="0"/>
                <w:i w:val="0"/>
                <w:sz w:val="24"/>
              </w:rPr>
              <w:t>2: 校验资源与用户均为 ACTIVE，且 policyDigest 与注册一致</w:t>
            </w:r>
          </w:p>
          <w:p>
            <w:pPr>
              <w:spacing w:line="400" w:lineRule="exact" w:before="0" w:after="0"/>
              <w:ind w:firstLineChars="200"/>
            </w:pPr>
            <w:r>
              <w:rPr>
                <w:rFonts w:ascii="Times New Roman" w:hAnsi="Times New Roman" w:eastAsia="宋体"/>
                <w:b w:val="0"/>
                <w:i w:val="0"/>
                <w:sz w:val="24"/>
              </w:rPr>
              <w:t>3: 校验 SHA-256(用户公钥) = userKeyId，且当前时间落入策略允许窗口</w:t>
            </w:r>
          </w:p>
          <w:p>
            <w:pPr>
              <w:spacing w:line="400" w:lineRule="exact" w:before="0" w:after="0"/>
              <w:ind w:firstLineChars="200"/>
            </w:pPr>
            <w:r>
              <w:rPr>
                <w:rFonts w:ascii="Times New Roman" w:hAnsi="Times New Roman" w:eastAsia="宋体"/>
                <w:b w:val="0"/>
                <w:i w:val="0"/>
                <w:sz w:val="24"/>
              </w:rPr>
              <w:t>4: 生成一次性 Nonce、生效与失效时间，组装待签字段</w:t>
            </w:r>
          </w:p>
          <w:p>
            <w:pPr>
              <w:spacing w:line="400" w:lineRule="exact" w:before="0" w:after="0"/>
              <w:ind w:firstLineChars="200"/>
            </w:pPr>
            <w:r>
              <w:rPr>
                <w:rFonts w:ascii="Times New Roman" w:hAnsi="Times New Roman" w:eastAsia="宋体"/>
                <w:b w:val="0"/>
                <w:i w:val="0"/>
                <w:sz w:val="24"/>
              </w:rPr>
              <w:t>5: 签名前在同一确认区块复读资源与用户状态</w:t>
            </w:r>
          </w:p>
          <w:p>
            <w:pPr>
              <w:spacing w:line="400" w:lineRule="exact" w:before="0" w:after="0"/>
              <w:ind w:firstLineChars="200"/>
            </w:pPr>
            <w:r>
              <w:rPr>
                <w:rFonts w:ascii="Times New Roman" w:hAnsi="Times New Roman" w:eastAsia="宋体"/>
                <w:b w:val="0"/>
                <w:i w:val="0"/>
                <w:sz w:val="24"/>
              </w:rPr>
              <w:t>6: IF 两次快照不一致 THEN 返回 REJECT  /* 防止签发时点竞态 */</w:t>
            </w:r>
          </w:p>
          <w:p>
            <w:pPr>
              <w:spacing w:line="400" w:lineRule="exact" w:before="0" w:after="0"/>
              <w:ind w:firstLineChars="200"/>
            </w:pPr>
            <w:r>
              <w:rPr>
                <w:rFonts w:ascii="Times New Roman" w:hAnsi="Times New Roman" w:eastAsia="宋体"/>
                <w:b w:val="0"/>
                <w:i w:val="0"/>
                <w:sz w:val="24"/>
              </w:rPr>
              <w:t>7: 规范化编码并以 Ed25519 私钥签名，返回 CAP2</w:t>
            </w:r>
          </w:p>
          <w:p>
            <w:pPr>
              <w:spacing w:line="400" w:lineRule="exact" w:before="0" w:after="0"/>
              <w:ind w:firstLineChars="200"/>
            </w:pPr>
            <w:r>
              <w:rPr>
                <w:rFonts w:ascii="Times New Roman" w:hAnsi="Times New Roman" w:eastAsia="宋体"/>
                <w:b w:val="0"/>
                <w:i w:val="0"/>
                <w:sz w:val="24"/>
              </w:rPr>
              <w:t>算法结束</w:t>
            </w:r>
          </w:p>
          <w:p>
            <w:pPr>
              <w:spacing w:line="400" w:lineRule="exact" w:before="0" w:after="0"/>
              <w:ind w:firstLineChars="200"/>
            </w:pPr>
            <w:r>
              <w:rPr>
                <w:rFonts w:ascii="Times New Roman" w:hAnsi="Times New Roman" w:eastAsia="宋体"/>
                <w:b w:val="0"/>
                <w:i w:val="0"/>
                <w:sz w:val="24"/>
              </w:rPr>
              <w:t>验证流程由 Verifier 执行：解析并验签后，读取确认链状态，依次检查资源状态、用户状态、策略摘要、epoch、链与合约绑定、状态版本、用户版本、操作类型与时间窗口，并重新执行时间策略检查；全部通过后，原子消费共享 Nonce，冲突则返回重放拒绝，仅当全部检查通过且消费成功时返回接受。验证阶段重新读取链上状态而非信任签发时的快照，原因在于授权状态可能在签发与使用之间发生变化：用户可能已被撤销、资源可能已被暂停、密钥可能已经轮换，只有验证时点的链上状态才能反映当前是否仍然有效</w:t>
            </w:r>
            <w:r>
              <w:rPr>
                <w:rFonts w:ascii="Times New Roman" w:hAnsi="Times New Roman" w:eastAsia="宋体"/>
                <w:b w:val="0"/>
                <w:i w:val="0"/>
                <w:sz w:val="24"/>
                <w:vertAlign w:val="superscript"/>
              </w:rPr>
              <w:t>[23]</w:t>
            </w:r>
            <w:r>
              <w:rPr>
                <w:rFonts w:ascii="Times New Roman" w:hAnsi="Times New Roman" w:eastAsia="宋体"/>
                <w:b w:val="0"/>
                <w:i w:val="0"/>
                <w:sz w:val="24"/>
              </w:rPr>
              <w:t>。</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算法5 CAP2 验证与共享 Nonce 消费（Verify</w:t>
            </w:r>
          </w:p>
          <w:p>
            <w:pPr>
              <w:spacing w:line="400" w:lineRule="exact" w:before="0" w:after="0"/>
              <w:ind w:firstLineChars="200"/>
            </w:pPr>
            <w:r>
              <w:rPr>
                <w:rFonts w:ascii="Times New Roman" w:hAnsi="Times New Roman" w:eastAsia="宋体"/>
                <w:b w:val="0"/>
                <w:i w:val="0"/>
                <w:sz w:val="24"/>
              </w:rPr>
              <w:t>输入：CAP2 能力、请求上下文</w:t>
            </w:r>
          </w:p>
          <w:p>
            <w:pPr>
              <w:spacing w:line="400" w:lineRule="exact" w:before="0" w:after="0"/>
              <w:ind w:firstLineChars="200"/>
            </w:pPr>
            <w:r>
              <w:rPr>
                <w:rFonts w:ascii="Times New Roman" w:hAnsi="Times New Roman" w:eastAsia="宋体"/>
                <w:b w:val="0"/>
                <w:i w:val="0"/>
                <w:sz w:val="24"/>
              </w:rPr>
              <w:t>输出：ACCEPT 或对应拒绝码</w:t>
            </w:r>
          </w:p>
          <w:p>
            <w:pPr>
              <w:spacing w:line="400" w:lineRule="exact" w:before="0" w:after="0"/>
              <w:ind w:firstLineChars="200"/>
            </w:pPr>
            <w:r>
              <w:rPr>
                <w:rFonts w:ascii="Times New Roman" w:hAnsi="Times New Roman" w:eastAsia="宋体"/>
                <w:b w:val="0"/>
                <w:i w:val="0"/>
                <w:sz w:val="24"/>
              </w:rPr>
              <w:t>1: 解析规范编码；失败返回 MALFORMED_TOKEN</w:t>
            </w:r>
          </w:p>
          <w:p>
            <w:pPr>
              <w:spacing w:line="400" w:lineRule="exact" w:before="0" w:after="0"/>
              <w:ind w:firstLineChars="200"/>
            </w:pPr>
            <w:r>
              <w:rPr>
                <w:rFonts w:ascii="Times New Roman" w:hAnsi="Times New Roman" w:eastAsia="宋体"/>
                <w:b w:val="0"/>
                <w:i w:val="0"/>
                <w:sz w:val="24"/>
              </w:rPr>
              <w:t>2: 验证 Ed25519 签名；失败返回 INVALID_SIGNATURE</w:t>
            </w:r>
          </w:p>
          <w:p>
            <w:pPr>
              <w:spacing w:line="400" w:lineRule="exact" w:before="0" w:after="0"/>
              <w:ind w:firstLineChars="200"/>
            </w:pPr>
            <w:r>
              <w:rPr>
                <w:rFonts w:ascii="Times New Roman" w:hAnsi="Times New Roman" w:eastAsia="宋体"/>
                <w:b w:val="0"/>
                <w:i w:val="0"/>
                <w:sz w:val="24"/>
              </w:rPr>
              <w:t>3: 读取确认链上状态；失败返回 SYSTEM_STATE_UNAVAILABLE</w:t>
            </w:r>
          </w:p>
          <w:p>
            <w:pPr>
              <w:spacing w:line="400" w:lineRule="exact" w:before="0" w:after="0"/>
              <w:ind w:firstLineChars="200"/>
            </w:pPr>
            <w:r>
              <w:rPr>
                <w:rFonts w:ascii="Times New Roman" w:hAnsi="Times New Roman" w:eastAsia="宋体"/>
                <w:b w:val="0"/>
                <w:i w:val="0"/>
                <w:sz w:val="24"/>
              </w:rPr>
              <w:t>4: 逐项复核：资源/用户状态、policyDigest、epoch、链与合约绑定、版本、操作与时间窗口</w:t>
            </w:r>
          </w:p>
          <w:p>
            <w:pPr>
              <w:spacing w:line="400" w:lineRule="exact" w:before="0" w:after="0"/>
              <w:ind w:firstLineChars="200"/>
            </w:pPr>
            <w:r>
              <w:rPr>
                <w:rFonts w:ascii="Times New Roman" w:hAnsi="Times New Roman" w:eastAsia="宋体"/>
                <w:b w:val="0"/>
                <w:i w:val="0"/>
                <w:sz w:val="24"/>
              </w:rPr>
              <w:t>5: 重新执行 I* 时间策略检查</w:t>
            </w:r>
          </w:p>
          <w:p>
            <w:pPr>
              <w:spacing w:line="400" w:lineRule="exact" w:before="0" w:after="0"/>
              <w:ind w:firstLineChars="200"/>
            </w:pPr>
            <w:r>
              <w:rPr>
                <w:rFonts w:ascii="Times New Roman" w:hAnsi="Times New Roman" w:eastAsia="宋体"/>
                <w:b w:val="0"/>
                <w:i w:val="0"/>
                <w:sz w:val="24"/>
              </w:rPr>
              <w:t>6: 以 (chain,contract,resource,epoch,nonce) 为唯一键原子消费共享 Nonce；冲突返回 NONCE_REPLAY</w:t>
            </w:r>
          </w:p>
          <w:p>
            <w:pPr>
              <w:spacing w:line="400" w:lineRule="exact" w:before="0" w:after="0"/>
              <w:ind w:firstLineChars="200"/>
            </w:pPr>
            <w:r>
              <w:rPr>
                <w:rFonts w:ascii="Times New Roman" w:hAnsi="Times New Roman" w:eastAsia="宋体"/>
                <w:b w:val="0"/>
                <w:i w:val="0"/>
                <w:sz w:val="24"/>
              </w:rPr>
              <w:t>7: 全部通过且消费成功时返回 ACCEPT</w:t>
            </w:r>
          </w:p>
          <w:p>
            <w:pPr>
              <w:spacing w:line="400" w:lineRule="exact" w:before="0" w:after="0"/>
              <w:ind w:firstLineChars="200"/>
            </w:pPr>
            <w:r>
              <w:rPr>
                <w:rFonts w:ascii="Times New Roman" w:hAnsi="Times New Roman" w:eastAsia="宋体"/>
                <w:b w:val="0"/>
                <w:i w:val="0"/>
                <w:sz w:val="24"/>
              </w:rPr>
              <w:t>算法结束</w:t>
            </w:r>
          </w:p>
          <w:p>
            <w:pPr>
              <w:spacing w:line="400" w:lineRule="exact" w:before="0" w:after="0"/>
              <w:ind w:firstLineChars="200"/>
            </w:pPr>
            <w:r>
              <w:rPr>
                <w:rFonts w:ascii="Times New Roman" w:hAnsi="Times New Roman" w:eastAsia="宋体"/>
                <w:b w:val="0"/>
                <w:i w:val="0"/>
                <w:sz w:val="24"/>
              </w:rPr>
              <w:t>验证顺序在实现中被冻结并完整执行：任何一步失败都返回对应拒绝码，不因部分检查通过而放行；状态读取使用确认区块的快照，避免把未确认或回滚的状态作为判定依据。共享 Nonce 的消费在全部检查通过后执行，消费结果作为最终接受条件，从而把“能力内容有效”与“能力未被使用”两个条件在单个原子操作中合并。</w:t>
            </w:r>
          </w:p>
          <w:p>
            <w:pPr>
              <w:keepNext/>
              <w:spacing w:line="240" w:lineRule="auto" w:before="120" w:after="0"/>
              <w:jc w:val="center"/>
            </w:pPr>
            <w:r>
              <w:drawing>
                <wp:inline xmlns:a="http://schemas.openxmlformats.org/drawingml/2006/main" xmlns:pic="http://schemas.openxmlformats.org/drawingml/2006/picture">
                  <wp:extent cx="4680000" cy="3585462"/>
                  <wp:docPr id="8" name="Picture 8"/>
                  <wp:cNvGraphicFramePr>
                    <a:graphicFrameLocks noChangeAspect="1"/>
                  </wp:cNvGraphicFramePr>
                  <a:graphic>
                    <a:graphicData uri="http://schemas.openxmlformats.org/drawingml/2006/picture">
                      <pic:pic>
                        <pic:nvPicPr>
                          <pic:cNvPr id="0" name="m4-fig5-cap2.png"/>
                          <pic:cNvPicPr/>
                        </pic:nvPicPr>
                        <pic:blipFill>
                          <a:blip r:embed="rId30"/>
                          <a:stretch>
                            <a:fillRect/>
                          </a:stretch>
                        </pic:blipFill>
                        <pic:spPr>
                          <a:xfrm>
                            <a:off x="0" y="0"/>
                            <a:ext cx="4680000" cy="3585462"/>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图8 CAP2 签发与验证双泳道流程</w:t>
            </w:r>
          </w:p>
          <w:p>
            <w:pPr>
              <w:spacing w:line="400" w:lineRule="exact" w:before="0" w:after="0"/>
              <w:ind w:firstLineChars="200"/>
            </w:pPr>
            <w:r>
              <w:rPr>
                <w:rFonts w:ascii="Times New Roman" w:hAnsi="Times New Roman" w:eastAsia="宋体"/>
                <w:b w:val="0"/>
                <w:i w:val="0"/>
                <w:sz w:val="24"/>
              </w:rPr>
              <w:t xml:space="preserve">跨实例重放控制是研究内容二的关键工程问题。系统部署两个相互独立的 Verifier，二者不共享进程内内存，因此不能依赖本地计数器或内存集合判断能力是否已被使用；必须把“一次性”语义建立在共享的原子状态之上。研究采用 PostgreSQL 唯一约束实现共享原子 Nonce：以 (chain_id, contract_address, resource_id, epoch, nonce) 为消费唯一键，通过单条 </w:t>
            </w:r>
            <w:r>
              <w:rPr>
                <w:rFonts w:ascii="Consolas" w:hAnsi="Consolas" w:eastAsia="宋体"/>
                <w:b w:val="0"/>
                <w:i w:val="0"/>
                <w:sz w:val="22"/>
              </w:rPr>
              <w:t>INSERT ... ON CONFLICT DO NOTHING RETURNING 1</w:t>
            </w:r>
            <w:r>
              <w:rPr>
                <w:rFonts w:ascii="Times New Roman" w:hAnsi="Times New Roman" w:eastAsia="宋体"/>
                <w:b w:val="0"/>
                <w:i w:val="0"/>
                <w:sz w:val="24"/>
              </w:rPr>
              <w:t xml:space="preserve"> 事务完成原子消费</w:t>
            </w:r>
            <w:r>
              <w:rPr>
                <w:rFonts w:ascii="Times New Roman" w:hAnsi="Times New Roman" w:eastAsia="宋体"/>
                <w:b w:val="0"/>
                <w:i w:val="0"/>
                <w:sz w:val="24"/>
                <w:vertAlign w:val="superscript"/>
              </w:rPr>
              <w:t>[24]</w:t>
            </w:r>
            <w:r>
              <w:rPr>
                <w:rFonts w:ascii="Times New Roman" w:hAnsi="Times New Roman" w:eastAsia="宋体"/>
                <w:b w:val="0"/>
                <w:i w:val="0"/>
                <w:sz w:val="24"/>
                <w:vertAlign w:val="superscript"/>
              </w:rPr>
              <w:t>[25]</w:t>
            </w:r>
            <w:r>
              <w:rPr>
                <w:rFonts w:ascii="Times New Roman" w:hAnsi="Times New Roman" w:eastAsia="宋体"/>
                <w:b w:val="0"/>
                <w:i w:val="0"/>
                <w:sz w:val="24"/>
              </w:rPr>
              <w:t>；返回一行表示本次请求获得唯一消费权，返回零行表示已被消费，数据库异常直接拒绝而不回退到进程内状态。并发 50、100 与 500 个相同能力请求时均仅有一次成功，分别拒绝 49、99 与 499 次重放，验证了跨实例重放控制的有效性。</w:t>
            </w:r>
          </w:p>
          <w:p>
            <w:pPr>
              <w:keepNext/>
              <w:spacing w:line="240" w:lineRule="auto" w:before="120" w:after="0"/>
              <w:jc w:val="center"/>
            </w:pPr>
            <w:r>
              <w:drawing>
                <wp:inline xmlns:a="http://schemas.openxmlformats.org/drawingml/2006/main" xmlns:pic="http://schemas.openxmlformats.org/drawingml/2006/picture">
                  <wp:extent cx="4680000" cy="2886215"/>
                  <wp:docPr id="9" name="Picture 9"/>
                  <wp:cNvGraphicFramePr>
                    <a:graphicFrameLocks noChangeAspect="1"/>
                  </wp:cNvGraphicFramePr>
                  <a:graphic>
                    <a:graphicData uri="http://schemas.openxmlformats.org/drawingml/2006/picture">
                      <pic:pic>
                        <pic:nvPicPr>
                          <pic:cNvPr id="0" name="m4-exp-fig14-concurrency.png"/>
                          <pic:cNvPicPr/>
                        </pic:nvPicPr>
                        <pic:blipFill>
                          <a:blip r:embed="rId31"/>
                          <a:stretch>
                            <a:fillRect/>
                          </a:stretch>
                        </pic:blipFill>
                        <pic:spPr>
                          <a:xfrm>
                            <a:off x="0" y="0"/>
                            <a:ext cx="4680000" cy="2886215"/>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图9 并发度对端到端时延的影响（RC2）</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rPr>
                  <m:nor/>
                </m:rPr>
                <m:t>INSERT </m:t>
              </m:r>
              <m:r>
                <m:t>(k)</m:t>
              </m:r>
              <m:r>
                <m:rPr>
                  <m:nor/>
                </m:rPr>
                <m:t> returns 1 </m:t>
              </m:r>
              <m:r>
                <m:t>⇔k∉consumed,</m:t>
              </m:r>
              <m:r>
                <m:t>k=(chain,contract,resource,epoch,nonce).</m:t>
              </m:r>
            </m:oMath>
            <w:r>
              <w:rPr>
                <w:rFonts w:ascii="Times New Roman" w:hAnsi="Times New Roman" w:eastAsia="宋体"/>
                <w:b w:val="0"/>
                <w:i w:val="0"/>
                <w:sz w:val="21"/>
              </w:rPr>
              <w:tab/>
              <w:t>(17)</w:t>
            </w:r>
          </w:p>
          <w:p>
            <w:pPr>
              <w:spacing w:line="400" w:lineRule="exact" w:before="0" w:after="0"/>
              <w:ind w:firstLineChars="200"/>
            </w:pPr>
            <w:r>
              <w:rPr>
                <w:rFonts w:ascii="Times New Roman" w:hAnsi="Times New Roman" w:eastAsia="宋体"/>
                <w:b w:val="0"/>
                <w:i w:val="0"/>
                <w:sz w:val="24"/>
              </w:rPr>
              <w:t>故障闭合方面，系统明确依赖故障时的行为：当 RPC 或数据库不可用时，系统拒绝授权而不是降级放行。数据库中断期间 Verifier 保持 Fail-Closed，恢复后既有消费记录仍可阻止重放；验证流程中任何一次状态读取失败都返回系统状态不可用，不把不完整信息作为判定依据。信任边界方面，系统采用角色分离：ADMIN 管理初始角色，OWNER 登记资源并更新策略，AUTHORIZER 推进 epoch，REVOCATION 管理暂停与撤销，AUDITOR 只读审计；角色分离降低单一业务账户承担全部权限的风险，但不阻止已获得合法管理角色的主体恶意操作，此类主体仍属于治理信任边界。安全验证方面，攻击回归、语义一致性、并发重放与状态竞争测试均未出现错误接受；这些证据支持冻结实现与故障模型下的系统主张，但不构成形式化安全证明，也不支持抵抗任意 Validator 合谋或追回已被合法用户取得的明文。</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rPr>
                  <m:nor/>
                </m:rPr>
                <m:t>release</m:t>
              </m:r>
              <m:r>
                <m:t>⇒status=ACTIVE∧</m:t>
              </m:r>
              <m:r>
                <m:rPr>
                  <m:nor/>
                </m:rPr>
                <m:t>dbAvailable</m:t>
              </m:r>
              <m:r>
                <m:t>.</m:t>
              </m:r>
            </m:oMath>
            <w:r>
              <w:rPr>
                <w:rFonts w:ascii="Times New Roman" w:hAnsi="Times New Roman" w:eastAsia="宋体"/>
                <w:b w:val="0"/>
                <w:i w:val="0"/>
                <w:sz w:val="21"/>
              </w:rPr>
              <w:tab/>
              <w:t>(18)</w:t>
            </w:r>
          </w:p>
          <w:p>
            <w:pPr>
              <w:spacing w:line="400" w:lineRule="exact" w:before="0" w:after="0"/>
              <w:ind w:firstLineChars="200"/>
            </w:pPr>
            <w:r>
              <w:rPr>
                <w:rFonts w:ascii="Times New Roman" w:hAnsi="Times New Roman" w:eastAsia="宋体"/>
                <w:b w:val="0"/>
                <w:i w:val="0"/>
                <w:sz w:val="24"/>
              </w:rPr>
              <w:t>实验环境方面，正式实验使用独立的正式链而非冷保留的基础设施验证链：正式链采用 Besu 26.5.0、Java 21、QBFT 共识、四个 Validator 与一个非验证 RPC 节点，链标识与网络标识固定，Genesis 摘要与合约工件摘要均在实验前冻结；五台 Ubuntu 24.04 虚拟机运行于 Windows 主机的 VMware 环境，客户端虚拟机承载非验证 RPC、Issuer、两个 Verifier 与 PostgreSQL。正式证据冻结了节点角色、软件版本、链参数与服务健康状态；由于单台虚拟机的精确配额未形成独立清单，论文不据此作硬件效率外推，并将共享物理主机列为有效性限制。第一次正式运行曾因链读取边界、局部性生成、缓存命中记录、吞吐量与统计单位等协议偏差被标记无效并重新预注册重跑，最终结论仅基于完整有效的 V13 重跑结果。</w:t>
            </w:r>
          </w:p>
          <w:p>
            <w:pPr>
              <w:keepNext/>
              <w:spacing w:line="320" w:lineRule="exact" w:before="120" w:after="60"/>
              <w:jc w:val="center"/>
            </w:pPr>
            <w:r>
              <w:rPr>
                <w:rFonts w:ascii="Times New Roman" w:hAnsi="Times New Roman" w:eastAsia="宋体"/>
                <w:b w:val="0"/>
                <w:i w:val="0"/>
                <w:sz w:val="21"/>
              </w:rPr>
              <w:t>表2 系统安全目标、机制与证据及结论边界</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3209"/>
              <w:gridCol w:w="3209"/>
              <w:gridCol w:w="3209"/>
            </w:tblGrid>
            <w:tr>
              <w:tc>
                <w:tcPr>
                  <w:tcW w:type="dxa" w:w="3209"/>
                  <w:tcBorders>
                    <w:bottom w:val="single" w:sz="6" w:color="000000"/>
                  </w:tcBorders>
                </w:tcPr>
                <w:p>
                  <w:pPr>
                    <w:spacing w:line="280" w:lineRule="exact"/>
                    <w:jc w:val="center"/>
                  </w:pPr>
                  <w:r>
                    <w:rPr>
                      <w:rFonts w:ascii="Times New Roman" w:hAnsi="Times New Roman" w:eastAsia="宋体"/>
                      <w:b/>
                      <w:i w:val="0"/>
                      <w:sz w:val="17"/>
                    </w:rPr>
                    <w:t>目标</w:t>
                  </w:r>
                </w:p>
              </w:tc>
              <w:tc>
                <w:tcPr>
                  <w:tcW w:type="dxa" w:w="3209"/>
                  <w:tcBorders>
                    <w:bottom w:val="single" w:sz="6" w:color="000000"/>
                  </w:tcBorders>
                </w:tcPr>
                <w:p>
                  <w:pPr>
                    <w:spacing w:line="280" w:lineRule="exact"/>
                    <w:jc w:val="center"/>
                  </w:pPr>
                  <w:r>
                    <w:rPr>
                      <w:rFonts w:ascii="Times New Roman" w:hAnsi="Times New Roman" w:eastAsia="宋体"/>
                      <w:b/>
                      <w:i w:val="0"/>
                      <w:sz w:val="17"/>
                    </w:rPr>
                    <w:t>机制与证据</w:t>
                  </w:r>
                </w:p>
              </w:tc>
              <w:tc>
                <w:tcPr>
                  <w:tcW w:type="dxa" w:w="3209"/>
                  <w:tcBorders>
                    <w:bottom w:val="single" w:sz="6" w:color="000000"/>
                  </w:tcBorders>
                </w:tcPr>
                <w:p>
                  <w:pPr>
                    <w:spacing w:line="280" w:lineRule="exact"/>
                    <w:jc w:val="center"/>
                  </w:pPr>
                  <w:r>
                    <w:rPr>
                      <w:rFonts w:ascii="Times New Roman" w:hAnsi="Times New Roman" w:eastAsia="宋体"/>
                      <w:b/>
                      <w:i w:val="0"/>
                      <w:sz w:val="17"/>
                    </w:rPr>
                    <w:t>结论边界</w:t>
                  </w:r>
                </w:p>
              </w:tc>
            </w:tr>
            <w:tr>
              <w:tc>
                <w:tcPr>
                  <w:tcW w:type="dxa" w:w="3209"/>
                </w:tcPr>
                <w:p>
                  <w:pPr>
                    <w:spacing w:line="280" w:lineRule="exact"/>
                    <w:jc w:val="center"/>
                  </w:pPr>
                  <w:r>
                    <w:rPr>
                      <w:rFonts w:ascii="Times New Roman" w:hAnsi="Times New Roman" w:eastAsia="宋体"/>
                      <w:b w:val="0"/>
                      <w:i w:val="0"/>
                      <w:sz w:val="17"/>
                    </w:rPr>
                    <w:t>S1 状态锚定与策略绑定</w:t>
                  </w:r>
                </w:p>
              </w:tc>
              <w:tc>
                <w:tcPr>
                  <w:tcW w:type="dxa" w:w="3209"/>
                </w:tcPr>
                <w:p>
                  <w:pPr>
                    <w:spacing w:line="280" w:lineRule="exact"/>
                    <w:jc w:val="center"/>
                  </w:pPr>
                  <w:r>
                    <w:rPr>
                      <w:rFonts w:ascii="Times New Roman" w:hAnsi="Times New Roman" w:eastAsia="宋体"/>
                      <w:b w:val="0"/>
                      <w:i w:val="0"/>
                      <w:sz w:val="17"/>
                    </w:rPr>
                    <w:t>资源/用户状态上链，policyDigest 绑定</w:t>
                  </w:r>
                </w:p>
              </w:tc>
              <w:tc>
                <w:tcPr>
                  <w:tcW w:type="dxa" w:w="3209"/>
                </w:tcPr>
                <w:p>
                  <w:pPr>
                    <w:spacing w:line="280" w:lineRule="exact"/>
                    <w:jc w:val="center"/>
                  </w:pPr>
                  <w:r>
                    <w:rPr>
                      <w:rFonts w:ascii="Times New Roman" w:hAnsi="Times New Roman" w:eastAsia="宋体"/>
                      <w:b w:val="0"/>
                      <w:i w:val="0"/>
                      <w:sz w:val="17"/>
                    </w:rPr>
                    <w:t>不证明链本身绝对可信</w:t>
                  </w:r>
                </w:p>
              </w:tc>
            </w:tr>
            <w:tr>
              <w:tc>
                <w:tcPr>
                  <w:tcW w:type="dxa" w:w="3209"/>
                </w:tcPr>
                <w:p>
                  <w:pPr>
                    <w:spacing w:line="280" w:lineRule="exact"/>
                    <w:jc w:val="center"/>
                  </w:pPr>
                  <w:r>
                    <w:rPr>
                      <w:rFonts w:ascii="Times New Roman" w:hAnsi="Times New Roman" w:eastAsia="宋体"/>
                      <w:b w:val="0"/>
                      <w:i w:val="0"/>
                      <w:sz w:val="17"/>
                    </w:rPr>
                    <w:t>S2 能力完整绑定</w:t>
                  </w:r>
                </w:p>
              </w:tc>
              <w:tc>
                <w:tcPr>
                  <w:tcW w:type="dxa" w:w="3209"/>
                </w:tcPr>
                <w:p>
                  <w:pPr>
                    <w:spacing w:line="280" w:lineRule="exact"/>
                    <w:jc w:val="center"/>
                  </w:pPr>
                  <w:r>
                    <w:rPr>
                      <w:rFonts w:ascii="Times New Roman" w:hAnsi="Times New Roman" w:eastAsia="宋体"/>
                      <w:b w:val="0"/>
                      <w:i w:val="0"/>
                      <w:sz w:val="17"/>
                    </w:rPr>
                    <w:t>CAP2 绑定链/合约/策略/版本，篡改测试拒绝</w:t>
                  </w:r>
                </w:p>
              </w:tc>
              <w:tc>
                <w:tcPr>
                  <w:tcW w:type="dxa" w:w="3209"/>
                </w:tcPr>
                <w:p>
                  <w:pPr>
                    <w:spacing w:line="280" w:lineRule="exact"/>
                    <w:jc w:val="center"/>
                  </w:pPr>
                  <w:r>
                    <w:rPr>
                      <w:rFonts w:ascii="Times New Roman" w:hAnsi="Times New Roman" w:eastAsia="宋体"/>
                      <w:b w:val="0"/>
                      <w:i w:val="0"/>
                      <w:sz w:val="17"/>
                    </w:rPr>
                    <w:t>不抵抗合法角色恶意使用</w:t>
                  </w:r>
                </w:p>
              </w:tc>
            </w:tr>
            <w:tr>
              <w:tc>
                <w:tcPr>
                  <w:tcW w:type="dxa" w:w="3209"/>
                </w:tcPr>
                <w:p>
                  <w:pPr>
                    <w:spacing w:line="280" w:lineRule="exact"/>
                    <w:jc w:val="center"/>
                  </w:pPr>
                  <w:r>
                    <w:rPr>
                      <w:rFonts w:ascii="Times New Roman" w:hAnsi="Times New Roman" w:eastAsia="宋体"/>
                      <w:b w:val="0"/>
                      <w:i w:val="0"/>
                      <w:sz w:val="17"/>
                    </w:rPr>
                    <w:t>S3 跨实例重放控制</w:t>
                  </w:r>
                </w:p>
              </w:tc>
              <w:tc>
                <w:tcPr>
                  <w:tcW w:type="dxa" w:w="3209"/>
                </w:tcPr>
                <w:p>
                  <w:pPr>
                    <w:spacing w:line="280" w:lineRule="exact"/>
                    <w:jc w:val="center"/>
                  </w:pPr>
                  <w:r>
                    <w:rPr>
                      <w:rFonts w:ascii="Times New Roman" w:hAnsi="Times New Roman" w:eastAsia="宋体"/>
                      <w:b w:val="0"/>
                      <w:i w:val="0"/>
                      <w:sz w:val="17"/>
                    </w:rPr>
                    <w:t>共享原子 Nonce，并发 50/100/500 均仅一次成功</w:t>
                  </w:r>
                </w:p>
              </w:tc>
              <w:tc>
                <w:tcPr>
                  <w:tcW w:type="dxa" w:w="3209"/>
                </w:tcPr>
                <w:p>
                  <w:pPr>
                    <w:spacing w:line="280" w:lineRule="exact"/>
                    <w:jc w:val="center"/>
                  </w:pPr>
                  <w:r>
                    <w:rPr>
                      <w:rFonts w:ascii="Times New Roman" w:hAnsi="Times New Roman" w:eastAsia="宋体"/>
                      <w:b w:val="0"/>
                      <w:i w:val="0"/>
                      <w:sz w:val="17"/>
                    </w:rPr>
                    <w:t>限于冻结命名空间与事务语义</w:t>
                  </w:r>
                </w:p>
              </w:tc>
            </w:tr>
            <w:tr>
              <w:tc>
                <w:tcPr>
                  <w:tcW w:type="dxa" w:w="3209"/>
                </w:tcPr>
                <w:p>
                  <w:pPr>
                    <w:spacing w:line="280" w:lineRule="exact"/>
                    <w:jc w:val="center"/>
                  </w:pPr>
                  <w:r>
                    <w:rPr>
                      <w:rFonts w:ascii="Times New Roman" w:hAnsi="Times New Roman" w:eastAsia="宋体"/>
                      <w:b w:val="0"/>
                      <w:i w:val="0"/>
                      <w:sz w:val="17"/>
                    </w:rPr>
                    <w:t>S4 依赖故障闭合</w:t>
                  </w:r>
                </w:p>
              </w:tc>
              <w:tc>
                <w:tcPr>
                  <w:tcW w:type="dxa" w:w="3209"/>
                </w:tcPr>
                <w:p>
                  <w:pPr>
                    <w:spacing w:line="280" w:lineRule="exact"/>
                    <w:jc w:val="center"/>
                  </w:pPr>
                  <w:r>
                    <w:rPr>
                      <w:rFonts w:ascii="Times New Roman" w:hAnsi="Times New Roman" w:eastAsia="宋体"/>
                      <w:b w:val="0"/>
                      <w:i w:val="0"/>
                      <w:sz w:val="17"/>
                    </w:rPr>
                    <w:t>RPC/数据库故障时拒绝授权</w:t>
                  </w:r>
                </w:p>
              </w:tc>
              <w:tc>
                <w:tcPr>
                  <w:tcW w:type="dxa" w:w="3209"/>
                </w:tcPr>
                <w:p>
                  <w:pPr>
                    <w:spacing w:line="280" w:lineRule="exact"/>
                    <w:jc w:val="center"/>
                  </w:pPr>
                  <w:r>
                    <w:rPr>
                      <w:rFonts w:ascii="Times New Roman" w:hAnsi="Times New Roman" w:eastAsia="宋体"/>
                      <w:b w:val="0"/>
                      <w:i w:val="0"/>
                      <w:sz w:val="17"/>
                    </w:rPr>
                    <w:t>不构成形式化安全证明</w:t>
                  </w:r>
                </w:p>
              </w:tc>
            </w:tr>
          </w:tbl>
          <w:p/>
          <w:p>
            <w:pPr>
              <w:spacing w:line="400" w:lineRule="exact" w:before="0" w:after="0"/>
              <w:ind w:firstLineChars="200"/>
            </w:pPr>
            <w:r>
              <w:rPr>
                <w:rFonts w:ascii="Times New Roman" w:hAnsi="Times New Roman" w:eastAsia="宋体"/>
                <w:b w:val="0"/>
                <w:i w:val="0"/>
                <w:sz w:val="24"/>
              </w:rPr>
              <w:t>正式实验在五节点真实链环境上完成。环境包括四台 Validator 虚拟机与一台承载非验证 RPC、Issuer、两个 Verifier 与 PostgreSQL 的客户端虚拟机，链参数与软件版本在实验前冻结。实验比较四种方法：B0 为无缓存的基线，B1 为区间缓存，C0 为无缓存的层次覆盖执行，C1 为层次节点缓存；自变量包括三种碎片率（0、0.5、1）、三种请求局部性（均匀、区间热点、节点热点）与并发度（1、4、16），采用三个固定随机种子，每个含 seed 配置进行 30 次正式重复。实验共覆盖 108 个因素配置、324 个含 seed 配置、9720 个运行块、77760 条请求记录与 233280 条链读取记录，每次请求执行三次真实链读取；方法比较在相同工作负载、seed 与重复下自然配对，每组比较含 2430 对运行块，并执行 10000 次运行级 Bootstrap</w:t>
            </w:r>
            <w:r>
              <w:rPr>
                <w:rFonts w:ascii="Times New Roman" w:hAnsi="Times New Roman" w:eastAsia="宋体"/>
                <w:b w:val="0"/>
                <w:i w:val="0"/>
                <w:sz w:val="24"/>
                <w:vertAlign w:val="superscript"/>
              </w:rPr>
              <w:t>[26]</w:t>
            </w:r>
            <w:r>
              <w:rPr>
                <w:rFonts w:ascii="Times New Roman" w:hAnsi="Times New Roman" w:eastAsia="宋体"/>
                <w:b w:val="0"/>
                <w:i w:val="0"/>
                <w:sz w:val="24"/>
              </w:rPr>
              <w:t>。</w:t>
            </w:r>
          </w:p>
          <w:p>
            <w:pPr>
              <w:keepNext/>
              <w:spacing w:line="320" w:lineRule="exact" w:before="120" w:after="60"/>
              <w:jc w:val="center"/>
            </w:pPr>
            <w:r>
              <w:rPr>
                <w:rFonts w:ascii="Times New Roman" w:hAnsi="Times New Roman" w:eastAsia="宋体"/>
                <w:b w:val="0"/>
                <w:i w:val="0"/>
                <w:sz w:val="21"/>
              </w:rPr>
              <w:t>表3 正式实验因素设计汇总</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2407"/>
              <w:gridCol w:w="2407"/>
              <w:gridCol w:w="2407"/>
              <w:gridCol w:w="2407"/>
            </w:tblGrid>
            <w:tr>
              <w:tc>
                <w:tcPr>
                  <w:tcW w:type="dxa" w:w="2407"/>
                  <w:tcBorders>
                    <w:bottom w:val="single" w:sz="6" w:color="000000"/>
                  </w:tcBorders>
                </w:tcPr>
                <w:p>
                  <w:pPr>
                    <w:spacing w:line="280" w:lineRule="exact"/>
                    <w:jc w:val="center"/>
                  </w:pPr>
                  <w:r>
                    <w:rPr>
                      <w:rFonts w:ascii="Times New Roman" w:hAnsi="Times New Roman" w:eastAsia="宋体"/>
                      <w:b/>
                      <w:i w:val="0"/>
                      <w:sz w:val="17"/>
                    </w:rPr>
                    <w:t>因素/规模</w:t>
                  </w:r>
                </w:p>
              </w:tc>
              <w:tc>
                <w:tcPr>
                  <w:tcW w:type="dxa" w:w="2407"/>
                  <w:tcBorders>
                    <w:bottom w:val="single" w:sz="6" w:color="000000"/>
                  </w:tcBorders>
                </w:tcPr>
                <w:p>
                  <w:pPr>
                    <w:spacing w:line="280" w:lineRule="exact"/>
                    <w:jc w:val="center"/>
                  </w:pPr>
                  <w:r>
                    <w:rPr>
                      <w:rFonts w:ascii="Times New Roman" w:hAnsi="Times New Roman" w:eastAsia="宋体"/>
                      <w:b/>
                      <w:i w:val="0"/>
                      <w:sz w:val="17"/>
                    </w:rPr>
                    <w:t>水平或取值</w:t>
                  </w:r>
                </w:p>
              </w:tc>
              <w:tc>
                <w:tcPr>
                  <w:tcW w:type="dxa" w:w="2407"/>
                  <w:tcBorders>
                    <w:bottom w:val="single" w:sz="6" w:color="000000"/>
                  </w:tcBorders>
                </w:tcPr>
                <w:p>
                  <w:pPr>
                    <w:spacing w:line="280" w:lineRule="exact"/>
                    <w:jc w:val="center"/>
                  </w:pPr>
                  <w:r>
                    <w:rPr>
                      <w:rFonts w:ascii="Times New Roman" w:hAnsi="Times New Roman" w:eastAsia="宋体"/>
                      <w:b/>
                      <w:i w:val="0"/>
                      <w:sz w:val="17"/>
                    </w:rPr>
                    <w:t>配置数</w:t>
                  </w:r>
                </w:p>
              </w:tc>
              <w:tc>
                <w:tcPr>
                  <w:tcW w:type="dxa" w:w="2407"/>
                  <w:tcBorders>
                    <w:bottom w:val="single" w:sz="6" w:color="000000"/>
                  </w:tcBorders>
                </w:tcPr>
                <w:p>
                  <w:pPr>
                    <w:spacing w:line="280" w:lineRule="exact"/>
                    <w:jc w:val="center"/>
                  </w:pPr>
                  <w:r>
                    <w:rPr>
                      <w:rFonts w:ascii="Times New Roman" w:hAnsi="Times New Roman" w:eastAsia="宋体"/>
                      <w:b/>
                      <w:i w:val="0"/>
                      <w:sz w:val="17"/>
                    </w:rPr>
                    <w:t>说明</w:t>
                  </w:r>
                </w:p>
              </w:tc>
            </w:tr>
            <w:tr>
              <w:tc>
                <w:tcPr>
                  <w:tcW w:type="dxa" w:w="2407"/>
                </w:tcPr>
                <w:p>
                  <w:pPr>
                    <w:spacing w:line="280" w:lineRule="exact"/>
                    <w:jc w:val="center"/>
                  </w:pPr>
                  <w:r>
                    <w:rPr>
                      <w:rFonts w:ascii="Times New Roman" w:hAnsi="Times New Roman" w:eastAsia="宋体"/>
                      <w:b w:val="0"/>
                      <w:i w:val="0"/>
                      <w:sz w:val="17"/>
                    </w:rPr>
                    <w:t>碎片率</w:t>
                  </w:r>
                </w:p>
              </w:tc>
              <w:tc>
                <w:tcPr>
                  <w:tcW w:type="dxa" w:w="2407"/>
                </w:tcPr>
                <w:p>
                  <w:pPr>
                    <w:spacing w:line="280" w:lineRule="exact"/>
                    <w:jc w:val="center"/>
                  </w:pPr>
                  <w:r>
                    <w:rPr>
                      <w:rFonts w:ascii="Times New Roman" w:hAnsi="Times New Roman" w:eastAsia="宋体"/>
                      <w:b w:val="0"/>
                      <w:i w:val="0"/>
                      <w:sz w:val="17"/>
                    </w:rPr>
                    <w:t>0 / 0.5 / 1</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策略碎片程度</w:t>
                  </w:r>
                </w:p>
              </w:tc>
            </w:tr>
            <w:tr>
              <w:tc>
                <w:tcPr>
                  <w:tcW w:type="dxa" w:w="2407"/>
                </w:tcPr>
                <w:p>
                  <w:pPr>
                    <w:spacing w:line="280" w:lineRule="exact"/>
                    <w:jc w:val="center"/>
                  </w:pPr>
                  <w:r>
                    <w:rPr>
                      <w:rFonts w:ascii="Times New Roman" w:hAnsi="Times New Roman" w:eastAsia="宋体"/>
                      <w:b w:val="0"/>
                      <w:i w:val="0"/>
                      <w:sz w:val="17"/>
                    </w:rPr>
                    <w:t>请求局部性</w:t>
                  </w:r>
                </w:p>
              </w:tc>
              <w:tc>
                <w:tcPr>
                  <w:tcW w:type="dxa" w:w="2407"/>
                </w:tcPr>
                <w:p>
                  <w:pPr>
                    <w:spacing w:line="280" w:lineRule="exact"/>
                    <w:jc w:val="center"/>
                  </w:pPr>
                  <w:r>
                    <w:rPr>
                      <w:rFonts w:ascii="Times New Roman" w:hAnsi="Times New Roman" w:eastAsia="宋体"/>
                      <w:b w:val="0"/>
                      <w:i w:val="0"/>
                      <w:sz w:val="17"/>
                    </w:rPr>
                    <w:t>均匀 / 区间热点 / 节点热点</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工作负载生成器</w:t>
                  </w:r>
                </w:p>
              </w:tc>
            </w:tr>
            <w:tr>
              <w:tc>
                <w:tcPr>
                  <w:tcW w:type="dxa" w:w="2407"/>
                </w:tcPr>
                <w:p>
                  <w:pPr>
                    <w:spacing w:line="280" w:lineRule="exact"/>
                    <w:jc w:val="center"/>
                  </w:pPr>
                  <w:r>
                    <w:rPr>
                      <w:rFonts w:ascii="Times New Roman" w:hAnsi="Times New Roman" w:eastAsia="宋体"/>
                      <w:b w:val="0"/>
                      <w:i w:val="0"/>
                      <w:sz w:val="17"/>
                    </w:rPr>
                    <w:t>并发度</w:t>
                  </w:r>
                </w:p>
              </w:tc>
              <w:tc>
                <w:tcPr>
                  <w:tcW w:type="dxa" w:w="2407"/>
                </w:tcPr>
                <w:p>
                  <w:pPr>
                    <w:spacing w:line="280" w:lineRule="exact"/>
                    <w:jc w:val="center"/>
                  </w:pPr>
                  <w:r>
                    <w:rPr>
                      <w:rFonts w:ascii="Times New Roman" w:hAnsi="Times New Roman" w:eastAsia="宋体"/>
                      <w:b w:val="0"/>
                      <w:i w:val="0"/>
                      <w:sz w:val="17"/>
                    </w:rPr>
                    <w:t>1 / 4 / 16</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运行级并发</w:t>
                  </w:r>
                </w:p>
              </w:tc>
            </w:tr>
            <w:tr>
              <w:tc>
                <w:tcPr>
                  <w:tcW w:type="dxa" w:w="2407"/>
                </w:tcPr>
                <w:p>
                  <w:pPr>
                    <w:spacing w:line="280" w:lineRule="exact"/>
                    <w:jc w:val="center"/>
                  </w:pPr>
                  <w:r>
                    <w:rPr>
                      <w:rFonts w:ascii="Times New Roman" w:hAnsi="Times New Roman" w:eastAsia="宋体"/>
                      <w:b w:val="0"/>
                      <w:i w:val="0"/>
                      <w:sz w:val="17"/>
                    </w:rPr>
                    <w:t>随机种子</w:t>
                  </w:r>
                </w:p>
              </w:tc>
              <w:tc>
                <w:tcPr>
                  <w:tcW w:type="dxa" w:w="2407"/>
                </w:tcPr>
                <w:p>
                  <w:pPr>
                    <w:spacing w:line="280" w:lineRule="exact"/>
                    <w:jc w:val="center"/>
                  </w:pPr>
                  <w:r>
                    <w:rPr>
                      <w:rFonts w:ascii="Times New Roman" w:hAnsi="Times New Roman" w:eastAsia="宋体"/>
                      <w:b w:val="0"/>
                      <w:i w:val="0"/>
                      <w:sz w:val="17"/>
                    </w:rPr>
                    <w:t>固定 3 个 seed</w:t>
                  </w:r>
                </w:p>
              </w:tc>
              <w:tc>
                <w:tcPr>
                  <w:tcW w:type="dxa" w:w="2407"/>
                </w:tcPr>
                <w:p>
                  <w:pPr>
                    <w:spacing w:line="280" w:lineRule="exact"/>
                    <w:jc w:val="center"/>
                  </w:pPr>
                  <w:r>
                    <w:rPr>
                      <w:rFonts w:ascii="Times New Roman" w:hAnsi="Times New Roman" w:eastAsia="宋体"/>
                      <w:b w:val="0"/>
                      <w:i w:val="0"/>
                      <w:sz w:val="17"/>
                    </w:rPr>
                    <w:t>3</w:t>
                  </w:r>
                </w:p>
              </w:tc>
              <w:tc>
                <w:tcPr>
                  <w:tcW w:type="dxa" w:w="2407"/>
                </w:tcPr>
                <w:p>
                  <w:pPr>
                    <w:spacing w:line="280" w:lineRule="exact"/>
                    <w:jc w:val="center"/>
                  </w:pPr>
                  <w:r>
                    <w:rPr>
                      <w:rFonts w:ascii="Times New Roman" w:hAnsi="Times New Roman" w:eastAsia="宋体"/>
                      <w:b w:val="0"/>
                      <w:i w:val="0"/>
                      <w:sz w:val="17"/>
                    </w:rPr>
                    <w:t>含 seed 配置 324</w:t>
                  </w:r>
                </w:p>
              </w:tc>
            </w:tr>
            <w:tr>
              <w:tc>
                <w:tcPr>
                  <w:tcW w:type="dxa" w:w="2407"/>
                </w:tcPr>
                <w:p>
                  <w:pPr>
                    <w:spacing w:line="280" w:lineRule="exact"/>
                    <w:jc w:val="center"/>
                  </w:pPr>
                  <w:r>
                    <w:rPr>
                      <w:rFonts w:ascii="Times New Roman" w:hAnsi="Times New Roman" w:eastAsia="宋体"/>
                      <w:b w:val="0"/>
                      <w:i w:val="0"/>
                      <w:sz w:val="17"/>
                    </w:rPr>
                    <w:t>重复</w:t>
                  </w:r>
                </w:p>
              </w:tc>
              <w:tc>
                <w:tcPr>
                  <w:tcW w:type="dxa" w:w="2407"/>
                </w:tcPr>
                <w:p>
                  <w:pPr>
                    <w:spacing w:line="280" w:lineRule="exact"/>
                    <w:jc w:val="center"/>
                  </w:pPr>
                  <w:r>
                    <w:rPr>
                      <w:rFonts w:ascii="Times New Roman" w:hAnsi="Times New Roman" w:eastAsia="宋体"/>
                      <w:b w:val="0"/>
                      <w:i w:val="0"/>
                      <w:sz w:val="17"/>
                    </w:rPr>
                    <w:t>每含 seed 配置 30 次正式重复</w:t>
                  </w:r>
                </w:p>
              </w:tc>
              <w:tc>
                <w:tcPr>
                  <w:tcW w:type="dxa" w:w="2407"/>
                </w:tcPr>
                <w:p>
                  <w:pPr>
                    <w:spacing w:line="280" w:lineRule="exact"/>
                    <w:jc w:val="center"/>
                  </w:pPr>
                  <w:r>
                    <w:rPr>
                      <w:rFonts w:ascii="Times New Roman" w:hAnsi="Times New Roman" w:eastAsia="宋体"/>
                      <w:b w:val="0"/>
                      <w:i w:val="0"/>
                      <w:sz w:val="17"/>
                    </w:rPr>
                    <w:t>-</w:t>
                  </w:r>
                </w:p>
              </w:tc>
              <w:tc>
                <w:tcPr>
                  <w:tcW w:type="dxa" w:w="2407"/>
                </w:tcPr>
                <w:p>
                  <w:pPr>
                    <w:spacing w:line="280" w:lineRule="exact"/>
                    <w:jc w:val="center"/>
                  </w:pPr>
                  <w:r>
                    <w:rPr>
                      <w:rFonts w:ascii="Times New Roman" w:hAnsi="Times New Roman" w:eastAsia="宋体"/>
                      <w:b w:val="0"/>
                      <w:i w:val="0"/>
                      <w:sz w:val="17"/>
                    </w:rPr>
                    <w:t>9720 个运行块</w:t>
                  </w:r>
                </w:p>
              </w:tc>
            </w:tr>
            <w:tr>
              <w:tc>
                <w:tcPr>
                  <w:tcW w:type="dxa" w:w="2407"/>
                </w:tcPr>
                <w:p>
                  <w:pPr>
                    <w:spacing w:line="280" w:lineRule="exact"/>
                    <w:jc w:val="center"/>
                  </w:pPr>
                  <w:r>
                    <w:rPr>
                      <w:rFonts w:ascii="Times New Roman" w:hAnsi="Times New Roman" w:eastAsia="宋体"/>
                      <w:b w:val="0"/>
                      <w:i w:val="0"/>
                      <w:sz w:val="17"/>
                    </w:rPr>
                    <w:t>请求/链读取</w:t>
                  </w:r>
                </w:p>
              </w:tc>
              <w:tc>
                <w:tcPr>
                  <w:tcW w:type="dxa" w:w="2407"/>
                </w:tcPr>
                <w:p>
                  <w:pPr>
                    <w:spacing w:line="280" w:lineRule="exact"/>
                    <w:jc w:val="center"/>
                  </w:pPr>
                  <w:r>
                    <w:rPr>
                      <w:rFonts w:ascii="Times New Roman" w:hAnsi="Times New Roman" w:eastAsia="宋体"/>
                      <w:b w:val="0"/>
                      <w:i w:val="0"/>
                      <w:sz w:val="17"/>
                    </w:rPr>
                    <w:t>77760 请求 / 233280 链读取</w:t>
                  </w:r>
                </w:p>
              </w:tc>
              <w:tc>
                <w:tcPr>
                  <w:tcW w:type="dxa" w:w="2407"/>
                </w:tcPr>
                <w:p>
                  <w:pPr>
                    <w:spacing w:line="280" w:lineRule="exact"/>
                    <w:jc w:val="center"/>
                  </w:pPr>
                  <w:r>
                    <w:rPr>
                      <w:rFonts w:ascii="Times New Roman" w:hAnsi="Times New Roman" w:eastAsia="宋体"/>
                      <w:b w:val="0"/>
                      <w:i w:val="0"/>
                      <w:sz w:val="17"/>
                    </w:rPr>
                    <w:t>-</w:t>
                  </w:r>
                </w:p>
              </w:tc>
              <w:tc>
                <w:tcPr>
                  <w:tcW w:type="dxa" w:w="2407"/>
                </w:tcPr>
                <w:p>
                  <w:pPr>
                    <w:spacing w:line="280" w:lineRule="exact"/>
                    <w:jc w:val="center"/>
                  </w:pPr>
                  <w:r>
                    <w:rPr>
                      <w:rFonts w:ascii="Times New Roman" w:hAnsi="Times New Roman" w:eastAsia="宋体"/>
                      <w:b w:val="0"/>
                      <w:i w:val="0"/>
                      <w:sz w:val="17"/>
                    </w:rPr>
                    <w:t>每请求三次真实链读取</w:t>
                  </w:r>
                </w:p>
              </w:tc>
            </w:tr>
            <w:tr>
              <w:tc>
                <w:tcPr>
                  <w:tcW w:type="dxa" w:w="2407"/>
                </w:tcPr>
                <w:p>
                  <w:pPr>
                    <w:spacing w:line="280" w:lineRule="exact"/>
                    <w:jc w:val="center"/>
                  </w:pPr>
                  <w:r>
                    <w:rPr>
                      <w:rFonts w:ascii="Times New Roman" w:hAnsi="Times New Roman" w:eastAsia="宋体"/>
                      <w:b w:val="0"/>
                      <w:i w:val="0"/>
                      <w:sz w:val="17"/>
                    </w:rPr>
                    <w:t>配对统计</w:t>
                  </w:r>
                </w:p>
              </w:tc>
              <w:tc>
                <w:tcPr>
                  <w:tcW w:type="dxa" w:w="2407"/>
                </w:tcPr>
                <w:p>
                  <w:pPr>
                    <w:spacing w:line="280" w:lineRule="exact"/>
                    <w:jc w:val="center"/>
                  </w:pPr>
                  <w:r>
                    <w:rPr>
                      <w:rFonts w:ascii="Times New Roman" w:hAnsi="Times New Roman" w:eastAsia="宋体"/>
                      <w:b w:val="0"/>
                      <w:i w:val="0"/>
                      <w:sz w:val="17"/>
                    </w:rPr>
                    <w:t>每组比较 2430 对运行块</w:t>
                  </w:r>
                </w:p>
              </w:tc>
              <w:tc>
                <w:tcPr>
                  <w:tcW w:type="dxa" w:w="2407"/>
                </w:tcPr>
                <w:p>
                  <w:pPr>
                    <w:spacing w:line="280" w:lineRule="exact"/>
                    <w:jc w:val="center"/>
                  </w:pPr>
                  <w:r>
                    <w:rPr>
                      <w:rFonts w:ascii="Times New Roman" w:hAnsi="Times New Roman" w:eastAsia="宋体"/>
                      <w:b w:val="0"/>
                      <w:i w:val="0"/>
                      <w:sz w:val="17"/>
                    </w:rPr>
                    <w:t>-</w:t>
                  </w:r>
                </w:p>
              </w:tc>
              <w:tc>
                <w:tcPr>
                  <w:tcW w:type="dxa" w:w="2407"/>
                </w:tcPr>
                <w:p>
                  <w:pPr>
                    <w:spacing w:line="280" w:lineRule="exact"/>
                    <w:jc w:val="center"/>
                  </w:pPr>
                  <w:r>
                    <w:rPr>
                      <w:rFonts w:ascii="Times New Roman" w:hAnsi="Times New Roman" w:eastAsia="宋体"/>
                      <w:b w:val="0"/>
                      <w:i w:val="0"/>
                      <w:sz w:val="17"/>
                    </w:rPr>
                    <w:t>10000 次运行级 Bootstrap</w:t>
                  </w:r>
                </w:p>
              </w:tc>
            </w:tr>
          </w:tbl>
          <w:p/>
          <w:p>
            <w:pPr>
              <w:spacing w:line="400" w:lineRule="exact" w:before="0" w:after="0"/>
              <w:ind w:firstLineChars="200"/>
            </w:pPr>
            <w:r>
              <w:rPr>
                <w:rFonts w:ascii="Times New Roman" w:hAnsi="Times New Roman" w:eastAsia="宋体"/>
                <w:b w:val="0"/>
                <w:i w:val="0"/>
                <w:sz w:val="24"/>
              </w:rPr>
              <w:t>工作负载构造方面，四种方法复用相同语义策略与查询集合：策略由给定碎片率生成，请求局部性由均匀、区间热点与节点热点三类生成器分别产生，并发度在运行级别设置；缓存命中按单请求直接记录，不在计时外预热；吞吐量按完整运行批次定义。主要推断单位为运行块，请求级记录只用于运行内描述与完整性审计，不被视为独立统计重复，从而避免把相关请求误当作独立样本导致统计推断偏乐观。链参数、合约地址、Genesis 摘要与工件摘要均在实验前冻结并记录，供复现与审计使用。</w:t>
            </w:r>
          </w:p>
          <w:p>
            <w:pPr>
              <w:keepNext/>
              <w:spacing w:line="240" w:lineRule="auto" w:before="120" w:after="0"/>
              <w:jc w:val="center"/>
            </w:pPr>
            <w:r>
              <w:drawing>
                <wp:inline xmlns:a="http://schemas.openxmlformats.org/drawingml/2006/main" xmlns:pic="http://schemas.openxmlformats.org/drawingml/2006/picture">
                  <wp:extent cx="4680000" cy="2863591"/>
                  <wp:docPr id="10" name="Picture 10"/>
                  <wp:cNvGraphicFramePr>
                    <a:graphicFrameLocks noChangeAspect="1"/>
                  </wp:cNvGraphicFramePr>
                  <a:graphic>
                    <a:graphicData uri="http://schemas.openxmlformats.org/drawingml/2006/picture">
                      <pic:pic>
                        <pic:nvPicPr>
                          <pic:cNvPr id="0" name="m4-exp-fig12-latency.png"/>
                          <pic:cNvPicPr/>
                        </pic:nvPicPr>
                        <pic:blipFill>
                          <a:blip r:embed="rId32"/>
                          <a:stretch>
                            <a:fillRect/>
                          </a:stretch>
                        </pic:blipFill>
                        <pic:spPr>
                          <a:xfrm>
                            <a:off x="0" y="0"/>
                            <a:ext cx="4680000" cy="2863591"/>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图10 四种方法的运行级端到端时延分布（RC2 正式实验结果）</w:t>
            </w:r>
          </w:p>
          <w:p>
            <w:pPr>
              <w:keepNext/>
              <w:spacing w:line="240" w:lineRule="auto" w:before="120" w:after="0"/>
              <w:jc w:val="center"/>
            </w:pPr>
            <w:r>
              <w:drawing>
                <wp:inline xmlns:a="http://schemas.openxmlformats.org/drawingml/2006/main" xmlns:pic="http://schemas.openxmlformats.org/drawingml/2006/picture">
                  <wp:extent cx="4680000" cy="1839550"/>
                  <wp:docPr id="11" name="Picture 11"/>
                  <wp:cNvGraphicFramePr>
                    <a:graphicFrameLocks noChangeAspect="1"/>
                  </wp:cNvGraphicFramePr>
                  <a:graphic>
                    <a:graphicData uri="http://schemas.openxmlformats.org/drawingml/2006/picture">
                      <pic:pic>
                        <pic:nvPicPr>
                          <pic:cNvPr id="0" name="m4-exp-fig16-locality.png"/>
                          <pic:cNvPicPr/>
                        </pic:nvPicPr>
                        <pic:blipFill>
                          <a:blip r:embed="rId33"/>
                          <a:stretch>
                            <a:fillRect/>
                          </a:stretch>
                        </pic:blipFill>
                        <pic:spPr>
                          <a:xfrm>
                            <a:off x="0" y="0"/>
                            <a:ext cx="4680000" cy="1839550"/>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图11 请求局部性与缓存的影响（RC2）</w:t>
            </w:r>
          </w:p>
          <w:p>
            <w:pPr>
              <w:spacing w:line="400" w:lineRule="exact" w:before="0" w:after="0"/>
              <w:ind w:firstLineChars="200"/>
            </w:pPr>
            <w:r>
              <w:rPr>
                <w:rFonts w:ascii="Times New Roman" w:hAnsi="Times New Roman" w:eastAsia="宋体"/>
                <w:b w:val="0"/>
                <w:i w:val="0"/>
                <w:sz w:val="24"/>
              </w:rPr>
              <w:t>阶段性实验结果显示：四种方法的端到端中位时延均约为 196～199 ms，吞吐量中位数约为 17.78～17.93 请求/s；逐请求链读取占端到端时延的 98.66%～98.80%，局部匹配仅占约 0.017%～0.047%，说明当前实现的主要性能边界是链状态访问而非策略匹配差异。并发度是端到端时延的主要观测影响因素：并发度从 1 增至 4 与 16 时，中位时延由约 52.8 ms 增至约 196～199 ms 与 340～349 ms，而吞吐量基本维持在约 17.7～18.0 请求/s，新增并发主要转化为排队与等待。缓存方面，热点负载确实提高缓存命中率（B1 在两类热点下中位命中率为 0.75，均匀访问为 0.125），但命中率提高没有稳定转化为端到端收益：B1-B0 与 C1-C0 的配对中位差分别为 +0.390 ms 与 +0.176 ms，置信区间跨越 0，改善与退化运行比例相近。</w:t>
            </w:r>
          </w:p>
          <w:p>
            <w:pPr>
              <w:keepNext/>
              <w:spacing w:line="240" w:lineRule="auto" w:before="120" w:after="0"/>
              <w:jc w:val="center"/>
            </w:pPr>
            <w:r>
              <w:drawing>
                <wp:inline xmlns:a="http://schemas.openxmlformats.org/drawingml/2006/main" xmlns:pic="http://schemas.openxmlformats.org/drawingml/2006/picture">
                  <wp:extent cx="4680000" cy="2697807"/>
                  <wp:docPr id="12" name="Picture 12"/>
                  <wp:cNvGraphicFramePr>
                    <a:graphicFrameLocks noChangeAspect="1"/>
                  </wp:cNvGraphicFramePr>
                  <a:graphic>
                    <a:graphicData uri="http://schemas.openxmlformats.org/drawingml/2006/picture">
                      <pic:pic>
                        <pic:nvPicPr>
                          <pic:cNvPr id="0" name="m4-exp-fig11-stage.png"/>
                          <pic:cNvPicPr/>
                        </pic:nvPicPr>
                        <pic:blipFill>
                          <a:blip r:embed="rId34"/>
                          <a:stretch>
                            <a:fillRect/>
                          </a:stretch>
                        </pic:blipFill>
                        <pic:spPr>
                          <a:xfrm>
                            <a:off x="0" y="0"/>
                            <a:ext cx="4680000" cy="2697807"/>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图12 端到端时延的阶段占比（RC2 中位数）</w:t>
            </w:r>
          </w:p>
          <w:p>
            <w:pPr>
              <w:keepNext/>
              <w:spacing w:line="240" w:lineRule="auto" w:before="120" w:after="0"/>
              <w:jc w:val="center"/>
            </w:pPr>
            <w:r>
              <w:drawing>
                <wp:inline xmlns:a="http://schemas.openxmlformats.org/drawingml/2006/main" xmlns:pic="http://schemas.openxmlformats.org/drawingml/2006/picture">
                  <wp:extent cx="4680000" cy="2813277"/>
                  <wp:docPr id="13" name="Picture 13"/>
                  <wp:cNvGraphicFramePr>
                    <a:graphicFrameLocks noChangeAspect="1"/>
                  </wp:cNvGraphicFramePr>
                  <a:graphic>
                    <a:graphicData uri="http://schemas.openxmlformats.org/drawingml/2006/picture">
                      <pic:pic>
                        <pic:nvPicPr>
                          <pic:cNvPr id="0" name="m4-exp-fig13-paired.png"/>
                          <pic:cNvPicPr/>
                        </pic:nvPicPr>
                        <pic:blipFill>
                          <a:blip r:embed="rId35"/>
                          <a:stretch>
                            <a:fillRect/>
                          </a:stretch>
                        </pic:blipFill>
                        <pic:spPr>
                          <a:xfrm>
                            <a:off x="0" y="0"/>
                            <a:ext cx="4680000" cy="2813277"/>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图13 自然配对比较与运行级 Bootstrap 置信区间（RC2）</w:t>
            </w:r>
          </w:p>
          <w:p>
            <w:pPr>
              <w:spacing w:line="400" w:lineRule="exact" w:before="0" w:after="0"/>
              <w:ind w:firstLineChars="200"/>
            </w:pPr>
            <w:r>
              <w:rPr>
                <w:rFonts w:ascii="Times New Roman" w:hAnsi="Times New Roman" w:eastAsia="宋体"/>
                <w:b w:val="0"/>
                <w:i w:val="0"/>
                <w:sz w:val="24"/>
              </w:rPr>
              <w:t>碎片率对局部匹配的影响同样被单独量化：以无缓存方法为例，B0 的 match_ns 中位数由 25.967 微秒增至 39.685 微秒，C0 由 32.529 微秒增至 74.699 微秒，但这一微秒级变化被约 200 ms 的公共链读取开销掩盖；C(P) 在语义测试中保持与 I* 一致的决策结果，却没有表现出基线难以复制的协议能力或性能价值。上述结果共同说明，当前实现的主要性能边界是链状态访问，而不是局部匹配差异；进一步优化应优先减少可验证链读取成本，而不是放大微秒级匹配差异。这些负面结果不是实验失败：它们通过公平基线与真实系统开销揭示了方法边界，使研究贡献收敛到唯一语义、真实链状态锚定、完整绑定、共享 Nonce、多验证实例一致性与 Fail-Closed。</w:t>
            </w:r>
          </w:p>
          <w:p>
            <w:pPr>
              <w:keepNext/>
              <w:spacing w:line="240" w:lineRule="auto" w:before="120" w:after="0"/>
              <w:jc w:val="center"/>
            </w:pPr>
            <w:r>
              <w:drawing>
                <wp:inline xmlns:a="http://schemas.openxmlformats.org/drawingml/2006/main" xmlns:pic="http://schemas.openxmlformats.org/drawingml/2006/picture">
                  <wp:extent cx="4680000" cy="2882983"/>
                  <wp:docPr id="14" name="Picture 14"/>
                  <wp:cNvGraphicFramePr>
                    <a:graphicFrameLocks noChangeAspect="1"/>
                  </wp:cNvGraphicFramePr>
                  <a:graphic>
                    <a:graphicData uri="http://schemas.openxmlformats.org/drawingml/2006/picture">
                      <pic:pic>
                        <pic:nvPicPr>
                          <pic:cNvPr id="0" name="m4-exp-fig15-frag.png"/>
                          <pic:cNvPicPr/>
                        </pic:nvPicPr>
                        <pic:blipFill>
                          <a:blip r:embed="rId36"/>
                          <a:stretch>
                            <a:fillRect/>
                          </a:stretch>
                        </pic:blipFill>
                        <pic:spPr>
                          <a:xfrm>
                            <a:off x="0" y="0"/>
                            <a:ext cx="4680000" cy="2882983"/>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图14 碎片率对匹配时延的影响（RC2）</w:t>
            </w:r>
          </w:p>
          <w:p>
            <w:pPr>
              <w:keepNext/>
              <w:spacing w:line="320" w:lineRule="exact" w:before="120" w:after="60"/>
              <w:jc w:val="center"/>
            </w:pPr>
            <w:r>
              <w:rPr>
                <w:rFonts w:ascii="Times New Roman" w:hAnsi="Times New Roman" w:eastAsia="宋体"/>
                <w:b w:val="0"/>
                <w:i w:val="0"/>
                <w:sz w:val="21"/>
              </w:rPr>
              <w:t>表4 四种方法运行级总体统计</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375"/>
              <w:gridCol w:w="1375"/>
              <w:gridCol w:w="1375"/>
              <w:gridCol w:w="1375"/>
              <w:gridCol w:w="1375"/>
              <w:gridCol w:w="1375"/>
              <w:gridCol w:w="1375"/>
            </w:tblGrid>
            <w:tr>
              <w:tc>
                <w:tcPr>
                  <w:tcW w:type="dxa" w:w="1375"/>
                  <w:tcBorders>
                    <w:bottom w:val="single" w:sz="6" w:color="000000"/>
                  </w:tcBorders>
                </w:tcPr>
                <w:p>
                  <w:pPr>
                    <w:spacing w:line="280" w:lineRule="exact"/>
                    <w:jc w:val="center"/>
                  </w:pPr>
                  <w:r>
                    <w:rPr>
                      <w:rFonts w:ascii="Times New Roman" w:hAnsi="Times New Roman" w:eastAsia="宋体"/>
                      <w:b/>
                      <w:i w:val="0"/>
                      <w:sz w:val="17"/>
                    </w:rPr>
                    <w:t>方法</w:t>
                  </w:r>
                </w:p>
              </w:tc>
              <w:tc>
                <w:tcPr>
                  <w:tcW w:type="dxa" w:w="1375"/>
                  <w:tcBorders>
                    <w:bottom w:val="single" w:sz="6" w:color="000000"/>
                  </w:tcBorders>
                </w:tcPr>
                <w:p>
                  <w:pPr>
                    <w:spacing w:line="280" w:lineRule="exact"/>
                    <w:jc w:val="center"/>
                  </w:pPr>
                  <w:r>
                    <w:rPr>
                      <w:rFonts w:ascii="Times New Roman" w:hAnsi="Times New Roman" w:eastAsia="宋体"/>
                      <w:b/>
                      <w:i w:val="0"/>
                      <w:sz w:val="17"/>
                    </w:rPr>
                    <w:t>运行数</w:t>
                  </w:r>
                </w:p>
              </w:tc>
              <w:tc>
                <w:tcPr>
                  <w:tcW w:type="dxa" w:w="1375"/>
                  <w:tcBorders>
                    <w:bottom w:val="single" w:sz="6" w:color="000000"/>
                  </w:tcBorders>
                </w:tcPr>
                <w:p>
                  <w:pPr>
                    <w:spacing w:line="280" w:lineRule="exact"/>
                    <w:jc w:val="center"/>
                  </w:pPr>
                  <w:r>
                    <w:rPr>
                      <w:rFonts w:ascii="Times New Roman" w:hAnsi="Times New Roman" w:eastAsia="宋体"/>
                      <w:b/>
                      <w:i w:val="0"/>
                      <w:sz w:val="17"/>
                    </w:rPr>
                    <w:t>中位时延/ms</w:t>
                  </w:r>
                </w:p>
              </w:tc>
              <w:tc>
                <w:tcPr>
                  <w:tcW w:type="dxa" w:w="1375"/>
                  <w:tcBorders>
                    <w:bottom w:val="single" w:sz="6" w:color="000000"/>
                  </w:tcBorders>
                </w:tcPr>
                <w:p>
                  <w:pPr>
                    <w:spacing w:line="280" w:lineRule="exact"/>
                    <w:jc w:val="center"/>
                  </w:pPr>
                  <w:r>
                    <w:rPr>
                      <w:rFonts w:ascii="Times New Roman" w:hAnsi="Times New Roman" w:eastAsia="宋体"/>
                      <w:b/>
                      <w:i w:val="0"/>
                      <w:sz w:val="17"/>
                    </w:rPr>
                    <w:t>均值/ms</w:t>
                  </w:r>
                </w:p>
              </w:tc>
              <w:tc>
                <w:tcPr>
                  <w:tcW w:type="dxa" w:w="1375"/>
                  <w:tcBorders>
                    <w:bottom w:val="single" w:sz="6" w:color="000000"/>
                  </w:tcBorders>
                </w:tcPr>
                <w:p>
                  <w:pPr>
                    <w:spacing w:line="280" w:lineRule="exact"/>
                    <w:jc w:val="center"/>
                  </w:pPr>
                  <w:r>
                    <w:rPr>
                      <w:rFonts w:ascii="Times New Roman" w:hAnsi="Times New Roman" w:eastAsia="宋体"/>
                      <w:b/>
                      <w:i w:val="0"/>
                      <w:sz w:val="17"/>
                    </w:rPr>
                    <w:t>吞吐量中位数/(请求/s)</w:t>
                  </w:r>
                </w:p>
              </w:tc>
              <w:tc>
                <w:tcPr>
                  <w:tcW w:type="dxa" w:w="1375"/>
                  <w:tcBorders>
                    <w:bottom w:val="single" w:sz="6" w:color="000000"/>
                  </w:tcBorders>
                </w:tcPr>
                <w:p>
                  <w:pPr>
                    <w:spacing w:line="280" w:lineRule="exact"/>
                    <w:jc w:val="center"/>
                  </w:pPr>
                  <w:r>
                    <w:rPr>
                      <w:rFonts w:ascii="Times New Roman" w:hAnsi="Times New Roman" w:eastAsia="宋体"/>
                      <w:b/>
                      <w:i w:val="0"/>
                      <w:sz w:val="17"/>
                    </w:rPr>
                    <w:t>缓存命中率中位数</w:t>
                  </w:r>
                </w:p>
              </w:tc>
              <w:tc>
                <w:tcPr>
                  <w:tcW w:type="dxa" w:w="1375"/>
                  <w:tcBorders>
                    <w:bottom w:val="single" w:sz="6" w:color="000000"/>
                  </w:tcBorders>
                </w:tcPr>
                <w:p>
                  <w:pPr>
                    <w:spacing w:line="280" w:lineRule="exact"/>
                    <w:jc w:val="center"/>
                  </w:pPr>
                  <w:r>
                    <w:rPr>
                      <w:rFonts w:ascii="Times New Roman" w:hAnsi="Times New Roman" w:eastAsia="宋体"/>
                      <w:b/>
                      <w:i w:val="0"/>
                      <w:sz w:val="17"/>
                    </w:rPr>
                    <w:t>链读取占比/%</w:t>
                  </w:r>
                </w:p>
              </w:tc>
            </w:tr>
            <w:tr>
              <w:tc>
                <w:tcPr>
                  <w:tcW w:type="dxa" w:w="1375"/>
                </w:tcPr>
                <w:p>
                  <w:pPr>
                    <w:spacing w:line="280" w:lineRule="exact"/>
                    <w:jc w:val="center"/>
                  </w:pPr>
                  <w:r>
                    <w:rPr>
                      <w:rFonts w:ascii="Times New Roman" w:hAnsi="Times New Roman" w:eastAsia="宋体"/>
                      <w:b w:val="0"/>
                      <w:i w:val="0"/>
                      <w:sz w:val="17"/>
                    </w:rPr>
                    <w:t>B0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196.128</w:t>
                  </w:r>
                </w:p>
              </w:tc>
              <w:tc>
                <w:tcPr>
                  <w:tcW w:type="dxa" w:w="1375"/>
                </w:tcPr>
                <w:p>
                  <w:pPr>
                    <w:spacing w:line="280" w:lineRule="exact"/>
                    <w:jc w:val="center"/>
                  </w:pPr>
                  <w:r>
                    <w:rPr>
                      <w:rFonts w:ascii="Times New Roman" w:hAnsi="Times New Roman" w:eastAsia="宋体"/>
                      <w:b w:val="0"/>
                      <w:i w:val="0"/>
                      <w:sz w:val="17"/>
                    </w:rPr>
                    <w:t>209.714</w:t>
                  </w:r>
                </w:p>
              </w:tc>
              <w:tc>
                <w:tcPr>
                  <w:tcW w:type="dxa" w:w="1375"/>
                </w:tcPr>
                <w:p>
                  <w:pPr>
                    <w:spacing w:line="280" w:lineRule="exact"/>
                    <w:jc w:val="center"/>
                  </w:pPr>
                  <w:r>
                    <w:rPr>
                      <w:rFonts w:ascii="Times New Roman" w:hAnsi="Times New Roman" w:eastAsia="宋体"/>
                      <w:b w:val="0"/>
                      <w:i w:val="0"/>
                      <w:sz w:val="17"/>
                    </w:rPr>
                    <w:t>17.926</w:t>
                  </w:r>
                </w:p>
              </w:tc>
              <w:tc>
                <w:tcPr>
                  <w:tcW w:type="dxa" w:w="1375"/>
                </w:tcPr>
                <w:p>
                  <w:pPr>
                    <w:spacing w:line="280" w:lineRule="exact"/>
                    <w:jc w:val="center"/>
                  </w:pPr>
                  <w:r>
                    <w:rPr>
                      <w:rFonts w:ascii="Times New Roman" w:hAnsi="Times New Roman" w:eastAsia="宋体"/>
                      <w:b w:val="0"/>
                      <w:i w:val="0"/>
                      <w:sz w:val="17"/>
                    </w:rPr>
                    <w:t>0</w:t>
                  </w:r>
                </w:p>
              </w:tc>
              <w:tc>
                <w:tcPr>
                  <w:tcW w:type="dxa" w:w="1375"/>
                </w:tcPr>
                <w:p>
                  <w:pPr>
                    <w:spacing w:line="280" w:lineRule="exact"/>
                    <w:jc w:val="center"/>
                  </w:pPr>
                  <w:r>
                    <w:rPr>
                      <w:rFonts w:ascii="Times New Roman" w:hAnsi="Times New Roman" w:eastAsia="宋体"/>
                      <w:b w:val="0"/>
                      <w:i w:val="0"/>
                      <w:sz w:val="17"/>
                    </w:rPr>
                    <w:t>98.796</w:t>
                  </w:r>
                </w:p>
              </w:tc>
            </w:tr>
            <w:tr>
              <w:tc>
                <w:tcPr>
                  <w:tcW w:type="dxa" w:w="1375"/>
                </w:tcPr>
                <w:p>
                  <w:pPr>
                    <w:spacing w:line="280" w:lineRule="exact"/>
                    <w:jc w:val="center"/>
                  </w:pPr>
                  <w:r>
                    <w:rPr>
                      <w:rFonts w:ascii="Times New Roman" w:hAnsi="Times New Roman" w:eastAsia="宋体"/>
                      <w:b w:val="0"/>
                      <w:i w:val="0"/>
                      <w:sz w:val="17"/>
                    </w:rPr>
                    <w:t>B1</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196.624</w:t>
                  </w:r>
                </w:p>
              </w:tc>
              <w:tc>
                <w:tcPr>
                  <w:tcW w:type="dxa" w:w="1375"/>
                </w:tcPr>
                <w:p>
                  <w:pPr>
                    <w:spacing w:line="280" w:lineRule="exact"/>
                    <w:jc w:val="center"/>
                  </w:pPr>
                  <w:r>
                    <w:rPr>
                      <w:rFonts w:ascii="Times New Roman" w:hAnsi="Times New Roman" w:eastAsia="宋体"/>
                      <w:b w:val="0"/>
                      <w:i w:val="0"/>
                      <w:sz w:val="17"/>
                    </w:rPr>
                    <w:t>210.462</w:t>
                  </w:r>
                </w:p>
              </w:tc>
              <w:tc>
                <w:tcPr>
                  <w:tcW w:type="dxa" w:w="1375"/>
                </w:tcPr>
                <w:p>
                  <w:pPr>
                    <w:spacing w:line="280" w:lineRule="exact"/>
                    <w:jc w:val="center"/>
                  </w:pPr>
                  <w:r>
                    <w:rPr>
                      <w:rFonts w:ascii="Times New Roman" w:hAnsi="Times New Roman" w:eastAsia="宋体"/>
                      <w:b w:val="0"/>
                      <w:i w:val="0"/>
                      <w:sz w:val="17"/>
                    </w:rPr>
                    <w:t>17.906</w:t>
                  </w:r>
                </w:p>
              </w:tc>
              <w:tc>
                <w:tcPr>
                  <w:tcW w:type="dxa" w:w="1375"/>
                </w:tcPr>
                <w:p>
                  <w:pPr>
                    <w:spacing w:line="280" w:lineRule="exact"/>
                    <w:jc w:val="center"/>
                  </w:pPr>
                  <w:r>
                    <w:rPr>
                      <w:rFonts w:ascii="Times New Roman" w:hAnsi="Times New Roman" w:eastAsia="宋体"/>
                      <w:b w:val="0"/>
                      <w:i w:val="0"/>
                      <w:sz w:val="17"/>
                    </w:rPr>
                    <w:t>0.125</w:t>
                  </w:r>
                </w:p>
              </w:tc>
              <w:tc>
                <w:tcPr>
                  <w:tcW w:type="dxa" w:w="1375"/>
                </w:tcPr>
                <w:p>
                  <w:pPr>
                    <w:spacing w:line="280" w:lineRule="exact"/>
                    <w:jc w:val="center"/>
                  </w:pPr>
                  <w:r>
                    <w:rPr>
                      <w:rFonts w:ascii="Times New Roman" w:hAnsi="Times New Roman" w:eastAsia="宋体"/>
                      <w:b w:val="0"/>
                      <w:i w:val="0"/>
                      <w:sz w:val="17"/>
                    </w:rPr>
                    <w:t>98.757</w:t>
                  </w:r>
                </w:p>
              </w:tc>
            </w:tr>
            <w:tr>
              <w:tc>
                <w:tcPr>
                  <w:tcW w:type="dxa" w:w="1375"/>
                </w:tcPr>
                <w:p>
                  <w:pPr>
                    <w:spacing w:line="280" w:lineRule="exact"/>
                    <w:jc w:val="center"/>
                  </w:pPr>
                  <w:r>
                    <w:rPr>
                      <w:rFonts w:ascii="Times New Roman" w:hAnsi="Times New Roman" w:eastAsia="宋体"/>
                      <w:b w:val="0"/>
                      <w:i w:val="0"/>
                      <w:sz w:val="17"/>
                    </w:rPr>
                    <w:t>C0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198.167</w:t>
                  </w:r>
                </w:p>
              </w:tc>
              <w:tc>
                <w:tcPr>
                  <w:tcW w:type="dxa" w:w="1375"/>
                </w:tcPr>
                <w:p>
                  <w:pPr>
                    <w:spacing w:line="280" w:lineRule="exact"/>
                    <w:jc w:val="center"/>
                  </w:pPr>
                  <w:r>
                    <w:rPr>
                      <w:rFonts w:ascii="Times New Roman" w:hAnsi="Times New Roman" w:eastAsia="宋体"/>
                      <w:b w:val="0"/>
                      <w:i w:val="0"/>
                      <w:sz w:val="17"/>
                    </w:rPr>
                    <w:t>211.739</w:t>
                  </w:r>
                </w:p>
              </w:tc>
              <w:tc>
                <w:tcPr>
                  <w:tcW w:type="dxa" w:w="1375"/>
                </w:tcPr>
                <w:p>
                  <w:pPr>
                    <w:spacing w:line="280" w:lineRule="exact"/>
                    <w:jc w:val="center"/>
                  </w:pPr>
                  <w:r>
                    <w:rPr>
                      <w:rFonts w:ascii="Times New Roman" w:hAnsi="Times New Roman" w:eastAsia="宋体"/>
                      <w:b w:val="0"/>
                      <w:i w:val="0"/>
                      <w:sz w:val="17"/>
                    </w:rPr>
                    <w:t>17.783</w:t>
                  </w:r>
                </w:p>
              </w:tc>
              <w:tc>
                <w:tcPr>
                  <w:tcW w:type="dxa" w:w="1375"/>
                </w:tcPr>
                <w:p>
                  <w:pPr>
                    <w:spacing w:line="280" w:lineRule="exact"/>
                    <w:jc w:val="center"/>
                  </w:pPr>
                  <w:r>
                    <w:rPr>
                      <w:rFonts w:ascii="Times New Roman" w:hAnsi="Times New Roman" w:eastAsia="宋体"/>
                      <w:b w:val="0"/>
                      <w:i w:val="0"/>
                      <w:sz w:val="17"/>
                    </w:rPr>
                    <w:t>0</w:t>
                  </w:r>
                </w:p>
              </w:tc>
              <w:tc>
                <w:tcPr>
                  <w:tcW w:type="dxa" w:w="1375"/>
                </w:tcPr>
                <w:p>
                  <w:pPr>
                    <w:spacing w:line="280" w:lineRule="exact"/>
                    <w:jc w:val="center"/>
                  </w:pPr>
                  <w:r>
                    <w:rPr>
                      <w:rFonts w:ascii="Times New Roman" w:hAnsi="Times New Roman" w:eastAsia="宋体"/>
                      <w:b w:val="0"/>
                      <w:i w:val="0"/>
                      <w:sz w:val="17"/>
                    </w:rPr>
                    <w:t>98.702</w:t>
                  </w:r>
                </w:p>
              </w:tc>
            </w:tr>
            <w:tr>
              <w:tc>
                <w:tcPr>
                  <w:tcW w:type="dxa" w:w="1375"/>
                </w:tcPr>
                <w:p>
                  <w:pPr>
                    <w:spacing w:line="280" w:lineRule="exact"/>
                    <w:jc w:val="center"/>
                  </w:pPr>
                  <w:r>
                    <w:rPr>
                      <w:rFonts w:ascii="Times New Roman" w:hAnsi="Times New Roman" w:eastAsia="宋体"/>
                      <w:b w:val="0"/>
                      <w:i w:val="0"/>
                      <w:sz w:val="17"/>
                    </w:rPr>
                    <w:t>C1</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198.601</w:t>
                  </w:r>
                </w:p>
              </w:tc>
              <w:tc>
                <w:tcPr>
                  <w:tcW w:type="dxa" w:w="1375"/>
                </w:tcPr>
                <w:p>
                  <w:pPr>
                    <w:spacing w:line="280" w:lineRule="exact"/>
                    <w:jc w:val="center"/>
                  </w:pPr>
                  <w:r>
                    <w:rPr>
                      <w:rFonts w:ascii="Times New Roman" w:hAnsi="Times New Roman" w:eastAsia="宋体"/>
                      <w:b w:val="0"/>
                      <w:i w:val="0"/>
                      <w:sz w:val="17"/>
                    </w:rPr>
                    <w:t>212.114</w:t>
                  </w:r>
                </w:p>
              </w:tc>
              <w:tc>
                <w:tcPr>
                  <w:tcW w:type="dxa" w:w="1375"/>
                </w:tcPr>
                <w:p>
                  <w:pPr>
                    <w:spacing w:line="280" w:lineRule="exact"/>
                    <w:jc w:val="center"/>
                  </w:pPr>
                  <w:r>
                    <w:rPr>
                      <w:rFonts w:ascii="Times New Roman" w:hAnsi="Times New Roman" w:eastAsia="宋体"/>
                      <w:b w:val="0"/>
                      <w:i w:val="0"/>
                      <w:sz w:val="17"/>
                    </w:rPr>
                    <w:t>17.786</w:t>
                  </w:r>
                </w:p>
              </w:tc>
              <w:tc>
                <w:tcPr>
                  <w:tcW w:type="dxa" w:w="1375"/>
                </w:tcPr>
                <w:p>
                  <w:pPr>
                    <w:spacing w:line="280" w:lineRule="exact"/>
                    <w:jc w:val="center"/>
                  </w:pPr>
                  <w:r>
                    <w:rPr>
                      <w:rFonts w:ascii="Times New Roman" w:hAnsi="Times New Roman" w:eastAsia="宋体"/>
                      <w:b w:val="0"/>
                      <w:i w:val="0"/>
                      <w:sz w:val="17"/>
                    </w:rPr>
                    <w:t>0.125</w:t>
                  </w:r>
                </w:p>
              </w:tc>
              <w:tc>
                <w:tcPr>
                  <w:tcW w:type="dxa" w:w="1375"/>
                </w:tcPr>
                <w:p>
                  <w:pPr>
                    <w:spacing w:line="280" w:lineRule="exact"/>
                    <w:jc w:val="center"/>
                  </w:pPr>
                  <w:r>
                    <w:rPr>
                      <w:rFonts w:ascii="Times New Roman" w:hAnsi="Times New Roman" w:eastAsia="宋体"/>
                      <w:b w:val="0"/>
                      <w:i w:val="0"/>
                      <w:sz w:val="17"/>
                    </w:rPr>
                    <w:t>98.670</w:t>
                  </w:r>
                </w:p>
              </w:tc>
            </w:tr>
          </w:tbl>
          <w:p/>
          <w:p>
            <w:pPr>
              <w:keepNext/>
              <w:spacing w:line="320" w:lineRule="exact" w:before="120" w:after="60"/>
              <w:jc w:val="center"/>
            </w:pPr>
            <w:r>
              <w:rPr>
                <w:rFonts w:ascii="Times New Roman" w:hAnsi="Times New Roman" w:eastAsia="宋体"/>
                <w:b w:val="0"/>
                <w:i w:val="0"/>
                <w:sz w:val="21"/>
              </w:rPr>
              <w:t>表5 四种自然配对比较及运行级 Bootstrap 置信区间</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375"/>
              <w:gridCol w:w="1375"/>
              <w:gridCol w:w="1375"/>
              <w:gridCol w:w="1375"/>
              <w:gridCol w:w="1375"/>
              <w:gridCol w:w="1375"/>
              <w:gridCol w:w="1375"/>
            </w:tblGrid>
            <w:tr>
              <w:tc>
                <w:tcPr>
                  <w:tcW w:type="dxa" w:w="1375"/>
                  <w:tcBorders>
                    <w:bottom w:val="single" w:sz="6" w:color="000000"/>
                  </w:tcBorders>
                </w:tcPr>
                <w:p>
                  <w:pPr>
                    <w:spacing w:line="280" w:lineRule="exact"/>
                    <w:jc w:val="center"/>
                  </w:pPr>
                  <w:r>
                    <w:rPr>
                      <w:rFonts w:ascii="Times New Roman" w:hAnsi="Times New Roman" w:eastAsia="宋体"/>
                      <w:b/>
                      <w:i w:val="0"/>
                      <w:sz w:val="17"/>
                    </w:rPr>
                    <w:t>比较</w:t>
                  </w:r>
                </w:p>
              </w:tc>
              <w:tc>
                <w:tcPr>
                  <w:tcW w:type="dxa" w:w="1375"/>
                  <w:tcBorders>
                    <w:bottom w:val="single" w:sz="6" w:color="000000"/>
                  </w:tcBorders>
                </w:tcPr>
                <w:p>
                  <w:pPr>
                    <w:spacing w:line="280" w:lineRule="exact"/>
                    <w:jc w:val="center"/>
                  </w:pPr>
                  <w:r>
                    <w:rPr>
                      <w:rFonts w:ascii="Times New Roman" w:hAnsi="Times New Roman" w:eastAsia="宋体"/>
                      <w:b/>
                      <w:i w:val="0"/>
                      <w:sz w:val="17"/>
                    </w:rPr>
                    <w:t>配对数</w:t>
                  </w:r>
                </w:p>
              </w:tc>
              <w:tc>
                <w:tcPr>
                  <w:tcW w:type="dxa" w:w="1375"/>
                  <w:tcBorders>
                    <w:bottom w:val="single" w:sz="6" w:color="000000"/>
                  </w:tcBorders>
                </w:tcPr>
                <w:p>
                  <w:pPr>
                    <w:spacing w:line="280" w:lineRule="exact"/>
                    <w:jc w:val="center"/>
                  </w:pPr>
                  <w:r>
                    <w:rPr>
                      <w:rFonts w:ascii="Times New Roman" w:hAnsi="Times New Roman" w:eastAsia="宋体"/>
                      <w:b/>
                      <w:i w:val="0"/>
                      <w:sz w:val="17"/>
                    </w:rPr>
                    <w:t>中位差/ms</w:t>
                  </w:r>
                </w:p>
              </w:tc>
              <w:tc>
                <w:tcPr>
                  <w:tcW w:type="dxa" w:w="1375"/>
                  <w:tcBorders>
                    <w:bottom w:val="single" w:sz="6" w:color="000000"/>
                  </w:tcBorders>
                </w:tcPr>
                <w:p>
                  <w:pPr>
                    <w:spacing w:line="280" w:lineRule="exact"/>
                    <w:jc w:val="center"/>
                  </w:pPr>
                  <w:r>
                    <w:rPr>
                      <w:rFonts w:ascii="Times New Roman" w:hAnsi="Times New Roman" w:eastAsia="宋体"/>
                      <w:b/>
                      <w:i w:val="0"/>
                      <w:sz w:val="17"/>
                    </w:rPr>
                    <w:t>均值差/ms</w:t>
                  </w:r>
                </w:p>
              </w:tc>
              <w:tc>
                <w:tcPr>
                  <w:tcW w:type="dxa" w:w="1375"/>
                  <w:tcBorders>
                    <w:bottom w:val="single" w:sz="6" w:color="000000"/>
                  </w:tcBorders>
                </w:tcPr>
                <w:p>
                  <w:pPr>
                    <w:spacing w:line="280" w:lineRule="exact"/>
                    <w:jc w:val="center"/>
                  </w:pPr>
                  <w:r>
                    <w:rPr>
                      <w:rFonts w:ascii="Times New Roman" w:hAnsi="Times New Roman" w:eastAsia="宋体"/>
                      <w:b/>
                      <w:i w:val="0"/>
                      <w:sz w:val="17"/>
                    </w:rPr>
                    <w:t>均值差 95% CI/ms</w:t>
                  </w:r>
                </w:p>
              </w:tc>
              <w:tc>
                <w:tcPr>
                  <w:tcW w:type="dxa" w:w="1375"/>
                  <w:tcBorders>
                    <w:bottom w:val="single" w:sz="6" w:color="000000"/>
                  </w:tcBorders>
                </w:tcPr>
                <w:p>
                  <w:pPr>
                    <w:spacing w:line="280" w:lineRule="exact"/>
                    <w:jc w:val="center"/>
                  </w:pPr>
                  <w:r>
                    <w:rPr>
                      <w:rFonts w:ascii="Times New Roman" w:hAnsi="Times New Roman" w:eastAsia="宋体"/>
                      <w:b/>
                      <w:i w:val="0"/>
                      <w:sz w:val="17"/>
                    </w:rPr>
                    <w:t>改善比例</w:t>
                  </w:r>
                </w:p>
              </w:tc>
              <w:tc>
                <w:tcPr>
                  <w:tcW w:type="dxa" w:w="1375"/>
                  <w:tcBorders>
                    <w:bottom w:val="single" w:sz="6" w:color="000000"/>
                  </w:tcBorders>
                </w:tcPr>
                <w:p>
                  <w:pPr>
                    <w:spacing w:line="280" w:lineRule="exact"/>
                    <w:jc w:val="center"/>
                  </w:pPr>
                  <w:r>
                    <w:rPr>
                      <w:rFonts w:ascii="Times New Roman" w:hAnsi="Times New Roman" w:eastAsia="宋体"/>
                      <w:b/>
                      <w:i w:val="0"/>
                      <w:sz w:val="17"/>
                    </w:rPr>
                    <w:t>退化比例</w:t>
                  </w:r>
                </w:p>
              </w:tc>
            </w:tr>
            <w:tr>
              <w:tc>
                <w:tcPr>
                  <w:tcW w:type="dxa" w:w="1375"/>
                </w:tcPr>
                <w:p>
                  <w:pPr>
                    <w:spacing w:line="280" w:lineRule="exact"/>
                    <w:jc w:val="center"/>
                  </w:pPr>
                  <w:r>
                    <w:rPr>
                      <w:rFonts w:ascii="Times New Roman" w:hAnsi="Times New Roman" w:eastAsia="宋体"/>
                      <w:b w:val="0"/>
                      <w:i w:val="0"/>
                      <w:sz w:val="17"/>
                    </w:rPr>
                    <w:t>B1-B0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+0.390</w:t>
                  </w:r>
                </w:p>
              </w:tc>
              <w:tc>
                <w:tcPr>
                  <w:tcW w:type="dxa" w:w="1375"/>
                </w:tcPr>
                <w:p>
                  <w:pPr>
                    <w:spacing w:line="280" w:lineRule="exact"/>
                    <w:jc w:val="center"/>
                  </w:pPr>
                  <w:r>
                    <w:rPr>
                      <w:rFonts w:ascii="Times New Roman" w:hAnsi="Times New Roman" w:eastAsia="宋体"/>
                      <w:b w:val="0"/>
                      <w:i w:val="0"/>
                      <w:sz w:val="17"/>
                    </w:rPr>
                    <w:t>+1.688</w:t>
                  </w:r>
                </w:p>
              </w:tc>
              <w:tc>
                <w:tcPr>
                  <w:tcW w:type="dxa" w:w="1375"/>
                </w:tcPr>
                <w:p>
                  <w:pPr>
                    <w:spacing w:line="280" w:lineRule="exact"/>
                    <w:jc w:val="center"/>
                  </w:pPr>
                  <w:r>
                    <w:rPr>
                      <w:rFonts w:ascii="Times New Roman" w:hAnsi="Times New Roman" w:eastAsia="宋体"/>
                      <w:b w:val="0"/>
                      <w:i w:val="0"/>
                      <w:sz w:val="17"/>
                    </w:rPr>
                    <w:t>[-0.220, 3.539]</w:t>
                  </w:r>
                </w:p>
              </w:tc>
              <w:tc>
                <w:tcPr>
                  <w:tcW w:type="dxa" w:w="1375"/>
                </w:tcPr>
                <w:p>
                  <w:pPr>
                    <w:spacing w:line="280" w:lineRule="exact"/>
                    <w:jc w:val="center"/>
                  </w:pPr>
                  <w:r>
                    <w:rPr>
                      <w:rFonts w:ascii="Times New Roman" w:hAnsi="Times New Roman" w:eastAsia="宋体"/>
                      <w:b w:val="0"/>
                      <w:i w:val="0"/>
                      <w:sz w:val="17"/>
                    </w:rPr>
                    <w:t>43.70%</w:t>
                  </w:r>
                </w:p>
              </w:tc>
              <w:tc>
                <w:tcPr>
                  <w:tcW w:type="dxa" w:w="1375"/>
                </w:tcPr>
                <w:p>
                  <w:pPr>
                    <w:spacing w:line="280" w:lineRule="exact"/>
                    <w:jc w:val="center"/>
                  </w:pPr>
                  <w:r>
                    <w:rPr>
                      <w:rFonts w:ascii="Times New Roman" w:hAnsi="Times New Roman" w:eastAsia="宋体"/>
                      <w:b w:val="0"/>
                      <w:i w:val="0"/>
                      <w:sz w:val="17"/>
                    </w:rPr>
                    <w:t>47.33%</w:t>
                  </w:r>
                </w:p>
              </w:tc>
            </w:tr>
            <w:tr>
              <w:tc>
                <w:tcPr>
                  <w:tcW w:type="dxa" w:w="1375"/>
                </w:tcPr>
                <w:p>
                  <w:pPr>
                    <w:spacing w:line="280" w:lineRule="exact"/>
                    <w:jc w:val="center"/>
                  </w:pPr>
                  <w:r>
                    <w:rPr>
                      <w:rFonts w:ascii="Times New Roman" w:hAnsi="Times New Roman" w:eastAsia="宋体"/>
                      <w:b w:val="0"/>
                      <w:i w:val="0"/>
                      <w:sz w:val="17"/>
                    </w:rPr>
                    <w:t>C1-C0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+0.176</w:t>
                  </w:r>
                </w:p>
              </w:tc>
              <w:tc>
                <w:tcPr>
                  <w:tcW w:type="dxa" w:w="1375"/>
                </w:tcPr>
                <w:p>
                  <w:pPr>
                    <w:spacing w:line="280" w:lineRule="exact"/>
                    <w:jc w:val="center"/>
                  </w:pPr>
                  <w:r>
                    <w:rPr>
                      <w:rFonts w:ascii="Times New Roman" w:hAnsi="Times New Roman" w:eastAsia="宋体"/>
                      <w:b w:val="0"/>
                      <w:i w:val="0"/>
                      <w:sz w:val="17"/>
                    </w:rPr>
                    <w:t>+0.318</w:t>
                  </w:r>
                </w:p>
              </w:tc>
              <w:tc>
                <w:tcPr>
                  <w:tcW w:type="dxa" w:w="1375"/>
                </w:tcPr>
                <w:p>
                  <w:pPr>
                    <w:spacing w:line="280" w:lineRule="exact"/>
                    <w:jc w:val="center"/>
                  </w:pPr>
                  <w:r>
                    <w:rPr>
                      <w:rFonts w:ascii="Times New Roman" w:hAnsi="Times New Roman" w:eastAsia="宋体"/>
                      <w:b w:val="0"/>
                      <w:i w:val="0"/>
                      <w:sz w:val="17"/>
                    </w:rPr>
                    <w:t>[-1.630, 2.267]</w:t>
                  </w:r>
                </w:p>
              </w:tc>
              <w:tc>
                <w:tcPr>
                  <w:tcW w:type="dxa" w:w="1375"/>
                </w:tcPr>
                <w:p>
                  <w:pPr>
                    <w:spacing w:line="280" w:lineRule="exact"/>
                    <w:jc w:val="center"/>
                  </w:pPr>
                  <w:r>
                    <w:rPr>
                      <w:rFonts w:ascii="Times New Roman" w:hAnsi="Times New Roman" w:eastAsia="宋体"/>
                      <w:b w:val="0"/>
                      <w:i w:val="0"/>
                      <w:sz w:val="17"/>
                    </w:rPr>
                    <w:t>44.32%</w:t>
                  </w:r>
                </w:p>
              </w:tc>
              <w:tc>
                <w:tcPr>
                  <w:tcW w:type="dxa" w:w="1375"/>
                </w:tcPr>
                <w:p>
                  <w:pPr>
                    <w:spacing w:line="280" w:lineRule="exact"/>
                    <w:jc w:val="center"/>
                  </w:pPr>
                  <w:r>
                    <w:rPr>
                      <w:rFonts w:ascii="Times New Roman" w:hAnsi="Times New Roman" w:eastAsia="宋体"/>
                      <w:b w:val="0"/>
                      <w:i w:val="0"/>
                      <w:sz w:val="17"/>
                    </w:rPr>
                    <w:t>46.71%</w:t>
                  </w:r>
                </w:p>
              </w:tc>
            </w:tr>
            <w:tr>
              <w:tc>
                <w:tcPr>
                  <w:tcW w:type="dxa" w:w="1375"/>
                </w:tcPr>
                <w:p>
                  <w:pPr>
                    <w:spacing w:line="280" w:lineRule="exact"/>
                    <w:jc w:val="center"/>
                  </w:pPr>
                  <w:r>
                    <w:rPr>
                      <w:rFonts w:ascii="Times New Roman" w:hAnsi="Times New Roman" w:eastAsia="宋体"/>
                      <w:b w:val="0"/>
                      <w:i w:val="0"/>
                      <w:sz w:val="17"/>
                    </w:rPr>
                    <w:t>C0-B0</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+0.704</w:t>
                  </w:r>
                </w:p>
              </w:tc>
              <w:tc>
                <w:tcPr>
                  <w:tcW w:type="dxa" w:w="1375"/>
                </w:tcPr>
                <w:p>
                  <w:pPr>
                    <w:spacing w:line="280" w:lineRule="exact"/>
                    <w:jc w:val="center"/>
                  </w:pPr>
                  <w:r>
                    <w:rPr>
                      <w:rFonts w:ascii="Times New Roman" w:hAnsi="Times New Roman" w:eastAsia="宋体"/>
                      <w:b w:val="0"/>
                      <w:i w:val="0"/>
                      <w:sz w:val="17"/>
                    </w:rPr>
                    <w:t>+1.416</w:t>
                  </w:r>
                </w:p>
              </w:tc>
              <w:tc>
                <w:tcPr>
                  <w:tcW w:type="dxa" w:w="1375"/>
                </w:tcPr>
                <w:p>
                  <w:pPr>
                    <w:spacing w:line="280" w:lineRule="exact"/>
                    <w:jc w:val="center"/>
                  </w:pPr>
                  <w:r>
                    <w:rPr>
                      <w:rFonts w:ascii="Times New Roman" w:hAnsi="Times New Roman" w:eastAsia="宋体"/>
                      <w:b w:val="0"/>
                      <w:i w:val="0"/>
                      <w:sz w:val="17"/>
                    </w:rPr>
                    <w:t>[-0.886, 3.718]</w:t>
                  </w:r>
                </w:p>
              </w:tc>
              <w:tc>
                <w:tcPr>
                  <w:tcW w:type="dxa" w:w="1375"/>
                </w:tcPr>
                <w:p>
                  <w:pPr>
                    <w:spacing w:line="280" w:lineRule="exact"/>
                    <w:jc w:val="center"/>
                  </w:pPr>
                  <w:r>
                    <w:rPr>
                      <w:rFonts w:ascii="Times New Roman" w:hAnsi="Times New Roman" w:eastAsia="宋体"/>
                      <w:b w:val="0"/>
                      <w:i w:val="0"/>
                      <w:sz w:val="17"/>
                    </w:rPr>
                    <w:t>-</w:t>
                  </w:r>
                </w:p>
              </w:tc>
              <w:tc>
                <w:tcPr>
                  <w:tcW w:type="dxa" w:w="1375"/>
                </w:tcPr>
                <w:p>
                  <w:pPr>
                    <w:spacing w:line="280" w:lineRule="exact"/>
                    <w:jc w:val="center"/>
                  </w:pPr>
                  <w:r>
                    <w:rPr>
                      <w:rFonts w:ascii="Times New Roman" w:hAnsi="Times New Roman" w:eastAsia="宋体"/>
                      <w:b w:val="0"/>
                      <w:i w:val="0"/>
                      <w:sz w:val="17"/>
                    </w:rPr>
                    <w:t>-</w:t>
                  </w:r>
                </w:p>
              </w:tc>
            </w:tr>
            <w:tr>
              <w:tc>
                <w:tcPr>
                  <w:tcW w:type="dxa" w:w="1375"/>
                </w:tcPr>
                <w:p>
                  <w:pPr>
                    <w:spacing w:line="280" w:lineRule="exact"/>
                    <w:jc w:val="center"/>
                  </w:pPr>
                  <w:r>
                    <w:rPr>
                      <w:rFonts w:ascii="Times New Roman" w:hAnsi="Times New Roman" w:eastAsia="宋体"/>
                      <w:b w:val="0"/>
                      <w:i w:val="0"/>
                      <w:sz w:val="17"/>
                    </w:rPr>
                    <w:t>C1-B1</w:t>
                  </w:r>
                </w:p>
              </w:tc>
              <w:tc>
                <w:tcPr>
                  <w:tcW w:type="dxa" w:w="1375"/>
                </w:tcPr>
                <w:p>
                  <w:pPr>
                    <w:spacing w:line="280" w:lineRule="exact"/>
                    <w:jc w:val="center"/>
                  </w:pPr>
                  <w:r>
                    <w:rPr>
                      <w:rFonts w:ascii="Times New Roman" w:hAnsi="Times New Roman" w:eastAsia="宋体"/>
                      <w:b w:val="0"/>
                      <w:i w:val="0"/>
                      <w:sz w:val="17"/>
                    </w:rPr>
                    <w:t>2430</w:t>
                  </w:r>
                </w:p>
              </w:tc>
              <w:tc>
                <w:tcPr>
                  <w:tcW w:type="dxa" w:w="1375"/>
                </w:tcPr>
                <w:p>
                  <w:pPr>
                    <w:spacing w:line="280" w:lineRule="exact"/>
                    <w:jc w:val="center"/>
                  </w:pPr>
                  <w:r>
                    <w:rPr>
                      <w:rFonts w:ascii="Times New Roman" w:hAnsi="Times New Roman" w:eastAsia="宋体"/>
                      <w:b w:val="0"/>
                      <w:i w:val="0"/>
                      <w:sz w:val="17"/>
                    </w:rPr>
                    <w:t>+0.408</w:t>
                  </w:r>
                </w:p>
              </w:tc>
              <w:tc>
                <w:tcPr>
                  <w:tcW w:type="dxa" w:w="1375"/>
                </w:tcPr>
                <w:p>
                  <w:pPr>
                    <w:spacing w:line="280" w:lineRule="exact"/>
                    <w:jc w:val="center"/>
                  </w:pPr>
                  <w:r>
                    <w:rPr>
                      <w:rFonts w:ascii="Times New Roman" w:hAnsi="Times New Roman" w:eastAsia="宋体"/>
                      <w:b w:val="0"/>
                      <w:i w:val="0"/>
                      <w:sz w:val="17"/>
                    </w:rPr>
                    <w:t>+1.046</w:t>
                  </w:r>
                </w:p>
              </w:tc>
              <w:tc>
                <w:tcPr>
                  <w:tcW w:type="dxa" w:w="1375"/>
                </w:tcPr>
                <w:p>
                  <w:pPr>
                    <w:spacing w:line="280" w:lineRule="exact"/>
                    <w:jc w:val="center"/>
                  </w:pPr>
                  <w:r>
                    <w:rPr>
                      <w:rFonts w:ascii="Times New Roman" w:hAnsi="Times New Roman" w:eastAsia="宋体"/>
                      <w:b w:val="0"/>
                      <w:i w:val="0"/>
                      <w:sz w:val="17"/>
                    </w:rPr>
                    <w:t>[-0.717, 2.809]</w:t>
                  </w:r>
                </w:p>
              </w:tc>
              <w:tc>
                <w:tcPr>
                  <w:tcW w:type="dxa" w:w="1375"/>
                </w:tcPr>
                <w:p>
                  <w:pPr>
                    <w:spacing w:line="280" w:lineRule="exact"/>
                    <w:jc w:val="center"/>
                  </w:pPr>
                  <w:r>
                    <w:rPr>
                      <w:rFonts w:ascii="Times New Roman" w:hAnsi="Times New Roman" w:eastAsia="宋体"/>
                      <w:b w:val="0"/>
                      <w:i w:val="0"/>
                      <w:sz w:val="17"/>
                    </w:rPr>
                    <w:t>-</w:t>
                  </w:r>
                </w:p>
              </w:tc>
              <w:tc>
                <w:tcPr>
                  <w:tcW w:type="dxa" w:w="1375"/>
                </w:tcPr>
                <w:p>
                  <w:pPr>
                    <w:spacing w:line="280" w:lineRule="exact"/>
                    <w:jc w:val="center"/>
                  </w:pPr>
                  <w:r>
                    <w:rPr>
                      <w:rFonts w:ascii="Times New Roman" w:hAnsi="Times New Roman" w:eastAsia="宋体"/>
                      <w:b w:val="0"/>
                      <w:i w:val="0"/>
                      <w:sz w:val="17"/>
                    </w:rPr>
                    <w:t>-</w:t>
                  </w:r>
                </w:p>
              </w:tc>
            </w:tr>
          </w:tbl>
          <w:p/>
          <w:p>
            <w:pPr>
              <w:spacing w:line="400" w:lineRule="exact" w:before="0" w:after="0"/>
              <w:ind w:firstLineChars="200"/>
            </w:pPr>
            <w:r>
              <w:rPr>
                <w:rFonts w:ascii="Times New Roman" w:hAnsi="Times New Roman" w:eastAsia="宋体"/>
                <w:b w:val="0"/>
                <w:i w:val="0"/>
                <w:sz w:val="24"/>
              </w:rPr>
              <w:t>综上，研究内容二目前已完成链上授权状态模型、完整绑定的能力结构、跨实例共享 Nonce 重放控制、依赖故障闭合与五节点正式实验，证据表明系统在状态锚定、能力绑定、重放控制与故障闭合方面形成了可审计的授权执行机制。同时，阶段性实验也明确表明：缓存与层次覆盖在当前冻结工作负载下未产生稳定的端到端工程收益，C(P) 未表现出基线难以复制的协议能力或性能价值。因此，后续研究不再把缓存优化或 C(P) 性能作为核心贡献，而将研究重点收敛至链上状态锚定、完整绑定、共享 Nonce、多验证实例一致性与 Fail-Closed，并据此完成技术路线的收窄与确认。</w:t>
            </w:r>
          </w:p>
          <w:p>
            <w:pPr>
              <w:spacing w:line="400" w:lineRule="exact" w:before="0" w:after="0"/>
              <w:ind/>
            </w:pPr>
            <w:r>
              <w:rPr>
                <w:rFonts w:ascii="Times New Roman" w:hAnsi="Times New Roman" w:eastAsia="宋体"/>
                <w:b/>
                <w:i w:val="0"/>
                <w:sz w:val="24"/>
              </w:rPr>
              <w:t>（6）研究内容三：版本化密文头部与前瞻性撤销闭环</w:t>
            </w:r>
          </w:p>
          <w:p>
            <w:pPr>
              <w:spacing w:line="400" w:lineRule="exact" w:before="0" w:after="0"/>
              <w:ind w:firstLineChars="200"/>
            </w:pPr>
            <w:r>
              <w:rPr>
                <w:rFonts w:ascii="Times New Roman" w:hAnsi="Times New Roman" w:eastAsia="宋体"/>
                <w:b w:val="0"/>
                <w:i w:val="0"/>
                <w:sz w:val="24"/>
              </w:rPr>
              <w:t>研究内容三要解决的是授权状态与链下密文对象生命周期的一致性问题。研究内容二完成后，链上已经能够维护可信的授权状态并控制授权判定，但数据共享的最终载体是链下密文对象与密钥材料：授权通过后，密文材料是否释放、释放后对象是否随状态变化更新、撤销后旧材料是否仍可被继续使用，这些环节仍未闭合。链上记录“用户已被撤销”并不自动意味着用户无法继续获取链下密钥材料；如果密文对象与密钥封装记录与链上状态缺乏版本关联，撤销、文件更新、密钥轮换等事件就无法传导到材料释放判定与密文对象版本上。因此，研究内容三把“授权状态—密文对象版本—密钥材料—数据库任务”组织为可验证的闭合关系。</w:t>
            </w:r>
          </w:p>
          <w:p>
            <w:pPr>
              <w:spacing w:line="400" w:lineRule="exact" w:before="0" w:after="0"/>
              <w:ind w:firstLineChars="200"/>
            </w:pPr>
            <w:r>
              <w:rPr>
                <w:rFonts w:ascii="Times New Roman" w:hAnsi="Times New Roman" w:eastAsia="宋体"/>
                <w:b w:val="0"/>
                <w:i w:val="0"/>
                <w:sz w:val="24"/>
              </w:rPr>
              <w:t>密文对象由 Header 与 Body 两部分构成。Body 为分块 AES-256-GCM 密文，承载文件主体</w:t>
            </w:r>
            <w:r>
              <w:rPr>
                <w:rFonts w:ascii="Times New Roman" w:hAnsi="Times New Roman" w:eastAsia="宋体"/>
                <w:b w:val="0"/>
                <w:i w:val="0"/>
                <w:sz w:val="24"/>
                <w:vertAlign w:val="superscript"/>
              </w:rPr>
              <w:t>[27]</w:t>
            </w:r>
            <w:r>
              <w:rPr>
                <w:rFonts w:ascii="Times New Roman" w:hAnsi="Times New Roman" w:eastAsia="宋体"/>
                <w:b w:val="0"/>
                <w:i w:val="0"/>
                <w:sz w:val="24"/>
              </w:rPr>
              <w:t>；Header 的核心字段由 HeaderCore 承载，包括资源标识、Header/Body/Key 版本、Body 摘要与接收者信封等，签名后形成 SignedVersionedHeader。内容密钥 CK 按接收者使用 HPKE（X25519 + HKDF-SHA256 + AES-128-GCM）封装</w:t>
            </w:r>
            <w:r>
              <w:rPr>
                <w:rFonts w:ascii="Times New Roman" w:hAnsi="Times New Roman" w:eastAsia="宋体"/>
                <w:b w:val="0"/>
                <w:i w:val="0"/>
                <w:sz w:val="24"/>
                <w:vertAlign w:val="superscript"/>
              </w:rPr>
              <w:t>[28]</w:t>
            </w:r>
            <w:r>
              <w:rPr>
                <w:rFonts w:ascii="Times New Roman" w:hAnsi="Times New Roman" w:eastAsia="宋体"/>
                <w:b w:val="0"/>
                <w:i w:val="0"/>
                <w:sz w:val="24"/>
              </w:rPr>
              <w:t>为 EncryptedCKRecord，每个 Body 版本使用独立 CK，V1 冻结语义为 keyVersion 等于 bodyVersion。Header 使用 JCS 规范序列化并以 Ed25519 签名，其摘要与对象摘要均进入链上 HeaderRegistry 的提交记录，从而把链下对象与链上状态绑定：任何对 Header 或 Body 的篡改都会反映到摘要不一致上，任何版本变化都可以在链上核验。</w:t>
            </w:r>
          </w:p>
          <w:p>
            <w:pPr>
              <w:keepNext/>
              <w:spacing w:line="240" w:lineRule="auto" w:before="120" w:after="0"/>
              <w:jc w:val="center"/>
            </w:pPr>
            <w:r>
              <w:drawing>
                <wp:inline xmlns:a="http://schemas.openxmlformats.org/drawingml/2006/main" xmlns:pic="http://schemas.openxmlformats.org/drawingml/2006/picture">
                  <wp:extent cx="4680000" cy="2537726"/>
                  <wp:docPr id="15" name="Picture 15"/>
                  <wp:cNvGraphicFramePr>
                    <a:graphicFrameLocks noChangeAspect="1"/>
                  </wp:cNvGraphicFramePr>
                  <a:graphic>
                    <a:graphicData uri="http://schemas.openxmlformats.org/drawingml/2006/picture">
                      <pic:pic>
                        <pic:nvPicPr>
                          <pic:cNvPr id="0" name="m4-fig6-object.png"/>
                          <pic:cNvPicPr/>
                        </pic:nvPicPr>
                        <pic:blipFill>
                          <a:blip r:embed="rId37"/>
                          <a:stretch>
                            <a:fillRect/>
                          </a:stretch>
                        </pic:blipFill>
                        <pic:spPr>
                          <a:xfrm>
                            <a:off x="0" y="0"/>
                            <a:ext cx="4680000" cy="2537726"/>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图15 版本化密文对象结构（Header/Body/CK）</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hdrHash=</m:t>
              </m:r>
              <m:r>
                <m:t>SHA256</m:t>
              </m:r>
              <m:r>
                <m:t>(Canonical(Header)),</m:t>
              </m:r>
              <m:r>
                <m:t>HeaderRegistry←(hdrHash,objHash).</m:t>
              </m:r>
            </m:oMath>
            <w:r>
              <w:rPr>
                <w:rFonts w:ascii="Times New Roman" w:hAnsi="Times New Roman" w:eastAsia="宋体"/>
                <w:b w:val="0"/>
                <w:i w:val="0"/>
                <w:sz w:val="21"/>
              </w:rPr>
              <w:tab/>
              <w:t>(19)</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E</m:t>
              </m:r>
              <m:sSub>
                <m:e>
                  <m:r>
                    <m:t>K</m:t>
                  </m:r>
                </m:e>
                <m:sub>
                  <m:r>
                    <m:t>R</m:t>
                  </m:r>
                </m:sub>
              </m:sSub>
              <m:r>
                <m:t>=</m:t>
              </m:r>
              <m:r>
                <m:t>HPKE.Seal</m:t>
              </m:r>
              <m:r>
                <m:t>(p</m:t>
              </m:r>
              <m:sSub>
                <m:e>
                  <m:r>
                    <m:t>k</m:t>
                  </m:r>
                </m:e>
                <m:sub>
                  <m:r>
                    <m:t>R</m:t>
                  </m:r>
                </m:sub>
              </m:sSub>
              <m:r>
                <m:t>,CK).</m:t>
              </m:r>
            </m:oMath>
            <w:r>
              <w:rPr>
                <w:rFonts w:ascii="Times New Roman" w:hAnsi="Times New Roman" w:eastAsia="宋体"/>
                <w:b w:val="0"/>
                <w:i w:val="0"/>
                <w:sz w:val="21"/>
              </w:rPr>
              <w:tab/>
              <w:t>(20)</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sSub>
                <m:e>
                  <m:r>
                    <m:t>C</m:t>
                  </m:r>
                </m:e>
                <m:sub>
                  <m:r>
                    <m:t>body</m:t>
                  </m:r>
                </m:sub>
              </m:sSub>
              <m:r>
                <m:t>=</m:t>
              </m:r>
              <m:r>
                <m:t>AES−256−GCM</m:t>
              </m:r>
              <m:r>
                <m:t>(K,N,M).</m:t>
              </m:r>
            </m:oMath>
            <w:r>
              <w:rPr>
                <w:rFonts w:ascii="Times New Roman" w:hAnsi="Times New Roman" w:eastAsia="宋体"/>
                <w:b w:val="0"/>
                <w:i w:val="0"/>
                <w:sz w:val="21"/>
              </w:rPr>
              <w:tab/>
              <w:t>(21)</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keyVersion=bodyVersion.</m:t>
              </m:r>
            </m:oMath>
            <w:r>
              <w:rPr>
                <w:rFonts w:ascii="Times New Roman" w:hAnsi="Times New Roman" w:eastAsia="宋体"/>
                <w:b w:val="0"/>
                <w:i w:val="0"/>
                <w:sz w:val="21"/>
              </w:rPr>
              <w:tab/>
              <w:t>(22)</w:t>
            </w:r>
          </w:p>
          <w:p>
            <w:pPr>
              <w:spacing w:line="400" w:lineRule="exact" w:before="0" w:after="0"/>
              <w:ind w:firstLineChars="200"/>
            </w:pPr>
            <w:r>
              <w:rPr>
                <w:rFonts w:ascii="Times New Roman" w:hAnsi="Times New Roman" w:eastAsia="宋体"/>
                <w:b w:val="0"/>
                <w:i w:val="0"/>
                <w:sz w:val="24"/>
              </w:rPr>
              <w:t>HeaderCore 的字段设计遵循“对象自描述、摘要可核验”的原则：资源标识指向链上资源，版本三元组描述 Header/Body/CK 的当前版本，Body 摘要与接收者信封分别保证对象完整性与按接收者封装；签名覆盖规范化序列化的全部字段，任何字段被修改都会导致验签失败。接收者信封支持多接收者场景：每个接收者对应一个 HPKE 封装记录，接收者通过自己的密钥解封装获得内容密钥，未列入信封的实体无法获得 CK，从而实现“授权列表之外的接收者不可解密”。Body 采用分块加密便于流式处理与部分校验，分块数与摘要计算在发布时确定，后续轮换生成新 Body 与新 CK，旧版本仍可按摘要追溯。</w:t>
            </w:r>
          </w:p>
          <w:p>
            <w:pPr>
              <w:spacing w:line="400" w:lineRule="exact" w:before="0" w:after="0"/>
              <w:ind w:firstLineChars="200"/>
            </w:pPr>
            <w:r>
              <w:rPr>
                <w:rFonts w:ascii="Times New Roman" w:hAnsi="Times New Roman" w:eastAsia="宋体"/>
                <w:b w:val="0"/>
                <w:i w:val="0"/>
                <w:sz w:val="24"/>
              </w:rPr>
              <w:t>需要说明的是，密文头部与密文主体的分离是降低动态更新成本的关键：文件主体通常体积较大，重新加密会产生与文件规模成正比的数据搬移开销；而密文头部体积小、只承载版本与摘要信息，更新头部即可表达授权语义变化。该设计使 HEADER_ONLY 操作能够以接近固定成本完成，BODY_ROTATION 操作则只在密钥或内容确实需要更换时才执行，两类操作的边界与成本结构在实验中分别刻画。</w:t>
            </w:r>
          </w:p>
          <w:p>
            <w:pPr>
              <w:spacing w:line="400" w:lineRule="exact" w:before="0" w:after="0"/>
              <w:ind w:firstLineChars="200"/>
            </w:pPr>
            <w:r>
              <w:rPr>
                <w:rFonts w:ascii="Times New Roman" w:hAnsi="Times New Roman" w:eastAsia="宋体"/>
                <w:b w:val="0"/>
                <w:i w:val="0"/>
                <w:sz w:val="24"/>
              </w:rPr>
              <w:t>版本语义被冻结为三类操作：INITIAL 表示初始状态（headerVersion=1，bodyVersion=1，keyVersion=1）；HEADER_ONLY 表示仅更新 Header（headerVersion 加 1，bodyVersion 与 keyVersion 不变，Body 与 CK 不变）；BODY_ROTATION 表示整体轮换（headerVersion、bodyVersion、keyVersion 均加 1，生成新 CK 与新 Body）。HEADER_ONLY 用于授权语义变化（如撤销后的 Header 闭合）而不更换数据密钥，BODY_ROTATION 用于更换密文对象与密钥。二者是不同语义的操作：HEADER_ONLY 面向授权状态变化，BODY_ROTATION 面向密钥与对象更新，实验中分别分析，不作等价比较。</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算法7 BODY_ROTATION 流</w:t>
            </w:r>
          </w:p>
          <w:p>
            <w:pPr>
              <w:spacing w:line="400" w:lineRule="exact" w:before="0" w:after="0"/>
              <w:ind w:firstLineChars="200"/>
            </w:pPr>
            <w:r>
              <w:rPr>
                <w:rFonts w:ascii="Times New Roman" w:hAnsi="Times New Roman" w:eastAsia="宋体"/>
                <w:b w:val="0"/>
                <w:i w:val="0"/>
                <w:sz w:val="24"/>
              </w:rPr>
              <w:t>输入：需要轮换的密文对象（密钥或内容变化）</w:t>
            </w:r>
          </w:p>
          <w:p>
            <w:pPr>
              <w:spacing w:line="400" w:lineRule="exact" w:before="0" w:after="0"/>
              <w:ind w:firstLineChars="200"/>
            </w:pPr>
            <w:r>
              <w:rPr>
                <w:rFonts w:ascii="Times New Roman" w:hAnsi="Times New Roman" w:eastAsia="宋体"/>
                <w:b w:val="0"/>
                <w:i w:val="0"/>
                <w:sz w:val="24"/>
              </w:rPr>
              <w:t>输出：新 Body、新内容密钥 CK′、新 Header</w:t>
            </w:r>
          </w:p>
          <w:p>
            <w:pPr>
              <w:spacing w:line="400" w:lineRule="exact" w:before="0" w:after="0"/>
              <w:ind w:firstLineChars="200"/>
            </w:pPr>
            <w:r>
              <w:rPr>
                <w:rFonts w:ascii="Times New Roman" w:hAnsi="Times New Roman" w:eastAsia="宋体"/>
                <w:b w:val="0"/>
                <w:i w:val="0"/>
                <w:sz w:val="24"/>
              </w:rPr>
              <w:t>1: 生成新内容密钥 CK′</w:t>
            </w:r>
          </w:p>
          <w:p>
            <w:pPr>
              <w:spacing w:line="400" w:lineRule="exact" w:before="0" w:after="0"/>
              <w:ind w:firstLineChars="200"/>
            </w:pPr>
            <w:r>
              <w:rPr>
                <w:rFonts w:ascii="Times New Roman" w:hAnsi="Times New Roman" w:eastAsia="宋体"/>
                <w:b w:val="0"/>
                <w:i w:val="0"/>
                <w:sz w:val="24"/>
              </w:rPr>
              <w:t>2: 使用 CK′ 对 Body 进行 AES-256-GCM 分块加密</w:t>
            </w:r>
          </w:p>
          <w:p>
            <w:pPr>
              <w:spacing w:line="400" w:lineRule="exact" w:before="0" w:after="0"/>
              <w:ind w:firstLineChars="200"/>
            </w:pPr>
            <w:r>
              <w:rPr>
                <w:rFonts w:ascii="Times New Roman" w:hAnsi="Times New Roman" w:eastAsia="宋体"/>
                <w:b w:val="0"/>
                <w:i w:val="0"/>
                <w:sz w:val="24"/>
              </w:rPr>
              <w:t>3: 为每个接收者以 HPKE 生成新 EncryptedCKRecord</w:t>
            </w:r>
          </w:p>
          <w:p>
            <w:pPr>
              <w:spacing w:line="400" w:lineRule="exact" w:before="0" w:after="0"/>
              <w:ind w:firstLineChars="200"/>
            </w:pPr>
            <w:r>
              <w:rPr>
                <w:rFonts w:ascii="Times New Roman" w:hAnsi="Times New Roman" w:eastAsia="宋体"/>
                <w:b w:val="0"/>
                <w:i w:val="0"/>
                <w:sz w:val="24"/>
              </w:rPr>
              <w:t>4: 构造新 Header：(headerVersion, bodyVersion, keyVersion) ← (h+1, b+1, k+1)</w:t>
            </w:r>
          </w:p>
          <w:p>
            <w:pPr>
              <w:spacing w:line="400" w:lineRule="exact" w:before="0" w:after="0"/>
              <w:ind w:firstLineChars="200"/>
            </w:pPr>
            <w:r>
              <w:rPr>
                <w:rFonts w:ascii="Times New Roman" w:hAnsi="Times New Roman" w:eastAsia="宋体"/>
                <w:b w:val="0"/>
                <w:i w:val="0"/>
                <w:sz w:val="24"/>
              </w:rPr>
              <w:t>5: JCS 序列化、Ed25519 签名并登记 HeaderRegistry</w:t>
            </w:r>
          </w:p>
          <w:p>
            <w:pPr>
              <w:spacing w:line="400" w:lineRule="exact" w:before="0" w:after="0"/>
              <w:ind w:firstLineChars="200"/>
            </w:pPr>
            <w:r>
              <w:rPr>
                <w:rFonts w:ascii="Times New Roman" w:hAnsi="Times New Roman" w:eastAsia="宋体"/>
                <w:b w:val="0"/>
                <w:i w:val="0"/>
                <w:sz w:val="24"/>
              </w:rPr>
              <w:t>算法结束</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算法6 HEADER_ONLY 更新流</w:t>
            </w:r>
          </w:p>
          <w:p>
            <w:pPr>
              <w:spacing w:line="400" w:lineRule="exact" w:before="0" w:after="0"/>
              <w:ind w:firstLineChars="200"/>
            </w:pPr>
            <w:r>
              <w:rPr>
                <w:rFonts w:ascii="Times New Roman" w:hAnsi="Times New Roman" w:eastAsia="宋体"/>
                <w:b w:val="0"/>
                <w:i w:val="0"/>
                <w:sz w:val="24"/>
              </w:rPr>
              <w:t>输入：受影响资源、授权语义变化（撤销/暂停/策略更新）</w:t>
            </w:r>
          </w:p>
          <w:p>
            <w:pPr>
              <w:spacing w:line="400" w:lineRule="exact" w:before="0" w:after="0"/>
              <w:ind w:firstLineChars="200"/>
            </w:pPr>
            <w:r>
              <w:rPr>
                <w:rFonts w:ascii="Times New Roman" w:hAnsi="Times New Roman" w:eastAsia="宋体"/>
                <w:b w:val="0"/>
                <w:i w:val="0"/>
                <w:sz w:val="24"/>
              </w:rPr>
              <w:t>输出：新 Header 与链上登记记录</w:t>
            </w:r>
          </w:p>
          <w:p>
            <w:pPr>
              <w:spacing w:line="400" w:lineRule="exact" w:before="0" w:after="0"/>
              <w:ind w:firstLineChars="200"/>
            </w:pPr>
            <w:r>
              <w:rPr>
                <w:rFonts w:ascii="Times New Roman" w:hAnsi="Times New Roman" w:eastAsia="宋体"/>
                <w:b w:val="0"/>
                <w:i w:val="0"/>
                <w:sz w:val="24"/>
              </w:rPr>
              <w:t>1: 解析受影响资源，生成 Header 更新意图</w:t>
            </w:r>
          </w:p>
          <w:p>
            <w:pPr>
              <w:spacing w:line="400" w:lineRule="exact" w:before="0" w:after="0"/>
              <w:ind w:firstLineChars="200"/>
            </w:pPr>
            <w:r>
              <w:rPr>
                <w:rFonts w:ascii="Times New Roman" w:hAnsi="Times New Roman" w:eastAsia="宋体"/>
                <w:b w:val="0"/>
                <w:i w:val="0"/>
                <w:sz w:val="24"/>
              </w:rPr>
              <w:t>2: 构造新 Header：headerVersion ← h+1，bodyVersion 与 keyVersion 保持不变</w:t>
            </w:r>
          </w:p>
          <w:p>
            <w:pPr>
              <w:spacing w:line="400" w:lineRule="exact" w:before="0" w:after="0"/>
              <w:ind w:firstLineChars="200"/>
            </w:pPr>
            <w:r>
              <w:rPr>
                <w:rFonts w:ascii="Times New Roman" w:hAnsi="Times New Roman" w:eastAsia="宋体"/>
                <w:b w:val="0"/>
                <w:i w:val="0"/>
                <w:sz w:val="24"/>
              </w:rPr>
              <w:t>3: JCS 规范序列化并以 Ed25519 签名</w:t>
            </w:r>
          </w:p>
          <w:p>
            <w:pPr>
              <w:spacing w:line="400" w:lineRule="exact" w:before="0" w:after="0"/>
              <w:ind w:firstLineChars="200"/>
            </w:pPr>
            <w:r>
              <w:rPr>
                <w:rFonts w:ascii="Times New Roman" w:hAnsi="Times New Roman" w:eastAsia="宋体"/>
                <w:b w:val="0"/>
                <w:i w:val="0"/>
                <w:sz w:val="24"/>
              </w:rPr>
              <w:t>4: 将 (hdrHash, objHash) 登记至 HeaderRegistry</w:t>
            </w:r>
          </w:p>
          <w:p>
            <w:pPr>
              <w:spacing w:line="400" w:lineRule="exact" w:before="0" w:after="0"/>
              <w:ind w:firstLineChars="200"/>
            </w:pPr>
            <w:r>
              <w:rPr>
                <w:rFonts w:ascii="Times New Roman" w:hAnsi="Times New Roman" w:eastAsia="宋体"/>
                <w:b w:val="0"/>
                <w:i w:val="0"/>
                <w:sz w:val="24"/>
              </w:rPr>
              <w:t>5: Header 进入 current 后恢复合法材料释放；不更换数据密钥</w:t>
            </w:r>
          </w:p>
          <w:p>
            <w:pPr>
              <w:spacing w:line="400" w:lineRule="exact" w:before="0" w:after="0"/>
              <w:ind w:firstLineChars="200"/>
            </w:pPr>
            <w:r>
              <w:rPr>
                <w:rFonts w:ascii="Times New Roman" w:hAnsi="Times New Roman" w:eastAsia="宋体"/>
                <w:b w:val="0"/>
                <w:i w:val="0"/>
                <w:sz w:val="24"/>
              </w:rPr>
              <w:t>算法结束</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(h,b,k)↦(h+1,b+1,k+1).</m:t>
              </m:r>
            </m:oMath>
            <w:r>
              <w:rPr>
                <w:rFonts w:ascii="Times New Roman" w:hAnsi="Times New Roman" w:eastAsia="宋体"/>
                <w:b w:val="0"/>
                <w:i w:val="0"/>
                <w:sz w:val="21"/>
              </w:rPr>
              <w:tab/>
              <w:t>(23)</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t>(h,b,k)↦(h+1,b,k).</m:t>
              </m:r>
            </m:oMath>
            <w:r>
              <w:rPr>
                <w:rFonts w:ascii="Times New Roman" w:hAnsi="Times New Roman" w:eastAsia="宋体"/>
                <w:b w:val="0"/>
                <w:i w:val="0"/>
                <w:sz w:val="21"/>
              </w:rPr>
              <w:tab/>
              <w:t>(24)</w:t>
            </w:r>
          </w:p>
          <w:p>
            <w:pPr>
              <w:spacing w:line="400" w:lineRule="exact" w:before="0" w:after="0"/>
              <w:ind w:firstLineChars="200"/>
            </w:pPr>
            <w:r>
              <w:rPr>
                <w:rFonts w:ascii="Times New Roman" w:hAnsi="Times New Roman" w:eastAsia="宋体"/>
                <w:b w:val="0"/>
                <w:i w:val="0"/>
                <w:sz w:val="24"/>
              </w:rPr>
              <w:t>版本状态机由 AuthorizationState 与 HeaderRegistry 共同维护：AuthorizationState 保存 policyDigest、epoch、stateVersion 与资源状态，HeaderRegistry 保存 headerVersion、bodyVersion、keyVersion、摘要与操作身份；二者通过资源标识关联，形成“资源状态—对象版本”的双通道记录。任何状态更新必须满足版本单调性与摘要一致性：headerVersion、bodyVersion、keyVersion 只增不减，Header 摘要与对象摘要与链上登记一致，否则更新被拒绝。这种双通道设计使撤销、文件更新、密钥轮换与时间策略变化都可以表达为版本递增与状态迁移，并为材料释放判定提供可复核的输入。</w:t>
            </w:r>
          </w:p>
          <w:p>
            <w:pPr>
              <w:spacing w:line="400" w:lineRule="exact" w:before="0" w:after="0"/>
              <w:ind w:firstLineChars="200"/>
            </w:pPr>
            <w:r>
              <w:rPr>
                <w:rFonts w:ascii="Times New Roman" w:hAnsi="Times New Roman" w:eastAsia="宋体"/>
                <w:b w:val="0"/>
                <w:i w:val="0"/>
                <w:sz w:val="24"/>
              </w:rPr>
              <w:t>数据库控制面是链上写入与链下任务之间的同步层：任务在显式提交后即可被独立连接读取，经写入准入后广播交易，以回执与固定区块状态验证后固化为已提交；数据库事务不跨链回执等待，避免把链上确认时延引入数据库事务边界。operationId 保证重复执行幂等：同一任务即使因网络重试被执行多次，也只产生一次链上效果；提交结果不确定等异常按预注册规则处理，不擅自回滚链上已确认的状态。任务状态机的状态迁移覆盖创建、准入、广播、已提交与失败等路径，为审计与恢复提供完整的操作记录。</w:t>
            </w:r>
          </w:p>
          <w:p>
            <w:pPr>
              <w:spacing w:line="400" w:lineRule="exact" w:before="0" w:after="0"/>
              <w:ind w:firstLineChars="200"/>
            </w:pPr>
            <w:r>
              <w:rPr>
                <w:rFonts w:ascii="Times New Roman" w:hAnsi="Times New Roman" w:eastAsia="宋体"/>
                <w:b w:val="0"/>
                <w:i w:val="0"/>
                <w:sz w:val="24"/>
              </w:rPr>
              <w:t>数据库控制面解决的是“链上写入与链下应用之间的一致性”问题：应用先写入任务记录再提交链上交易，链上回执与固定区块状态验证通过后才把任务固化为已提交，任何中间失败都保留可审计的记录；操作标识保证幂等，使重试不会产生重复效果。这一设计使链下任务状态与链上交易结果在最终一致的前提下可追踪，为撤销流程、Header 更新流程与恢复流程提供统一的状态基础。</w:t>
            </w:r>
          </w:p>
          <w:p>
            <w:pPr>
              <w:spacing w:line="400" w:lineRule="exact" w:before="0" w:after="0"/>
              <w:ind w:firstLineChars="200"/>
            </w:pPr>
            <w:r>
              <w:rPr>
                <w:rFonts w:ascii="Times New Roman" w:hAnsi="Times New Roman" w:eastAsia="宋体"/>
                <w:b w:val="0"/>
                <w:i w:val="0"/>
                <w:sz w:val="24"/>
              </w:rPr>
              <w:t>材料释放判定由 AccessMaterialReleaseGuard 依据链上复合状态与 Header 对象完整性执行：只有资源与用户均为有效状态、Header 存在且摘要一致、当前时间落在策略允许窗口内时才允许释放。链上 HeaderRegistry 保存 headerVersion、bodyVersion、keyVersion、摘要与操作身份，与 AuthorizationState 共同构成状态事实源；数据库控制面以任务状态机管理链上写入：任务显式提交后可被独立连接读取，经准入后广播交易，以回执与固定区块状态验证后固化为已提交；数据库事务不跨链回执等待，operationId 保证重复执行幂等，提交结果不确定等异常按预注册规则处理。</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rPr>
                  <m:nor/>
                </m:rPr>
                <m:t>release iff </m:t>
              </m:r>
              <m:r>
                <m:t>status=ACTIVE∧t∈S(</m:t>
              </m:r>
              <m:sSup>
                <m:e>
                  <m:r>
                    <m:t>I</m:t>
                  </m:r>
                </m:e>
                <m:sup>
                  <m:r>
                    <m:t>*</m:t>
                  </m:r>
                </m:sup>
              </m:sSup>
              <m:r>
                <m:t>)∧hdrValid.</m:t>
              </m:r>
            </m:oMath>
            <w:r>
              <w:rPr>
                <w:rFonts w:ascii="Times New Roman" w:hAnsi="Times New Roman" w:eastAsia="宋体"/>
                <w:b w:val="0"/>
                <w:i w:val="0"/>
                <w:sz w:val="21"/>
              </w:rPr>
              <w:tab/>
              <w:t>(25)</w:t>
            </w:r>
          </w:p>
          <w:p>
            <w:pPr>
              <w:spacing w:line="400" w:lineRule="exact" w:before="0" w:after="0"/>
              <w:ind w:firstLineChars="200"/>
            </w:pPr>
            <w:r>
              <w:rPr>
                <w:rFonts w:ascii="Times New Roman" w:hAnsi="Times New Roman" w:eastAsia="宋体"/>
                <w:b w:val="0"/>
                <w:i w:val="0"/>
                <w:sz w:val="24"/>
              </w:rPr>
              <w:t>撤销采用前瞻性语义：撤销事件发生后，系统立即停止后续材料释放；在新 Header 闭合前，合法用户可能暂时不可访问，这是 Fail-Closed 的设计代价。撤销流程为：链上 epoch 推进触发事件，事件扫描与受影响资源解析生成 Header 更新意图；在 Header 闭合前，材料释放判定保持拒绝；Header 进入当前状态后，合法材料恢复释放。系统不主张追溯撤销：不能收回此前已合法获得的明文、旧 CK 或旧密文，这一边界在安全分析中明确陈述，避免把撤销机制表述为能够追回已泄露数据。</w:t>
            </w:r>
          </w:p>
          <w:p>
            <w:pPr>
              <w:spacing w:line="400" w:lineRule="exact" w:before="0" w:after="0"/>
              <w:ind w:firstLineChars="200"/>
            </w:pPr>
            <w:r>
              <w:rPr>
                <w:rFonts w:ascii="Times New Roman" w:hAnsi="Times New Roman" w:eastAsia="宋体"/>
                <w:b w:val="0"/>
                <w:i w:val="0"/>
                <w:sz w:val="24"/>
              </w:rPr>
              <w:t>链下对象层由 LocalObjectStore 与隔离的 Kubo 副本组成：LocalObjectStore 以不可变方式存储对象，写入原子，SHA-256 内容寻址为完整性权威</w:t>
            </w:r>
            <w:r>
              <w:rPr>
                <w:rFonts w:ascii="Times New Roman" w:hAnsi="Times New Roman" w:eastAsia="宋体"/>
                <w:b w:val="0"/>
                <w:i w:val="0"/>
                <w:sz w:val="24"/>
                <w:vertAlign w:val="superscript"/>
              </w:rPr>
              <w:t>[29]</w:t>
            </w:r>
            <w:r>
              <w:rPr>
                <w:rFonts w:ascii="Times New Roman" w:hAnsi="Times New Roman" w:eastAsia="宋体"/>
                <w:b w:val="0"/>
                <w:i w:val="0"/>
                <w:sz w:val="24"/>
              </w:rPr>
              <w:t>；Kubo 仅作为隔离副本定位，CID 不替代 SHA-256 的完整性权威。恢复由 RecoveryCoordinator 协调：读取候选对象、SHA 验证、结构验证、原子恢复，最终形成一致状态或 Fail-Closed 结果。受控故障包括对象损坏、CID 不一致与本地/副本同时缺失等类型；恢复路径不因来源不同而放宽完整性要求。</w:t>
            </w:r>
          </w:p>
          <w:p>
            <w:pPr>
              <w:keepNext/>
              <w:keepLines/>
              <w:spacing w:line="280" w:lineRule="exact" w:before="120" w:after="120"/>
              <w:pBdr>
                <w:top w:val="single" w:sz="6" w:space="4" w:color="404040"/>
                <w:left w:val="single" w:sz="6" w:space="4" w:color="404040"/>
                <w:right w:val="single" w:sz="6" w:space="4" w:color="404040"/>
                <w:bottom w:val="single" w:sz="12" w:space="4" w:color="404040"/>
              </w:pBdr>
            </w:pPr>
            <w:r>
              <w:rPr>
                <w:rFonts w:ascii="Consolas" w:hAnsi="Consolas" w:eastAsia="宋体"/>
                <w:b w:val="0"/>
                <w:i w:val="0"/>
                <w:sz w:val="18"/>
              </w:rPr>
              <w:t>算法8 RecoveryCoordinator 故障恢</w:t>
            </w:r>
          </w:p>
          <w:p>
            <w:pPr>
              <w:spacing w:line="400" w:lineRule="exact" w:before="0" w:after="0"/>
              <w:ind w:firstLineChars="200"/>
            </w:pPr>
            <w:r>
              <w:rPr>
                <w:rFonts w:ascii="Times New Roman" w:hAnsi="Times New Roman" w:eastAsia="宋体"/>
                <w:b w:val="0"/>
                <w:i w:val="0"/>
                <w:sz w:val="24"/>
              </w:rPr>
              <w:t>输入：候选对象（本地或隔离副本）、期望摘要 objHash</w:t>
            </w:r>
          </w:p>
          <w:p>
            <w:pPr>
              <w:spacing w:line="400" w:lineRule="exact" w:before="0" w:after="0"/>
              <w:ind w:firstLineChars="200"/>
            </w:pPr>
            <w:r>
              <w:rPr>
                <w:rFonts w:ascii="Times New Roman" w:hAnsi="Times New Roman" w:eastAsia="宋体"/>
                <w:b w:val="0"/>
                <w:i w:val="0"/>
                <w:sz w:val="24"/>
              </w:rPr>
              <w:t>输出：一致对象或 FAIL_CLOSED</w:t>
            </w:r>
          </w:p>
          <w:p>
            <w:pPr>
              <w:spacing w:line="400" w:lineRule="exact" w:before="0" w:after="0"/>
              <w:ind w:firstLineChars="200"/>
            </w:pPr>
            <w:r>
              <w:rPr>
                <w:rFonts w:ascii="Times New Roman" w:hAnsi="Times New Roman" w:eastAsia="宋体"/>
                <w:b w:val="0"/>
                <w:i w:val="0"/>
                <w:sz w:val="24"/>
              </w:rPr>
              <w:t>1: 读取候选对象；读取失败返回 FAIL_CLOSED</w:t>
            </w:r>
          </w:p>
          <w:p>
            <w:pPr>
              <w:spacing w:line="400" w:lineRule="exact" w:before="0" w:after="0"/>
              <w:ind w:firstLineChars="200"/>
            </w:pPr>
            <w:r>
              <w:rPr>
                <w:rFonts w:ascii="Times New Roman" w:hAnsi="Times New Roman" w:eastAsia="宋体"/>
                <w:b w:val="0"/>
                <w:i w:val="0"/>
                <w:sz w:val="24"/>
              </w:rPr>
              <w:t>2: 计算 SHA-256 摘要；与 objHash 不一致返回 FAIL_CLOSED</w:t>
            </w:r>
          </w:p>
          <w:p>
            <w:pPr>
              <w:spacing w:line="400" w:lineRule="exact" w:before="0" w:after="0"/>
              <w:ind w:firstLineChars="200"/>
            </w:pPr>
            <w:r>
              <w:rPr>
                <w:rFonts w:ascii="Times New Roman" w:hAnsi="Times New Roman" w:eastAsia="宋体"/>
                <w:b w:val="0"/>
                <w:i w:val="0"/>
                <w:sz w:val="24"/>
              </w:rPr>
              <w:t>3: 结构验证（Header/Body 格式与版本关系）；不合法返回 FAIL_CLOSED</w:t>
            </w:r>
          </w:p>
          <w:p>
            <w:pPr>
              <w:spacing w:line="400" w:lineRule="exact" w:before="0" w:after="0"/>
              <w:ind w:firstLineChars="200"/>
            </w:pPr>
            <w:r>
              <w:rPr>
                <w:rFonts w:ascii="Times New Roman" w:hAnsi="Times New Roman" w:eastAsia="宋体"/>
                <w:b w:val="0"/>
                <w:i w:val="0"/>
                <w:sz w:val="24"/>
              </w:rPr>
              <w:t>4: 原子恢复至 LocalObjectStore</w:t>
            </w:r>
          </w:p>
          <w:p>
            <w:pPr>
              <w:spacing w:line="400" w:lineRule="exact" w:before="0" w:after="0"/>
              <w:ind w:firstLineChars="200"/>
            </w:pPr>
            <w:r>
              <w:rPr>
                <w:rFonts w:ascii="Times New Roman" w:hAnsi="Times New Roman" w:eastAsia="宋体"/>
                <w:b w:val="0"/>
                <w:i w:val="0"/>
                <w:sz w:val="24"/>
              </w:rPr>
              <w:t>5: 记录修复来源与修复数量，供审计</w:t>
            </w:r>
          </w:p>
          <w:p>
            <w:pPr>
              <w:spacing w:line="400" w:lineRule="exact" w:before="0" w:after="0"/>
              <w:ind w:firstLineChars="200"/>
            </w:pPr>
            <w:r>
              <w:rPr>
                <w:rFonts w:ascii="Times New Roman" w:hAnsi="Times New Roman" w:eastAsia="宋体"/>
                <w:b w:val="0"/>
                <w:i w:val="0"/>
                <w:sz w:val="24"/>
              </w:rPr>
              <w:t>6: 返回一致对象</w:t>
            </w:r>
          </w:p>
          <w:p>
            <w:pPr>
              <w:spacing w:line="400" w:lineRule="exact" w:before="0" w:after="0"/>
              <w:ind w:firstLineChars="200"/>
            </w:pPr>
            <w:r>
              <w:rPr>
                <w:rFonts w:ascii="Times New Roman" w:hAnsi="Times New Roman" w:eastAsia="宋体"/>
                <w:b w:val="0"/>
                <w:i w:val="0"/>
                <w:sz w:val="24"/>
              </w:rPr>
              <w:t>算法结束</w:t>
            </w:r>
          </w:p>
          <w:p>
            <w:pPr>
              <w:keepNext/>
              <w:spacing w:line="240" w:lineRule="auto" w:before="120" w:after="0"/>
              <w:jc w:val="center"/>
            </w:pPr>
            <w:r>
              <w:drawing>
                <wp:inline xmlns:a="http://schemas.openxmlformats.org/drawingml/2006/main" xmlns:pic="http://schemas.openxmlformats.org/drawingml/2006/picture">
                  <wp:extent cx="4680000" cy="3082684"/>
                  <wp:docPr id="16" name="Picture 16"/>
                  <wp:cNvGraphicFramePr>
                    <a:graphicFrameLocks noChangeAspect="1"/>
                  </wp:cNvGraphicFramePr>
                  <a:graphic>
                    <a:graphicData uri="http://schemas.openxmlformats.org/drawingml/2006/picture">
                      <pic:pic>
                        <pic:nvPicPr>
                          <pic:cNvPr id="0" name="m4-fig7-closure.png"/>
                          <pic:cNvPicPr/>
                        </pic:nvPicPr>
                        <pic:blipFill>
                          <a:blip r:embed="rId38"/>
                          <a:stretch>
                            <a:fillRect/>
                          </a:stretch>
                        </pic:blipFill>
                        <pic:spPr>
                          <a:xfrm>
                            <a:off x="0" y="0"/>
                            <a:ext cx="4680000" cy="3082684"/>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图16 链上可信状态—控制协调—链下密文对象三层闭环架构</w:t>
            </w:r>
          </w:p>
          <w:p>
            <w:pPr>
              <w:tabs>
                <w:tab w:val="center" w:pos="4677"/>
                <w:tab w:val="right" w:pos="9355"/>
              </w:tabs>
              <w:spacing w:line="400" w:lineRule="exact" w:before="120" w:after="120"/>
            </w:pPr>
            <w:r>
              <w:rPr>
                <w:rFonts w:ascii="Times New Roman" w:hAnsi="Times New Roman" w:eastAsia="宋体"/>
                <w:b w:val="0"/>
                <w:i w:val="0"/>
                <w:sz w:val="21"/>
              </w:rPr>
              <w:tab/>
            </w:r>
            <m:oMath xmlns:mml="http://www.w3.org/1998/Math/MathML">
              <m:r>
                <m:rPr>
                  <m:nor/>
                </m:rPr>
                <m:t>restore iff </m:t>
              </m:r>
              <m:r>
                <m:t/>
              </m:r>
              <m:r>
                <m:t>SHA256</m:t>
              </m:r>
              <m:r>
                <m:t>(candidate)=objHash∧structuralValid.</m:t>
              </m:r>
            </m:oMath>
            <w:r>
              <w:rPr>
                <w:rFonts w:ascii="Times New Roman" w:hAnsi="Times New Roman" w:eastAsia="宋体"/>
                <w:b w:val="0"/>
                <w:i w:val="0"/>
                <w:sz w:val="21"/>
              </w:rPr>
              <w:tab/>
              <w:t>(26)</w:t>
            </w:r>
          </w:p>
          <w:p>
            <w:pPr>
              <w:spacing w:line="400" w:lineRule="exact" w:before="0" w:after="0"/>
              <w:ind w:firstLineChars="200"/>
            </w:pPr>
            <w:r>
              <w:rPr>
                <w:rFonts w:ascii="Times New Roman" w:hAnsi="Times New Roman" w:eastAsia="宋体"/>
                <w:b w:val="0"/>
                <w:i w:val="0"/>
                <w:sz w:val="24"/>
              </w:rPr>
              <w:t>恢复协调的核心原则是“完整性权威唯一、恢复路径可验证”：无论候选对象来自本地存储还是隔离副本，都必须通过相同的 SHA-256 摘要验证与结构验证，验证通过后才能执行原子恢复；验证失败的对象不进入可用状态，系统保持 Fail-Closed 而不是降级使用不可信对象。恢复动作记录修复来源与修复数量，为审计提供依据。隔离副本采用独立 IPFS_PATH 且不连接公网 peer，避免副本被外部内容污染；副本与本地对象通过同一内容标识关联，但内容标识仅用于定位，完整性始终以 SHA-256 摘要为准。</w:t>
            </w:r>
          </w:p>
          <w:p>
            <w:pPr>
              <w:spacing w:line="400" w:lineRule="exact" w:before="0" w:after="0"/>
              <w:ind w:firstLineChars="200"/>
            </w:pPr>
            <w:r>
              <w:rPr>
                <w:rFonts w:ascii="Times New Roman" w:hAnsi="Times New Roman" w:eastAsia="宋体"/>
                <w:b w:val="0"/>
                <w:i w:val="0"/>
                <w:sz w:val="24"/>
              </w:rPr>
              <w:t>正式实验在独立于 Pilot 的受控单节点环境中完成，环境包括独立 PostgreSQL 集群、隔离的 Kubo 仓库（零公网 peer）与独立单节点 QBFT 链，软件版本与链参数在实验前冻结；该环境仅用于应用层功能与受限工程测量，不用于评估多 Validator 共识性能。实验按冻结预注册执行：29 个配置、每配置 5 次重复、145 个 measured RUN（另有 35 个 warm-up 不计入统计），执行顺序由固定随机种子分块确定性随机化并在采集前冻结；统计以 RUN 为单位报告中位数与 IQR，使用 10000 次 Bootstrap 的 95% percentile 置信区间，比较采用中位差、比值与 Cliff's delta。</w:t>
            </w:r>
          </w:p>
          <w:p>
            <w:pPr>
              <w:keepNext/>
              <w:spacing w:line="320" w:lineRule="exact" w:before="120" w:after="60"/>
              <w:jc w:val="center"/>
            </w:pPr>
            <w:r>
              <w:rPr>
                <w:rFonts w:ascii="Times New Roman" w:hAnsi="Times New Roman" w:eastAsia="宋体"/>
                <w:b w:val="0"/>
                <w:i w:val="0"/>
                <w:sz w:val="21"/>
              </w:rPr>
              <w:t>表6 正式实验配置与运行汇总</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925"/>
              <w:gridCol w:w="1925"/>
              <w:gridCol w:w="1925"/>
              <w:gridCol w:w="1925"/>
              <w:gridCol w:w="1925"/>
            </w:tblGrid>
            <w:tr>
              <w:tc>
                <w:tcPr>
                  <w:tcW w:type="dxa" w:w="1925"/>
                  <w:tcBorders>
                    <w:bottom w:val="single" w:sz="6" w:color="000000"/>
                  </w:tcBorders>
                </w:tcPr>
                <w:p>
                  <w:pPr>
                    <w:spacing w:line="280" w:lineRule="exact"/>
                    <w:jc w:val="center"/>
                  </w:pPr>
                  <w:r>
                    <w:rPr>
                      <w:rFonts w:ascii="Times New Roman" w:hAnsi="Times New Roman" w:eastAsia="宋体"/>
                      <w:b/>
                      <w:i w:val="0"/>
                      <w:sz w:val="17"/>
                    </w:rPr>
                    <w:t>实验</w:t>
                  </w:r>
                </w:p>
              </w:tc>
              <w:tc>
                <w:tcPr>
                  <w:tcW w:type="dxa" w:w="1925"/>
                  <w:tcBorders>
                    <w:bottom w:val="single" w:sz="6" w:color="000000"/>
                  </w:tcBorders>
                </w:tcPr>
                <w:p>
                  <w:pPr>
                    <w:spacing w:line="280" w:lineRule="exact"/>
                    <w:jc w:val="center"/>
                  </w:pPr>
                  <w:r>
                    <w:rPr>
                      <w:rFonts w:ascii="Times New Roman" w:hAnsi="Times New Roman" w:eastAsia="宋体"/>
                      <w:b/>
                      <w:i w:val="0"/>
                      <w:sz w:val="17"/>
                    </w:rPr>
                    <w:t>路径/变量</w:t>
                  </w:r>
                </w:p>
              </w:tc>
              <w:tc>
                <w:tcPr>
                  <w:tcW w:type="dxa" w:w="1925"/>
                  <w:tcBorders>
                    <w:bottom w:val="single" w:sz="6" w:color="000000"/>
                  </w:tcBorders>
                </w:tcPr>
                <w:p>
                  <w:pPr>
                    <w:spacing w:line="280" w:lineRule="exact"/>
                    <w:jc w:val="center"/>
                  </w:pPr>
                  <w:r>
                    <w:rPr>
                      <w:rFonts w:ascii="Times New Roman" w:hAnsi="Times New Roman" w:eastAsia="宋体"/>
                      <w:b/>
                      <w:i w:val="0"/>
                      <w:sz w:val="17"/>
                    </w:rPr>
                    <w:t>有效运行数</w:t>
                  </w:r>
                </w:p>
              </w:tc>
              <w:tc>
                <w:tcPr>
                  <w:tcW w:type="dxa" w:w="1925"/>
                  <w:tcBorders>
                    <w:bottom w:val="single" w:sz="6" w:color="000000"/>
                  </w:tcBorders>
                </w:tcPr>
                <w:p>
                  <w:pPr>
                    <w:spacing w:line="280" w:lineRule="exact"/>
                    <w:jc w:val="center"/>
                  </w:pPr>
                  <w:r>
                    <w:rPr>
                      <w:rFonts w:ascii="Times New Roman" w:hAnsi="Times New Roman" w:eastAsia="宋体"/>
                      <w:b/>
                      <w:i w:val="0"/>
                      <w:sz w:val="17"/>
                    </w:rPr>
                    <w:t>核心检查</w:t>
                  </w:r>
                </w:p>
              </w:tc>
              <w:tc>
                <w:tcPr>
                  <w:tcW w:type="dxa" w:w="1925"/>
                  <w:tcBorders>
                    <w:bottom w:val="single" w:sz="6" w:color="000000"/>
                  </w:tcBorders>
                </w:tcPr>
                <w:p>
                  <w:pPr>
                    <w:spacing w:line="280" w:lineRule="exact"/>
                    <w:jc w:val="center"/>
                  </w:pPr>
                  <w:r>
                    <w:rPr>
                      <w:rFonts w:ascii="Times New Roman" w:hAnsi="Times New Roman" w:eastAsia="宋体"/>
                      <w:b/>
                      <w:i w:val="0"/>
                      <w:sz w:val="17"/>
                    </w:rPr>
                    <w:t>结果</w:t>
                  </w:r>
                </w:p>
              </w:tc>
            </w:tr>
            <w:tr>
              <w:tc>
                <w:tcPr>
                  <w:tcW w:type="dxa" w:w="1925"/>
                </w:tcPr>
                <w:p>
                  <w:pPr>
                    <w:spacing w:line="280" w:lineRule="exact"/>
                    <w:jc w:val="center"/>
                  </w:pPr>
                  <w:r>
                    <w:rPr>
                      <w:rFonts w:ascii="Times New Roman" w:hAnsi="Times New Roman" w:eastAsia="宋体"/>
                      <w:b w:val="0"/>
                      <w:i w:val="0"/>
                      <w:sz w:val="17"/>
                    </w:rPr>
                    <w:t>E1</w:t>
                  </w:r>
                </w:p>
              </w:tc>
              <w:tc>
                <w:tcPr>
                  <w:tcW w:type="dxa" w:w="1925"/>
                </w:tcPr>
                <w:p>
                  <w:pPr>
                    <w:spacing w:line="280" w:lineRule="exact"/>
                    <w:jc w:val="center"/>
                  </w:pPr>
                  <w:r>
                    <w:rPr>
                      <w:rFonts w:ascii="Times New Roman" w:hAnsi="Times New Roman" w:eastAsia="宋体"/>
                      <w:b w:val="0"/>
                      <w:i w:val="0"/>
                      <w:sz w:val="17"/>
                    </w:rPr>
                    <w:t>INITIAL/BODY_ROTATION/REVOCATION/RESTORE</w:t>
                  </w:r>
                </w:p>
              </w:tc>
              <w:tc>
                <w:tcPr>
                  <w:tcW w:type="dxa" w:w="1925"/>
                </w:tcPr>
                <w:p>
                  <w:pPr>
                    <w:spacing w:line="280" w:lineRule="exact"/>
                    <w:jc w:val="center"/>
                  </w:pPr>
                  <w:r>
                    <w:rPr>
                      <w:rFonts w:ascii="Times New Roman" w:hAnsi="Times New Roman" w:eastAsia="宋体"/>
                      <w:b w:val="0"/>
                      <w:i w:val="0"/>
                      <w:sz w:val="17"/>
                    </w:rPr>
                    <w:t>20</w:t>
                  </w:r>
                </w:p>
              </w:tc>
              <w:tc>
                <w:tcPr>
                  <w:tcW w:type="dxa" w:w="1925"/>
                </w:tcPr>
                <w:p>
                  <w:pPr>
                    <w:spacing w:line="280" w:lineRule="exact"/>
                    <w:jc w:val="center"/>
                  </w:pPr>
                  <w:r>
                    <w:rPr>
                      <w:rFonts w:ascii="Times New Roman" w:hAnsi="Times New Roman" w:eastAsia="宋体"/>
                      <w:b w:val="0"/>
                      <w:i w:val="0"/>
                      <w:sz w:val="17"/>
                    </w:rPr>
                    <w:t>状态一致与幂等</w:t>
                  </w:r>
                </w:p>
              </w:tc>
              <w:tc>
                <w:tcPr>
                  <w:tcW w:type="dxa" w:w="1925"/>
                </w:tcPr>
                <w:p>
                  <w:pPr>
                    <w:spacing w:line="280" w:lineRule="exact"/>
                    <w:jc w:val="center"/>
                  </w:pPr>
                  <w:r>
                    <w:rPr>
                      <w:rFonts w:ascii="Times New Roman" w:hAnsi="Times New Roman" w:eastAsia="宋体"/>
                      <w:b w:val="0"/>
                      <w:i w:val="0"/>
                      <w:sz w:val="17"/>
                    </w:rPr>
                    <w:t>全部通过，错误材料释放 0</w:t>
                  </w:r>
                </w:p>
              </w:tc>
            </w:tr>
            <w:tr>
              <w:tc>
                <w:tcPr>
                  <w:tcW w:type="dxa" w:w="1925"/>
                </w:tcPr>
                <w:p>
                  <w:pPr>
                    <w:spacing w:line="280" w:lineRule="exact"/>
                    <w:jc w:val="center"/>
                  </w:pPr>
                  <w:r>
                    <w:rPr>
                      <w:rFonts w:ascii="Times New Roman" w:hAnsi="Times New Roman" w:eastAsia="宋体"/>
                      <w:b w:val="0"/>
                      <w:i w:val="0"/>
                      <w:sz w:val="17"/>
                    </w:rPr>
                    <w:t>E2</w:t>
                  </w:r>
                </w:p>
              </w:tc>
              <w:tc>
                <w:tcPr>
                  <w:tcW w:type="dxa" w:w="1925"/>
                </w:tcPr>
                <w:p>
                  <w:pPr>
                    <w:spacing w:line="280" w:lineRule="exact"/>
                    <w:jc w:val="center"/>
                  </w:pPr>
                  <w:r>
                    <w:rPr>
                      <w:rFonts w:ascii="Times New Roman" w:hAnsi="Times New Roman" w:eastAsia="宋体"/>
                      <w:b w:val="0"/>
                      <w:i w:val="0"/>
                      <w:sz w:val="17"/>
                    </w:rPr>
                    <w:t>HEADER_ONLY 接收者×受影响资源</w:t>
                  </w:r>
                </w:p>
              </w:tc>
              <w:tc>
                <w:tcPr>
                  <w:tcW w:type="dxa" w:w="1925"/>
                </w:tcPr>
                <w:p>
                  <w:pPr>
                    <w:spacing w:line="280" w:lineRule="exact"/>
                    <w:jc w:val="center"/>
                  </w:pPr>
                  <w:r>
                    <w:rPr>
                      <w:rFonts w:ascii="Times New Roman" w:hAnsi="Times New Roman" w:eastAsia="宋体"/>
                      <w:b w:val="0"/>
                      <w:i w:val="0"/>
                      <w:sz w:val="17"/>
                    </w:rPr>
                    <w:t>30</w:t>
                  </w:r>
                </w:p>
              </w:tc>
              <w:tc>
                <w:tcPr>
                  <w:tcW w:type="dxa" w:w="1925"/>
                </w:tcPr>
                <w:p>
                  <w:pPr>
                    <w:spacing w:line="280" w:lineRule="exact"/>
                    <w:jc w:val="center"/>
                  </w:pPr>
                  <w:r>
                    <w:rPr>
                      <w:rFonts w:ascii="Times New Roman" w:hAnsi="Times New Roman" w:eastAsia="宋体"/>
                      <w:b w:val="0"/>
                      <w:i w:val="0"/>
                      <w:sz w:val="17"/>
                    </w:rPr>
                    <w:t>版本关系</w:t>
                  </w:r>
                </w:p>
              </w:tc>
              <w:tc>
                <w:tcPr>
                  <w:tcW w:type="dxa" w:w="1925"/>
                </w:tcPr>
                <w:p>
                  <w:pPr>
                    <w:spacing w:line="280" w:lineRule="exact"/>
                    <w:jc w:val="center"/>
                  </w:pPr>
                  <w:r>
                    <w:rPr>
                      <w:rFonts w:ascii="Times New Roman" w:hAnsi="Times New Roman" w:eastAsia="宋体"/>
                      <w:b w:val="0"/>
                      <w:i w:val="0"/>
                      <w:sz w:val="17"/>
                    </w:rPr>
                    <w:t>HEADER_ONLY 接近固定成本</w:t>
                  </w:r>
                </w:p>
              </w:tc>
            </w:tr>
            <w:tr>
              <w:tc>
                <w:tcPr>
                  <w:tcW w:type="dxa" w:w="1925"/>
                </w:tcPr>
                <w:p>
                  <w:pPr>
                    <w:spacing w:line="280" w:lineRule="exact"/>
                    <w:jc w:val="center"/>
                  </w:pPr>
                  <w:r>
                    <w:rPr>
                      <w:rFonts w:ascii="Times New Roman" w:hAnsi="Times New Roman" w:eastAsia="宋体"/>
                      <w:b w:val="0"/>
                      <w:i w:val="0"/>
                      <w:sz w:val="17"/>
                    </w:rPr>
                    <w:t>E3</w:t>
                  </w:r>
                </w:p>
              </w:tc>
              <w:tc>
                <w:tcPr>
                  <w:tcW w:type="dxa" w:w="1925"/>
                </w:tcPr>
                <w:p>
                  <w:pPr>
                    <w:spacing w:line="280" w:lineRule="exact"/>
                    <w:jc w:val="center"/>
                  </w:pPr>
                  <w:r>
                    <w:rPr>
                      <w:rFonts w:ascii="Times New Roman" w:hAnsi="Times New Roman" w:eastAsia="宋体"/>
                      <w:b w:val="0"/>
                      <w:i w:val="0"/>
                      <w:sz w:val="17"/>
                    </w:rPr>
                    <w:t>BODY_ROTATION Body×接收者</w:t>
                  </w:r>
                </w:p>
              </w:tc>
              <w:tc>
                <w:tcPr>
                  <w:tcW w:type="dxa" w:w="1925"/>
                </w:tcPr>
                <w:p>
                  <w:pPr>
                    <w:spacing w:line="280" w:lineRule="exact"/>
                    <w:jc w:val="center"/>
                  </w:pPr>
                  <w:r>
                    <w:rPr>
                      <w:rFonts w:ascii="Times New Roman" w:hAnsi="Times New Roman" w:eastAsia="宋体"/>
                      <w:b w:val="0"/>
                      <w:i w:val="0"/>
                      <w:sz w:val="17"/>
                    </w:rPr>
                    <w:t>45</w:t>
                  </w:r>
                </w:p>
              </w:tc>
              <w:tc>
                <w:tcPr>
                  <w:tcW w:type="dxa" w:w="1925"/>
                </w:tcPr>
                <w:p>
                  <w:pPr>
                    <w:spacing w:line="280" w:lineRule="exact"/>
                    <w:jc w:val="center"/>
                  </w:pPr>
                  <w:r>
                    <w:rPr>
                      <w:rFonts w:ascii="Times New Roman" w:hAnsi="Times New Roman" w:eastAsia="宋体"/>
                      <w:b w:val="0"/>
                      <w:i w:val="0"/>
                      <w:sz w:val="17"/>
                    </w:rPr>
                    <w:t>版本关系</w:t>
                  </w:r>
                </w:p>
              </w:tc>
              <w:tc>
                <w:tcPr>
                  <w:tcW w:type="dxa" w:w="1925"/>
                </w:tcPr>
                <w:p>
                  <w:pPr>
                    <w:spacing w:line="280" w:lineRule="exact"/>
                    <w:jc w:val="center"/>
                  </w:pPr>
                  <w:r>
                    <w:rPr>
                      <w:rFonts w:ascii="Times New Roman" w:hAnsi="Times New Roman" w:eastAsia="宋体"/>
                      <w:b w:val="0"/>
                      <w:i w:val="0"/>
                      <w:sz w:val="17"/>
                    </w:rPr>
                    <w:t>8 MiB 下成本上升</w:t>
                  </w:r>
                </w:p>
              </w:tc>
            </w:tr>
            <w:tr>
              <w:tc>
                <w:tcPr>
                  <w:tcW w:type="dxa" w:w="1925"/>
                </w:tcPr>
                <w:p>
                  <w:pPr>
                    <w:spacing w:line="280" w:lineRule="exact"/>
                    <w:jc w:val="center"/>
                  </w:pPr>
                  <w:r>
                    <w:rPr>
                      <w:rFonts w:ascii="Times New Roman" w:hAnsi="Times New Roman" w:eastAsia="宋体"/>
                      <w:b w:val="0"/>
                      <w:i w:val="0"/>
                      <w:sz w:val="17"/>
                    </w:rPr>
                    <w:t>E4</w:t>
                  </w:r>
                </w:p>
              </w:tc>
              <w:tc>
                <w:tcPr>
                  <w:tcW w:type="dxa" w:w="1925"/>
                </w:tcPr>
                <w:p>
                  <w:pPr>
                    <w:spacing w:line="280" w:lineRule="exact"/>
                    <w:jc w:val="center"/>
                  </w:pPr>
                  <w:r>
                    <w:rPr>
                      <w:rFonts w:ascii="Times New Roman" w:hAnsi="Times New Roman" w:eastAsia="宋体"/>
                      <w:b w:val="0"/>
                      <w:i w:val="0"/>
                      <w:sz w:val="17"/>
                    </w:rPr>
                    <w:t>撤销窗口判定</w:t>
                  </w:r>
                </w:p>
              </w:tc>
              <w:tc>
                <w:tcPr>
                  <w:tcW w:type="dxa" w:w="1925"/>
                </w:tcPr>
                <w:p>
                  <w:pPr>
                    <w:spacing w:line="280" w:lineRule="exact"/>
                    <w:jc w:val="center"/>
                  </w:pPr>
                  <w:r>
                    <w:rPr>
                      <w:rFonts w:ascii="Times New Roman" w:hAnsi="Times New Roman" w:eastAsia="宋体"/>
                      <w:b w:val="0"/>
                      <w:i w:val="0"/>
                      <w:sz w:val="17"/>
                    </w:rPr>
                    <w:t>10</w:t>
                  </w:r>
                </w:p>
              </w:tc>
              <w:tc>
                <w:tcPr>
                  <w:tcW w:type="dxa" w:w="1925"/>
                </w:tcPr>
                <w:p>
                  <w:pPr>
                    <w:spacing w:line="280" w:lineRule="exact"/>
                    <w:jc w:val="center"/>
                  </w:pPr>
                  <w:r>
                    <w:rPr>
                      <w:rFonts w:ascii="Times New Roman" w:hAnsi="Times New Roman" w:eastAsia="宋体"/>
                      <w:b w:val="0"/>
                      <w:i w:val="0"/>
                      <w:sz w:val="17"/>
                    </w:rPr>
                    <w:t>Fail-Closed</w:t>
                  </w:r>
                </w:p>
              </w:tc>
              <w:tc>
                <w:tcPr>
                  <w:tcW w:type="dxa" w:w="1925"/>
                </w:tcPr>
                <w:p>
                  <w:pPr>
                    <w:spacing w:line="280" w:lineRule="exact"/>
                    <w:jc w:val="center"/>
                  </w:pPr>
                  <w:r>
                    <w:rPr>
                      <w:rFonts w:ascii="Times New Roman" w:hAnsi="Times New Roman" w:eastAsia="宋体"/>
                      <w:b w:val="0"/>
                      <w:i w:val="0"/>
                      <w:sz w:val="17"/>
                    </w:rPr>
                    <w:t>pending 拒绝、闭合后允许</w:t>
                  </w:r>
                </w:p>
              </w:tc>
            </w:tr>
            <w:tr>
              <w:tc>
                <w:tcPr>
                  <w:tcW w:type="dxa" w:w="1925"/>
                </w:tcPr>
                <w:p>
                  <w:pPr>
                    <w:spacing w:line="280" w:lineRule="exact"/>
                    <w:jc w:val="center"/>
                  </w:pPr>
                  <w:r>
                    <w:rPr>
                      <w:rFonts w:ascii="Times New Roman" w:hAnsi="Times New Roman" w:eastAsia="宋体"/>
                      <w:b w:val="0"/>
                      <w:i w:val="0"/>
                      <w:sz w:val="17"/>
                    </w:rPr>
                    <w:t>E5</w:t>
                  </w:r>
                </w:p>
              </w:tc>
              <w:tc>
                <w:tcPr>
                  <w:tcW w:type="dxa" w:w="1925"/>
                </w:tcPr>
                <w:p>
                  <w:pPr>
                    <w:spacing w:line="280" w:lineRule="exact"/>
                    <w:jc w:val="center"/>
                  </w:pPr>
                  <w:r>
                    <w:rPr>
                      <w:rFonts w:ascii="Times New Roman" w:hAnsi="Times New Roman" w:eastAsia="宋体"/>
                      <w:b w:val="0"/>
                      <w:i w:val="0"/>
                      <w:sz w:val="17"/>
                    </w:rPr>
                    <w:t>来源×故障类别</w:t>
                  </w:r>
                </w:p>
              </w:tc>
              <w:tc>
                <w:tcPr>
                  <w:tcW w:type="dxa" w:w="1925"/>
                </w:tcPr>
                <w:p>
                  <w:pPr>
                    <w:spacing w:line="280" w:lineRule="exact"/>
                    <w:jc w:val="center"/>
                  </w:pPr>
                  <w:r>
                    <w:rPr>
                      <w:rFonts w:ascii="Times New Roman" w:hAnsi="Times New Roman" w:eastAsia="宋体"/>
                      <w:b w:val="0"/>
                      <w:i w:val="0"/>
                      <w:sz w:val="17"/>
                    </w:rPr>
                    <w:t>40</w:t>
                  </w:r>
                </w:p>
              </w:tc>
              <w:tc>
                <w:tcPr>
                  <w:tcW w:type="dxa" w:w="1925"/>
                </w:tcPr>
                <w:p>
                  <w:pPr>
                    <w:spacing w:line="280" w:lineRule="exact"/>
                    <w:jc w:val="center"/>
                  </w:pPr>
                  <w:r>
                    <w:rPr>
                      <w:rFonts w:ascii="Times New Roman" w:hAnsi="Times New Roman" w:eastAsia="宋体"/>
                      <w:b w:val="0"/>
                      <w:i w:val="0"/>
                      <w:sz w:val="17"/>
                    </w:rPr>
                    <w:t>恢复判定</w:t>
                  </w:r>
                </w:p>
              </w:tc>
              <w:tc>
                <w:tcPr>
                  <w:tcW w:type="dxa" w:w="1925"/>
                </w:tcPr>
                <w:p>
                  <w:pPr>
                    <w:spacing w:line="280" w:lineRule="exact"/>
                    <w:jc w:val="center"/>
                  </w:pPr>
                  <w:r>
                    <w:rPr>
                      <w:rFonts w:ascii="Times New Roman" w:hAnsi="Times New Roman" w:eastAsia="宋体"/>
                      <w:b w:val="0"/>
                      <w:i w:val="0"/>
                      <w:sz w:val="17"/>
                    </w:rPr>
                    <w:t>损坏场景副本可恢复，其余 Fail-Closed</w:t>
                  </w:r>
                </w:p>
              </w:tc>
            </w:tr>
          </w:tbl>
          <w:p/>
          <w:p>
            <w:pPr>
              <w:spacing w:line="400" w:lineRule="exact" w:before="0" w:after="0"/>
              <w:ind w:firstLineChars="200"/>
            </w:pPr>
            <w:r>
              <w:rPr>
                <w:rFonts w:ascii="Times New Roman" w:hAnsi="Times New Roman" w:eastAsia="宋体"/>
                <w:b w:val="0"/>
                <w:i w:val="0"/>
                <w:sz w:val="24"/>
              </w:rPr>
              <w:t>五个实验分别验证不同侧面。E1 覆盖 INITIAL、BODY_ROTATION、REVOCATION 与 RESTORE 四种路径，共 20 个 RUN，状态一致性与幂等性检查全部通过，链/数据库/对象最终状态一致，未观察到错误材料释放；端到端时延中位数分别为 3080、5120、7118 与 3147 ms。</w:t>
            </w:r>
          </w:p>
          <w:p>
            <w:pPr>
              <w:keepNext/>
              <w:spacing w:line="240" w:lineRule="auto" w:before="120" w:after="0"/>
              <w:jc w:val="center"/>
            </w:pPr>
            <w:r>
              <w:drawing>
                <wp:inline xmlns:a="http://schemas.openxmlformats.org/drawingml/2006/main" xmlns:pic="http://schemas.openxmlformats.org/drawingml/2006/picture">
                  <wp:extent cx="4680000" cy="2602715"/>
                  <wp:docPr id="17" name="Picture 17"/>
                  <wp:cNvGraphicFramePr>
                    <a:graphicFrameLocks noChangeAspect="1"/>
                  </wp:cNvGraphicFramePr>
                  <a:graphic>
                    <a:graphicData uri="http://schemas.openxmlformats.org/drawingml/2006/picture">
                      <pic:pic>
                        <pic:nvPicPr>
                          <pic:cNvPr id="0" name="m5-rc3-fig17-e1-paths.png"/>
                          <pic:cNvPicPr/>
                        </pic:nvPicPr>
                        <pic:blipFill>
                          <a:blip r:embed="rId39"/>
                          <a:stretch>
                            <a:fillRect/>
                          </a:stretch>
                        </pic:blipFill>
                        <pic:spPr>
                          <a:xfrm>
                            <a:off x="0" y="0"/>
                            <a:ext cx="4680000" cy="2602715"/>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图17 E1 四类生命周期路径端到端时延（RC3 正式实验结果）</w:t>
            </w:r>
          </w:p>
          <w:p>
            <w:pPr>
              <w:spacing w:line="400" w:lineRule="exact" w:before="0" w:after="0"/>
              <w:ind w:firstLineChars="200"/>
            </w:pPr>
            <w:r>
              <w:rPr>
                <w:rFonts w:ascii="Times New Roman" w:hAnsi="Times New Roman" w:eastAsia="宋体"/>
                <w:b w:val="0"/>
                <w:i w:val="0"/>
                <w:sz w:val="24"/>
              </w:rPr>
              <w:t>E2 在 HEADER_ONLY 语义下覆盖接收者规模 2/8/32 与受影响资源数 1/4，共 30 个 RUN，各配置端到端时延中位数约 5115～5144 ms，接收者由 2 增至 32 时中位数差约 27.0 ms（比值 1.005），受影响资源由 1 增至 4 时中位数差约 12.5 ms（比值 1.002），说明规模因素对端到端时延影响较小，主要成本由链上交易等待与固定流程主导。</w:t>
            </w:r>
          </w:p>
          <w:p>
            <w:pPr>
              <w:keepNext/>
              <w:spacing w:line="240" w:lineRule="auto" w:before="120" w:after="0"/>
              <w:jc w:val="center"/>
            </w:pPr>
            <w:r>
              <w:drawing>
                <wp:inline xmlns:a="http://schemas.openxmlformats.org/drawingml/2006/main" xmlns:pic="http://schemas.openxmlformats.org/drawingml/2006/picture">
                  <wp:extent cx="4680000" cy="2668735"/>
                  <wp:docPr id="18" name="Picture 18"/>
                  <wp:cNvGraphicFramePr>
                    <a:graphicFrameLocks noChangeAspect="1"/>
                  </wp:cNvGraphicFramePr>
                  <a:graphic>
                    <a:graphicData uri="http://schemas.openxmlformats.org/drawingml/2006/picture">
                      <pic:pic>
                        <pic:nvPicPr>
                          <pic:cNvPr id="0" name="m5-rc3-fig18-e2-header.png"/>
                          <pic:cNvPicPr/>
                        </pic:nvPicPr>
                        <pic:blipFill>
                          <a:blip r:embed="rId40"/>
                          <a:stretch>
                            <a:fillRect/>
                          </a:stretch>
                        </pic:blipFill>
                        <pic:spPr>
                          <a:xfrm>
                            <a:off x="0" y="0"/>
                            <a:ext cx="4680000" cy="2668735"/>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图18 E2 HEADER_ONLY 规模影响（接收者×受影响资源，RC3 正式实验结果）</w:t>
            </w:r>
          </w:p>
          <w:p>
            <w:pPr>
              <w:spacing w:line="400" w:lineRule="exact" w:before="0" w:after="0"/>
              <w:ind w:firstLineChars="200"/>
            </w:pPr>
            <w:r>
              <w:rPr>
                <w:rFonts w:ascii="Times New Roman" w:hAnsi="Times New Roman" w:eastAsia="宋体"/>
                <w:b w:val="0"/>
                <w:i w:val="0"/>
                <w:sz w:val="24"/>
              </w:rPr>
              <w:t>E3 覆盖 Body 规模 64 KiB/1 MiB/8 MiB 与接收者 2/8/32，共 45 个 RUN，Body 由 64 KiB 增至 8 MiB 时端到端时延中位数由 5083 ms 增至 6696 ms（差 1613 ms，比值 1.317，Cliff's delta 0.60），密码与版本正确性方面旧 CK 无法解密新 Body、摘要变化与版本关系全部正确。</w:t>
            </w:r>
          </w:p>
          <w:p>
            <w:pPr>
              <w:keepNext/>
              <w:spacing w:line="240" w:lineRule="auto" w:before="120" w:after="0"/>
              <w:jc w:val="center"/>
            </w:pPr>
            <w:r>
              <w:drawing>
                <wp:inline xmlns:a="http://schemas.openxmlformats.org/drawingml/2006/main" xmlns:pic="http://schemas.openxmlformats.org/drawingml/2006/picture">
                  <wp:extent cx="4680000" cy="2613317"/>
                  <wp:docPr id="19" name="Picture 19"/>
                  <wp:cNvGraphicFramePr>
                    <a:graphicFrameLocks noChangeAspect="1"/>
                  </wp:cNvGraphicFramePr>
                  <a:graphic>
                    <a:graphicData uri="http://schemas.openxmlformats.org/drawingml/2006/picture">
                      <pic:pic>
                        <pic:nvPicPr>
                          <pic:cNvPr id="0" name="m5-rc3-fig19-e3-body.png"/>
                          <pic:cNvPicPr/>
                        </pic:nvPicPr>
                        <pic:blipFill>
                          <a:blip r:embed="rId41"/>
                          <a:stretch>
                            <a:fillRect/>
                          </a:stretch>
                        </pic:blipFill>
                        <pic:spPr>
                          <a:xfrm>
                            <a:off x="0" y="0"/>
                            <a:ext cx="4680000" cy="2613317"/>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图19 E3 BODY_ROTATION 规模影响（Body 规模×接收者，RC3 正式实验结果）</w:t>
            </w:r>
          </w:p>
          <w:p>
            <w:pPr>
              <w:spacing w:line="400" w:lineRule="exact" w:before="0" w:after="0"/>
              <w:ind w:firstLineChars="200"/>
            </w:pPr>
            <w:r>
              <w:rPr>
                <w:rFonts w:ascii="Times New Roman" w:hAnsi="Times New Roman" w:eastAsia="宋体"/>
                <w:b w:val="0"/>
                <w:i w:val="0"/>
                <w:sz w:val="24"/>
              </w:rPr>
              <w:t>从结果解释看，E1 的四种路径覆盖了对象从发布到恢复的主要阶段：INITIAL 建立对象与初始版本，BODY_ROTATION 执行密钥与对象轮换，REVOCATION 验证撤销后材料释放被拒绝，RESTORE 验证从副本恢复的一致性；四种路径的时延差异主要来自链上交易等待与固定流程，而非对象内容的差异。E2 与 E3 分别测量“仅更新 Header”与“整体轮换”两类操作的规模敏感性：E2 中接收者与受影响资源规模对时延影响较小，说明 HEADER_ONLY 的成本以固定链上流程为主；E3 中 Body 规模增大带来可观察的时延上升，说明 BODY_ROTATION 的成本与对象内容规模相关。两类操作的成本结构不同，因此论文只分别描述，不进行快慢优劣比较。</w:t>
            </w:r>
          </w:p>
          <w:p>
            <w:pPr>
              <w:spacing w:line="400" w:lineRule="exact" w:before="0" w:after="0"/>
              <w:ind w:firstLineChars="200"/>
            </w:pPr>
            <w:r>
              <w:rPr>
                <w:rFonts w:ascii="Times New Roman" w:hAnsi="Times New Roman" w:eastAsia="宋体"/>
                <w:b w:val="0"/>
                <w:i w:val="0"/>
                <w:sz w:val="24"/>
              </w:rPr>
              <w:t>E4 覆盖撤销后的 pending 窗口与 Header 闭合两条路径，共 10 个 RUN：pending 窗口 5 次释放判定均为拒绝，Header 闭合后 5 次均为允许，错误材料释放为 0，撤销事件触发后状态转换可追踪。E5 覆盖两种对象来源（LOCAL_ONLY 与 KUBO_REPLICA）与四类故障（无故障、对象损坏、CID 不一致、本地与副本同时缺失），共 40 个 RUN：对象损坏场景下 LOCAL_ONLY 无法从其他来源恢复，结果为不可恢复（Fail-Closed，5/5）；KUBO_REPLICA 从隔离副本恢复，结果为一致且修复动作数为 1（5/5）；无故障时两种来源均保持一致，CID 不一致与同时缺失时均 Fail-Closed。恢复端到端时延中位数约 3.1～3.2 s。</w:t>
            </w:r>
          </w:p>
          <w:p>
            <w:pPr>
              <w:keepNext/>
              <w:spacing w:line="240" w:lineRule="auto" w:before="120" w:after="0"/>
              <w:jc w:val="center"/>
            </w:pPr>
            <w:r>
              <w:drawing>
                <wp:inline xmlns:a="http://schemas.openxmlformats.org/drawingml/2006/main" xmlns:pic="http://schemas.openxmlformats.org/drawingml/2006/picture">
                  <wp:extent cx="4680000" cy="2676031"/>
                  <wp:docPr id="20" name="Picture 20"/>
                  <wp:cNvGraphicFramePr>
                    <a:graphicFrameLocks noChangeAspect="1"/>
                  </wp:cNvGraphicFramePr>
                  <a:graphic>
                    <a:graphicData uri="http://schemas.openxmlformats.org/drawingml/2006/picture">
                      <pic:pic>
                        <pic:nvPicPr>
                          <pic:cNvPr id="0" name="m5-rc3-fig20-e5-recovery.png"/>
                          <pic:cNvPicPr/>
                        </pic:nvPicPr>
                        <pic:blipFill>
                          <a:blip r:embed="rId42"/>
                          <a:stretch>
                            <a:fillRect/>
                          </a:stretch>
                        </pic:blipFill>
                        <pic:spPr>
                          <a:xfrm>
                            <a:off x="0" y="0"/>
                            <a:ext cx="4680000" cy="2676031"/>
                          </a:xfrm>
                          <a:prstGeom prst="rect"/>
                        </pic:spPr>
                      </pic:pic>
                    </a:graphicData>
                  </a:graphic>
                </wp:inline>
              </w:drawing>
            </w:r>
          </w:p>
          <w:p>
            <w:pPr>
              <w:keepNext w:val="0"/>
              <w:spacing w:line="320" w:lineRule="exact" w:before="60" w:after="120"/>
              <w:jc w:val="center"/>
            </w:pPr>
            <w:r>
              <w:rPr>
                <w:rFonts w:ascii="Times New Roman" w:hAnsi="Times New Roman" w:eastAsia="宋体"/>
                <w:b w:val="0"/>
                <w:i w:val="0"/>
                <w:sz w:val="21"/>
              </w:rPr>
              <w:t>图20 LOCAL_ONLY 与 KUBO_REPLICA 恢复时延对比（RC3 E5）</w:t>
            </w:r>
          </w:p>
          <w:p>
            <w:pPr>
              <w:spacing w:line="400" w:lineRule="exact" w:before="0" w:after="0"/>
              <w:ind w:firstLineChars="200"/>
            </w:pPr>
            <w:r>
              <w:rPr>
                <w:rFonts w:ascii="Times New Roman" w:hAnsi="Times New Roman" w:eastAsia="宋体"/>
                <w:b w:val="0"/>
                <w:i w:val="0"/>
                <w:sz w:val="24"/>
              </w:rPr>
              <w:t>从结果解释看，E5 的结果同时体现了恢复机制的收益与边界：副本机制的价值集中在“本地对象损坏但隔离副本完好”这一特定场景，它提供了可验证的恢复来源；而在无故障、CID 不一致与副本同时缺失场景下，副本不改变判定结果，系统按 Fail-Closed 处理。多数匹配块内 LOCAL_ONLY 与 KUBO_REPLICA 的 Cliff's delta 约 0.04，未观察到清晰的正常路径性能效应，因此副本被定位为可用性收益与恢复成本之间的 trade-off，而非性能增强手段。这些解释与“只描述、不夸大”的原则一致：恢复机制证明的是可验证性与边界，而不是普遍的性能优势。</w:t>
            </w:r>
          </w:p>
          <w:p>
            <w:pPr>
              <w:spacing w:line="400" w:lineRule="exact" w:before="0" w:after="0"/>
              <w:ind w:firstLineChars="200"/>
            </w:pPr>
            <w:r>
              <w:rPr>
                <w:rFonts w:ascii="Times New Roman" w:hAnsi="Times New Roman" w:eastAsia="宋体"/>
                <w:b w:val="0"/>
                <w:i w:val="0"/>
                <w:sz w:val="24"/>
              </w:rPr>
              <w:t>研究内容三的适用范围被明确限定：单节点 QBFT 环境，不评估多 Validator 共识性能；29 个冻结配置与 5 次重复构成有界工程精度样本，不作总体推断；受控隔离环境，故障类别覆盖冻结的四类对象故障；仅前瞻性撤销，不主张追溯撤销；Body 规模与接收者规模范围有限；实验验证不构成形式化证明。这些限定与论文正文保持一致，任何超出范围的表述都不属于本阶段结论。</w:t>
            </w:r>
          </w:p>
          <w:p>
            <w:pPr>
              <w:spacing w:line="400" w:lineRule="exact" w:before="0" w:after="0"/>
              <w:ind w:firstLineChars="200"/>
            </w:pPr>
            <w:r>
              <w:rPr>
                <w:rFonts w:ascii="Times New Roman" w:hAnsi="Times New Roman" w:eastAsia="宋体"/>
                <w:b w:val="0"/>
                <w:i w:val="0"/>
                <w:sz w:val="24"/>
              </w:rPr>
              <w:t>E4 覆盖撤销后的 pending 窗口与 Header 闭合两条路径，共 10 个 RUN：pending 窗口 5 次释放判定均为拒绝，Header 闭合后 5 次均为允许，错误材料释放为 0，撤销事件触发后状态转换可追踪。E5 覆盖两种对象来源（LOCAL_ONLY 与 KUBO_REPLICA）与四类故障（无故障、对象损坏、CID 不一致、本地与副本同时缺失），共 40 个 RUN：对象损坏场景下 LOCAL_ONLY 无法从其他来源恢复，结果为不可恢复（Fail-Closed，5/5）；KUBO_REPLICA 从隔离副本恢复，结果为一致且修复动作数为 1（5/5）；无故障时两种来源均保持一致，CID 不一致与同时缺失时均 Fail-Closed。恢复端到端时延中位数约 3.1～3.2 s。</w:t>
            </w:r>
          </w:p>
          <w:p>
            <w:pPr>
              <w:keepNext/>
              <w:spacing w:line="320" w:lineRule="exact" w:before="120" w:after="60"/>
              <w:jc w:val="center"/>
            </w:pPr>
            <w:r>
              <w:rPr>
                <w:rFonts w:ascii="Times New Roman" w:hAnsi="Times New Roman" w:eastAsia="宋体"/>
                <w:b w:val="0"/>
                <w:i w:val="0"/>
                <w:sz w:val="21"/>
              </w:rPr>
              <w:t>表7 E5 恢复结果与时长汇总</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1604"/>
              <w:gridCol w:w="1604"/>
              <w:gridCol w:w="1604"/>
              <w:gridCol w:w="1604"/>
              <w:gridCol w:w="1604"/>
              <w:gridCol w:w="1604"/>
            </w:tblGrid>
            <w:tr>
              <w:tc>
                <w:tcPr>
                  <w:tcW w:type="dxa" w:w="1604"/>
                  <w:tcBorders>
                    <w:bottom w:val="single" w:sz="6" w:color="000000"/>
                  </w:tcBorders>
                </w:tcPr>
                <w:p>
                  <w:pPr>
                    <w:spacing w:line="280" w:lineRule="exact"/>
                    <w:jc w:val="center"/>
                  </w:pPr>
                  <w:r>
                    <w:rPr>
                      <w:rFonts w:ascii="Times New Roman" w:hAnsi="Times New Roman" w:eastAsia="宋体"/>
                      <w:b/>
                      <w:i w:val="0"/>
                      <w:sz w:val="17"/>
                    </w:rPr>
                    <w:t>故障</w:t>
                  </w:r>
                </w:p>
              </w:tc>
              <w:tc>
                <w:tcPr>
                  <w:tcW w:type="dxa" w:w="1604"/>
                  <w:tcBorders>
                    <w:bottom w:val="single" w:sz="6" w:color="000000"/>
                  </w:tcBorders>
                </w:tcPr>
                <w:p>
                  <w:pPr>
                    <w:spacing w:line="280" w:lineRule="exact"/>
                    <w:jc w:val="center"/>
                  </w:pPr>
                  <w:r>
                    <w:rPr>
                      <w:rFonts w:ascii="Times New Roman" w:hAnsi="Times New Roman" w:eastAsia="宋体"/>
                      <w:b/>
                      <w:i w:val="0"/>
                      <w:sz w:val="17"/>
                    </w:rPr>
                    <w:t>对象来源</w:t>
                  </w:r>
                </w:p>
              </w:tc>
              <w:tc>
                <w:tcPr>
                  <w:tcW w:type="dxa" w:w="1604"/>
                  <w:tcBorders>
                    <w:bottom w:val="single" w:sz="6" w:color="000000"/>
                  </w:tcBorders>
                </w:tcPr>
                <w:p>
                  <w:pPr>
                    <w:spacing w:line="280" w:lineRule="exact"/>
                    <w:jc w:val="center"/>
                  </w:pPr>
                  <w:r>
                    <w:rPr>
                      <w:rFonts w:ascii="Times New Roman" w:hAnsi="Times New Roman" w:eastAsia="宋体"/>
                      <w:b/>
                      <w:i w:val="0"/>
                      <w:sz w:val="17"/>
                    </w:rPr>
                    <w:t>有效(n)</w:t>
                  </w:r>
                </w:p>
              </w:tc>
              <w:tc>
                <w:tcPr>
                  <w:tcW w:type="dxa" w:w="1604"/>
                  <w:tcBorders>
                    <w:bottom w:val="single" w:sz="6" w:color="000000"/>
                  </w:tcBorders>
                </w:tcPr>
                <w:p>
                  <w:pPr>
                    <w:spacing w:line="280" w:lineRule="exact"/>
                    <w:jc w:val="center"/>
                  </w:pPr>
                  <w:r>
                    <w:rPr>
                      <w:rFonts w:ascii="Times New Roman" w:hAnsi="Times New Roman" w:eastAsia="宋体"/>
                      <w:b/>
                      <w:i w:val="0"/>
                      <w:sz w:val="17"/>
                    </w:rPr>
                    <w:t>恢复判定</w:t>
                  </w:r>
                </w:p>
              </w:tc>
              <w:tc>
                <w:tcPr>
                  <w:tcW w:type="dxa" w:w="1604"/>
                  <w:tcBorders>
                    <w:bottom w:val="single" w:sz="6" w:color="000000"/>
                  </w:tcBorders>
                </w:tcPr>
                <w:p>
                  <w:pPr>
                    <w:spacing w:line="280" w:lineRule="exact"/>
                    <w:jc w:val="center"/>
                  </w:pPr>
                  <w:r>
                    <w:rPr>
                      <w:rFonts w:ascii="Times New Roman" w:hAnsi="Times New Roman" w:eastAsia="宋体"/>
                      <w:b/>
                      <w:i w:val="0"/>
                      <w:sz w:val="17"/>
                    </w:rPr>
                    <w:t>修复动作</w:t>
                  </w:r>
                </w:p>
              </w:tc>
              <w:tc>
                <w:tcPr>
                  <w:tcW w:type="dxa" w:w="1604"/>
                  <w:tcBorders>
                    <w:bottom w:val="single" w:sz="6" w:color="000000"/>
                  </w:tcBorders>
                </w:tcPr>
                <w:p>
                  <w:pPr>
                    <w:spacing w:line="280" w:lineRule="exact"/>
                    <w:jc w:val="center"/>
                  </w:pPr>
                  <w:r>
                    <w:rPr>
                      <w:rFonts w:ascii="Times New Roman" w:hAnsi="Times New Roman" w:eastAsia="宋体"/>
                      <w:b/>
                      <w:i w:val="0"/>
                      <w:sz w:val="17"/>
                    </w:rPr>
                    <w:t>时长中位数/ms</w:t>
                  </w:r>
                </w:p>
              </w:tc>
            </w:tr>
            <w:tr>
              <w:tc>
                <w:tcPr>
                  <w:tcW w:type="dxa" w:w="1604"/>
                </w:tcPr>
                <w:p>
                  <w:pPr>
                    <w:spacing w:line="280" w:lineRule="exact"/>
                    <w:jc w:val="center"/>
                  </w:pPr>
                  <w:r>
                    <w:rPr>
                      <w:rFonts w:ascii="Times New Roman" w:hAnsi="Times New Roman" w:eastAsia="宋体"/>
                      <w:b w:val="0"/>
                      <w:i w:val="0"/>
                      <w:sz w:val="17"/>
                    </w:rPr>
                    <w:t>对象损坏</w:t>
                  </w:r>
                </w:p>
              </w:tc>
              <w:tc>
                <w:tcPr>
                  <w:tcW w:type="dxa" w:w="1604"/>
                </w:tcPr>
                <w:p>
                  <w:pPr>
                    <w:spacing w:line="280" w:lineRule="exact"/>
                    <w:jc w:val="center"/>
                  </w:pPr>
                  <w:r>
                    <w:rPr>
                      <w:rFonts w:ascii="Times New Roman" w:hAnsi="Times New Roman" w:eastAsia="宋体"/>
                      <w:b w:val="0"/>
                      <w:i w:val="0"/>
                      <w:sz w:val="17"/>
                    </w:rPr>
                    <w:t>LOCAL_ONLY</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3112.2</w:t>
                  </w:r>
                </w:p>
              </w:tc>
            </w:tr>
            <w:tr>
              <w:tc>
                <w:tcPr>
                  <w:tcW w:type="dxa" w:w="1604"/>
                </w:tcPr>
                <w:p>
                  <w:pPr>
                    <w:spacing w:line="280" w:lineRule="exact"/>
                    <w:jc w:val="center"/>
                  </w:pPr>
                  <w:r>
                    <w:rPr>
                      <w:rFonts w:ascii="Times New Roman" w:hAnsi="Times New Roman" w:eastAsia="宋体"/>
                      <w:b w:val="0"/>
                      <w:i w:val="0"/>
                      <w:sz w:val="17"/>
                    </w:rPr>
                    <w:t>对象损坏</w:t>
                  </w:r>
                </w:p>
              </w:tc>
              <w:tc>
                <w:tcPr>
                  <w:tcW w:type="dxa" w:w="1604"/>
                </w:tcPr>
                <w:p>
                  <w:pPr>
                    <w:spacing w:line="280" w:lineRule="exact"/>
                    <w:jc w:val="center"/>
                  </w:pPr>
                  <w:r>
                    <w:rPr>
                      <w:rFonts w:ascii="Times New Roman" w:hAnsi="Times New Roman" w:eastAsia="宋体"/>
                      <w:b w:val="0"/>
                      <w:i w:val="0"/>
                      <w:sz w:val="17"/>
                    </w:rPr>
                    <w:t>KUBO_REPLICA</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CONSISTENT</w:t>
                  </w:r>
                </w:p>
              </w:tc>
              <w:tc>
                <w:tcPr>
                  <w:tcW w:type="dxa" w:w="1604"/>
                </w:tcPr>
                <w:p>
                  <w:pPr>
                    <w:spacing w:line="280" w:lineRule="exact"/>
                    <w:jc w:val="center"/>
                  </w:pPr>
                  <w:r>
                    <w:rPr>
                      <w:rFonts w:ascii="Times New Roman" w:hAnsi="Times New Roman" w:eastAsia="宋体"/>
                      <w:b w:val="0"/>
                      <w:i w:val="0"/>
                      <w:sz w:val="17"/>
                    </w:rPr>
                    <w:t>1</w:t>
                  </w:r>
                </w:p>
              </w:tc>
              <w:tc>
                <w:tcPr>
                  <w:tcW w:type="dxa" w:w="1604"/>
                </w:tcPr>
                <w:p>
                  <w:pPr>
                    <w:spacing w:line="280" w:lineRule="exact"/>
                    <w:jc w:val="center"/>
                  </w:pPr>
                  <w:r>
                    <w:rPr>
                      <w:rFonts w:ascii="Times New Roman" w:hAnsi="Times New Roman" w:eastAsia="宋体"/>
                      <w:b w:val="0"/>
                      <w:i w:val="0"/>
                      <w:sz w:val="17"/>
                    </w:rPr>
                    <w:t>3129.6</w:t>
                  </w:r>
                </w:p>
              </w:tc>
            </w:tr>
            <w:tr>
              <w:tc>
                <w:tcPr>
                  <w:tcW w:type="dxa" w:w="1604"/>
                </w:tcPr>
                <w:p>
                  <w:pPr>
                    <w:spacing w:line="280" w:lineRule="exact"/>
                    <w:jc w:val="center"/>
                  </w:pPr>
                  <w:r>
                    <w:rPr>
                      <w:rFonts w:ascii="Times New Roman" w:hAnsi="Times New Roman" w:eastAsia="宋体"/>
                      <w:b w:val="0"/>
                      <w:i w:val="0"/>
                      <w:sz w:val="17"/>
                    </w:rPr>
                    <w:t>CID 不一致</w:t>
                  </w:r>
                </w:p>
              </w:tc>
              <w:tc>
                <w:tcPr>
                  <w:tcW w:type="dxa" w:w="1604"/>
                </w:tcPr>
                <w:p>
                  <w:pPr>
                    <w:spacing w:line="280" w:lineRule="exact"/>
                    <w:jc w:val="center"/>
                  </w:pPr>
                  <w:r>
                    <w:rPr>
                      <w:rFonts w:ascii="Times New Roman" w:hAnsi="Times New Roman" w:eastAsia="宋体"/>
                      <w:b w:val="0"/>
                      <w:i w:val="0"/>
                      <w:sz w:val="17"/>
                    </w:rPr>
                    <w:t>LOCAL_ONLY</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r>
              <w:tc>
                <w:tcPr>
                  <w:tcW w:type="dxa" w:w="1604"/>
                </w:tcPr>
                <w:p>
                  <w:pPr>
                    <w:spacing w:line="280" w:lineRule="exact"/>
                    <w:jc w:val="center"/>
                  </w:pPr>
                  <w:r>
                    <w:rPr>
                      <w:rFonts w:ascii="Times New Roman" w:hAnsi="Times New Roman" w:eastAsia="宋体"/>
                      <w:b w:val="0"/>
                      <w:i w:val="0"/>
                      <w:sz w:val="17"/>
                    </w:rPr>
                    <w:t>CID 不一致</w:t>
                  </w:r>
                </w:p>
              </w:tc>
              <w:tc>
                <w:tcPr>
                  <w:tcW w:type="dxa" w:w="1604"/>
                </w:tcPr>
                <w:p>
                  <w:pPr>
                    <w:spacing w:line="280" w:lineRule="exact"/>
                    <w:jc w:val="center"/>
                  </w:pPr>
                  <w:r>
                    <w:rPr>
                      <w:rFonts w:ascii="Times New Roman" w:hAnsi="Times New Roman" w:eastAsia="宋体"/>
                      <w:b w:val="0"/>
                      <w:i w:val="0"/>
                      <w:sz w:val="17"/>
                    </w:rPr>
                    <w:t>KUBO_REPLICA</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r>
              <w:tc>
                <w:tcPr>
                  <w:tcW w:type="dxa" w:w="1604"/>
                </w:tcPr>
                <w:p>
                  <w:pPr>
                    <w:spacing w:line="280" w:lineRule="exact"/>
                    <w:jc w:val="center"/>
                  </w:pPr>
                  <w:r>
                    <w:rPr>
                      <w:rFonts w:ascii="Times New Roman" w:hAnsi="Times New Roman" w:eastAsia="宋体"/>
                      <w:b w:val="0"/>
                      <w:i w:val="0"/>
                      <w:sz w:val="17"/>
                    </w:rPr>
                    <w:t>同时缺失</w:t>
                  </w:r>
                </w:p>
              </w:tc>
              <w:tc>
                <w:tcPr>
                  <w:tcW w:type="dxa" w:w="1604"/>
                </w:tcPr>
                <w:p>
                  <w:pPr>
                    <w:spacing w:line="280" w:lineRule="exact"/>
                    <w:jc w:val="center"/>
                  </w:pPr>
                  <w:r>
                    <w:rPr>
                      <w:rFonts w:ascii="Times New Roman" w:hAnsi="Times New Roman" w:eastAsia="宋体"/>
                      <w:b w:val="0"/>
                      <w:i w:val="0"/>
                      <w:sz w:val="17"/>
                    </w:rPr>
                    <w:t>LOCAL_ONLY</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r>
              <w:tc>
                <w:tcPr>
                  <w:tcW w:type="dxa" w:w="1604"/>
                </w:tcPr>
                <w:p>
                  <w:pPr>
                    <w:spacing w:line="280" w:lineRule="exact"/>
                    <w:jc w:val="center"/>
                  </w:pPr>
                  <w:r>
                    <w:rPr>
                      <w:rFonts w:ascii="Times New Roman" w:hAnsi="Times New Roman" w:eastAsia="宋体"/>
                      <w:b w:val="0"/>
                      <w:i w:val="0"/>
                      <w:sz w:val="17"/>
                    </w:rPr>
                    <w:t>同时缺失</w:t>
                  </w:r>
                </w:p>
              </w:tc>
              <w:tc>
                <w:tcPr>
                  <w:tcW w:type="dxa" w:w="1604"/>
                </w:tcPr>
                <w:p>
                  <w:pPr>
                    <w:spacing w:line="280" w:lineRule="exact"/>
                    <w:jc w:val="center"/>
                  </w:pPr>
                  <w:r>
                    <w:rPr>
                      <w:rFonts w:ascii="Times New Roman" w:hAnsi="Times New Roman" w:eastAsia="宋体"/>
                      <w:b w:val="0"/>
                      <w:i w:val="0"/>
                      <w:sz w:val="17"/>
                    </w:rPr>
                    <w:t>KUBO_REPLICA</w:t>
                  </w:r>
                </w:p>
              </w:tc>
              <w:tc>
                <w:tcPr>
                  <w:tcW w:type="dxa" w:w="1604"/>
                </w:tcPr>
                <w:p>
                  <w:pPr>
                    <w:spacing w:line="280" w:lineRule="exact"/>
                    <w:jc w:val="center"/>
                  </w:pPr>
                  <w:r>
                    <w:rPr>
                      <w:rFonts w:ascii="Times New Roman" w:hAnsi="Times New Roman" w:eastAsia="宋体"/>
                      <w:b w:val="0"/>
                      <w:i w:val="0"/>
                      <w:sz w:val="17"/>
                    </w:rPr>
                    <w:t>5</w:t>
                  </w:r>
                </w:p>
              </w:tc>
              <w:tc>
                <w:tcPr>
                  <w:tcW w:type="dxa" w:w="1604"/>
                </w:tcPr>
                <w:p>
                  <w:pPr>
                    <w:spacing w:line="280" w:lineRule="exact"/>
                    <w:jc w:val="center"/>
                  </w:pPr>
                  <w:r>
                    <w:rPr>
                      <w:rFonts w:ascii="Times New Roman" w:hAnsi="Times New Roman" w:eastAsia="宋体"/>
                      <w:b w:val="0"/>
                      <w:i w:val="0"/>
                      <w:sz w:val="17"/>
                    </w:rPr>
                    <w:t>FAIL_CLOSED</w:t>
                  </w:r>
                </w:p>
              </w:tc>
              <w:tc>
                <w:tcPr>
                  <w:tcW w:type="dxa" w:w="1604"/>
                </w:tcPr>
                <w:p>
                  <w:pPr>
                    <w:spacing w:line="280" w:lineRule="exact"/>
                    <w:jc w:val="center"/>
                  </w:pPr>
                  <w:r>
                    <w:rPr>
                      <w:rFonts w:ascii="Times New Roman" w:hAnsi="Times New Roman" w:eastAsia="宋体"/>
                      <w:b w:val="0"/>
                      <w:i w:val="0"/>
                      <w:sz w:val="17"/>
                    </w:rPr>
                    <w:t>0</w:t>
                  </w:r>
                </w:p>
              </w:tc>
              <w:tc>
                <w:tcPr>
                  <w:tcW w:type="dxa" w:w="1604"/>
                </w:tcPr>
                <w:p>
                  <w:pPr>
                    <w:spacing w:line="280" w:lineRule="exact"/>
                    <w:jc w:val="center"/>
                  </w:pPr>
                  <w:r>
                    <w:rPr>
                      <w:rFonts w:ascii="Times New Roman" w:hAnsi="Times New Roman" w:eastAsia="宋体"/>
                      <w:b w:val="0"/>
                      <w:i w:val="0"/>
                      <w:sz w:val="17"/>
                    </w:rPr>
                    <w:t>-</w:t>
                  </w:r>
                </w:p>
              </w:tc>
            </w:tr>
          </w:tbl>
          <w:p/>
          <w:p>
            <w:pPr>
              <w:spacing w:line="400" w:lineRule="exact" w:before="0" w:after="0"/>
              <w:ind w:firstLineChars="200"/>
            </w:pPr>
            <w:r>
              <w:rPr>
                <w:rFonts w:ascii="Times New Roman" w:hAnsi="Times New Roman" w:eastAsia="宋体"/>
                <w:b w:val="0"/>
                <w:i w:val="0"/>
                <w:sz w:val="24"/>
              </w:rPr>
              <w:t>综上，研究内容三目前已完成密文对象结构、版本语义、前瞻性撤销、材料释放判定、数据库任务状态机、链下对象存储与恢复协调，并完成 145 个有效运行的正式实验：状态一致性与幂等性全部通过，未观察到错误材料释放，撤销窗口保持 Fail-Closed。阶段性实验同时表明：HEADER_ONLY 的规模因素影响较小，BODY_ROTATION 在大 Body 规模下存在可观察的额外成本；Kubo 副本的核心作用是在特定本地对象损坏场景下提供可验证的恢复来源，正常路径未观察到稳定的性能优势，因此被定位为故障恢复可用性机制而非性能增强手段。全部结论以冻结配置、预注册统计与单节点环境为边界，不评估多 Validator 共识性能，不主张追溯撤销。</w:t>
            </w:r>
          </w:p>
          <w:p>
            <w:pPr>
              <w:spacing w:line="400" w:lineRule="exact" w:before="0" w:after="0"/>
              <w:ind/>
            </w:pPr>
            <w:r>
              <w:rPr>
                <w:rFonts w:ascii="Times New Roman" w:hAnsi="Times New Roman" w:eastAsia="宋体"/>
                <w:b/>
                <w:i w:val="0"/>
                <w:sz w:val="24"/>
              </w:rPr>
              <w:t>（7）三项研究内容的接口关系与整体系统闭环</w:t>
            </w:r>
          </w:p>
          <w:p>
            <w:pPr>
              <w:spacing w:line="400" w:lineRule="exact" w:before="0" w:after="0"/>
              <w:ind w:firstLineChars="200"/>
            </w:pPr>
            <w:r>
              <w:rPr>
                <w:rFonts w:ascii="Times New Roman" w:hAnsi="Times New Roman" w:eastAsia="宋体"/>
                <w:b w:val="0"/>
                <w:i w:val="0"/>
                <w:sz w:val="24"/>
              </w:rPr>
              <w:t>三项研究内容通过统一的时间语义与策略摘要衔接，构成一条完整主线。研究内容一输出的唯一语义表示与策略摘要（policyDigest）进入研究内容二的资源注册、能力绑定与验证复核：资源状态记录 policyDigest，能力签发与验证都绑定该摘要，验证流程重新执行时间策略检查，从而把策略语义、策略摘要与链上状态绑定。研究内容二输出的可验证授权状态（资源状态、epoch、stateVersion、userVersion）成为研究内容三判断材料释放、Header 更新与撤销闭环的可信输入：材料释放由 AccessMaterialReleaseGuard 依据链上复合状态判定，撤销事件驱动 Header 更新意图，链下对象版本与恢复动作与链上状态保持一致。反过来，研究内容三的每一次状态变化（撤销、Header 闭合、密钥轮换）都通过版本递增使旧请求与旧能力失效，约束研究内容二后续请求的有效性。</w:t>
            </w:r>
          </w:p>
          <w:p>
            <w:pPr>
              <w:spacing w:line="400" w:lineRule="exact" w:before="0" w:after="0"/>
              <w:ind w:firstLineChars="200"/>
            </w:pPr>
            <w:r>
              <w:rPr>
                <w:rFonts w:ascii="Times New Roman" w:hAnsi="Times New Roman" w:eastAsia="宋体"/>
                <w:b w:val="0"/>
                <w:i w:val="0"/>
                <w:sz w:val="24"/>
              </w:rPr>
              <w:t>从系统运行角度看，一次完整的数据共享生命周期贯穿三项研究内容：策略创建与规范化生成唯一语义与摘要，资源与摘要注册到链上状态；数据用户获得由链上状态约束的能力并完成验证与一次性消费；材料释放组件依据链上复合状态释放密文材料；授权状态变化触发 Header 更新与材料释放判定切换；对象损坏通过恢复协调器从隔离副本验证并恢复。整个生命周期中，策略摘要、授权状态、任务状态与对象摘要相互绑定，任何一环的状态变化都会沿接口传导，形成“策略生成—状态锚定—材料释放—版本更新—撤销恢复”的反馈闭环。正是这种接口关系使三项研究内容构成有机整体，而不是三项独立工作的拼凑。</w:t>
            </w:r>
          </w:p>
          <w:p>
            <w:pPr>
              <w:spacing w:line="400" w:lineRule="exact" w:before="0" w:after="0"/>
              <w:ind w:firstLineChars="200"/>
            </w:pPr>
            <w:r>
              <w:rPr>
                <w:rFonts w:ascii="Times New Roman" w:hAnsi="Times New Roman" w:eastAsia="宋体"/>
                <w:b w:val="0"/>
                <w:i w:val="0"/>
                <w:sz w:val="24"/>
              </w:rPr>
              <w:t>接口一致性是系统设计中被明确验证的属性：策略摘要由 I* 确定性计算，资源注册、能力签发、验证复核与材料释放判定均引用同一摘要，任何环节的摘要不一致都会导致流程拒绝；授权状态版本由链上合约单调维护，能力绑定与验证复核均以验证时点的确认快照为准，状态变化沿版本字段传导；Header 版本与对象摘要由链上注册表登记，材料释放判定同时校验链上状态与对象完整性，恢复路径以 SHA-256 摘要为完整性权威。三个接口分别对应“语义一致”“状态一致”“对象一致”，共同保证系统在正常路径与故障路径下都不会出现链上状态与链下执行脱节的情况。</w:t>
            </w:r>
          </w:p>
          <w:p>
            <w:pPr>
              <w:spacing w:line="400" w:lineRule="exact" w:before="0" w:after="0"/>
              <w:ind w:firstLineChars="200"/>
            </w:pPr>
            <w:r>
              <w:rPr>
                <w:rFonts w:ascii="Times New Roman" w:hAnsi="Times New Roman" w:eastAsia="宋体"/>
                <w:b w:val="0"/>
                <w:i w:val="0"/>
                <w:sz w:val="24"/>
              </w:rPr>
              <w:t>整体完成度可汇总如下：三项研究内容均覆盖“模型—算法—实现—测试—实验”的完整链条，每项内容都有明确的阶段性结论、负结果与适用边界，为学位论文的后续写作提供了完整的证据基础。</w:t>
            </w:r>
          </w:p>
          <w:p>
            <w:pPr>
              <w:keepNext/>
              <w:spacing w:line="320" w:lineRule="exact" w:before="120" w:after="60"/>
              <w:jc w:val="center"/>
            </w:pPr>
            <w:r>
              <w:rPr>
                <w:rFonts w:ascii="Times New Roman" w:hAnsi="Times New Roman" w:eastAsia="宋体"/>
                <w:b w:val="0"/>
                <w:i w:val="0"/>
                <w:sz w:val="21"/>
              </w:rPr>
              <w:t>表8 三项研究内容进展总览</w:t>
            </w:r>
          </w:p>
          <w:tbl>
            <w:tblPr>
              <w:tblW w:type="dxa" w:w="9628"/>
              <w:tblLook w:firstColumn="1" w:firstRow="1" w:lastColumn="0" w:lastRow="0" w:noHBand="0" w:noVBand="1" w:val="04A0"/>
              <w:tblLayout w:type="fixed"/>
              <w:tblBorders>
                <w:top w:val="single" w:sz="12" w:color="000000"/>
                <w:bottom w:val="single" w:sz="12" w:color="000000"/>
                <w:left w:val="none"/>
                <w:right w:val="none"/>
                <w:insideV w:val="none"/>
                <w:insideH w:val="none"/>
              </w:tblBorders>
            </w:tblPr>
            <w:tblGrid>
              <w:gridCol w:w="3209"/>
              <w:gridCol w:w="3209"/>
              <w:gridCol w:w="3209"/>
            </w:tblGrid>
            <w:tr>
              <w:tc>
                <w:tcPr>
                  <w:tcW w:type="dxa" w:w="3209"/>
                  <w:tcBorders>
                    <w:bottom w:val="single" w:sz="6" w:color="000000"/>
                  </w:tcBorders>
                </w:tcPr>
                <w:p>
                  <w:pPr>
                    <w:spacing w:line="280" w:lineRule="exact"/>
                    <w:jc w:val="center"/>
                  </w:pPr>
                  <w:r>
                    <w:rPr>
                      <w:rFonts w:ascii="Times New Roman" w:hAnsi="Times New Roman" w:eastAsia="宋体"/>
                      <w:b/>
                      <w:i w:val="0"/>
                      <w:sz w:val="17"/>
                    </w:rPr>
                    <w:t>研究内容</w:t>
                  </w:r>
                </w:p>
              </w:tc>
              <w:tc>
                <w:tcPr>
                  <w:tcW w:type="dxa" w:w="3209"/>
                  <w:tcBorders>
                    <w:bottom w:val="single" w:sz="6" w:color="000000"/>
                  </w:tcBorders>
                </w:tcPr>
                <w:p>
                  <w:pPr>
                    <w:spacing w:line="280" w:lineRule="exact"/>
                    <w:jc w:val="center"/>
                  </w:pPr>
                  <w:r>
                    <w:rPr>
                      <w:rFonts w:ascii="Times New Roman" w:hAnsi="Times New Roman" w:eastAsia="宋体"/>
                      <w:b/>
                      <w:i w:val="0"/>
                      <w:sz w:val="17"/>
                    </w:rPr>
                    <w:t>当前状态</w:t>
                  </w:r>
                </w:p>
              </w:tc>
              <w:tc>
                <w:tcPr>
                  <w:tcW w:type="dxa" w:w="3209"/>
                  <w:tcBorders>
                    <w:bottom w:val="single" w:sz="6" w:color="000000"/>
                  </w:tcBorders>
                </w:tcPr>
                <w:p>
                  <w:pPr>
                    <w:spacing w:line="280" w:lineRule="exact"/>
                    <w:jc w:val="center"/>
                  </w:pPr>
                  <w:r>
                    <w:rPr>
                      <w:rFonts w:ascii="Times New Roman" w:hAnsi="Times New Roman" w:eastAsia="宋体"/>
                      <w:b/>
                      <w:i w:val="0"/>
                      <w:sz w:val="17"/>
                    </w:rPr>
                    <w:t>主要证据</w:t>
                  </w:r>
                </w:p>
              </w:tc>
            </w:tr>
            <w:tr>
              <w:tc>
                <w:tcPr>
                  <w:tcW w:type="dxa" w:w="3209"/>
                </w:tcPr>
                <w:p>
                  <w:pPr>
                    <w:spacing w:line="280" w:lineRule="exact"/>
                    <w:jc w:val="center"/>
                  </w:pPr>
                  <w:r>
                    <w:rPr>
                      <w:rFonts w:ascii="Times New Roman" w:hAnsi="Times New Roman" w:eastAsia="宋体"/>
                      <w:b w:val="0"/>
                      <w:i w:val="0"/>
                      <w:sz w:val="17"/>
                    </w:rPr>
                    <w:t>研究内容一（策略确定性表示与编译）</w:t>
                  </w:r>
                </w:p>
              </w:tc>
              <w:tc>
                <w:tcPr>
                  <w:tcW w:type="dxa" w:w="3209"/>
                </w:tcPr>
                <w:p>
                  <w:pPr>
                    <w:spacing w:line="280" w:lineRule="exact"/>
                    <w:jc w:val="left"/>
                  </w:pPr>
                  <w:r>
                    <w:rPr>
                      <w:rFonts w:ascii="Times New Roman" w:hAnsi="Times New Roman" w:eastAsia="宋体"/>
                      <w:b w:val="0"/>
                      <w:i w:val="0"/>
                      <w:sz w:val="17"/>
                    </w:rPr>
                    <w:t>核心方法与正式实验已完成</w:t>
                  </w:r>
                </w:p>
              </w:tc>
              <w:tc>
                <w:tcPr>
                  <w:tcW w:type="dxa" w:w="3209"/>
                </w:tcPr>
                <w:p>
                  <w:pPr>
                    <w:spacing w:line="280" w:lineRule="exact"/>
                    <w:jc w:val="left"/>
                  </w:pPr>
                  <w:r>
                    <w:rPr>
                      <w:rFonts w:ascii="Times New Roman" w:hAnsi="Times New Roman" w:eastAsia="宋体"/>
                      <w:b w:val="0"/>
                      <w:i w:val="0"/>
                      <w:sz w:val="17"/>
                    </w:rPr>
                    <w:t>形式化模型、算法1/2、81 项测试、98.61% 覆盖率、168 样本、15120 条有效记录；后续为论文级凝练与适用边界表述</w:t>
                  </w:r>
                </w:p>
              </w:tc>
            </w:tr>
            <w:tr>
              <w:tc>
                <w:tcPr>
                  <w:tcW w:type="dxa" w:w="3209"/>
                </w:tcPr>
                <w:p>
                  <w:pPr>
                    <w:spacing w:line="280" w:lineRule="exact"/>
                    <w:jc w:val="center"/>
                  </w:pPr>
                  <w:r>
                    <w:rPr>
                      <w:rFonts w:ascii="Times New Roman" w:hAnsi="Times New Roman" w:eastAsia="宋体"/>
                      <w:b w:val="0"/>
                      <w:i w:val="0"/>
                      <w:sz w:val="17"/>
                    </w:rPr>
                    <w:t>研究内容二（许可链可信授权执行）</w:t>
                  </w:r>
                </w:p>
              </w:tc>
              <w:tc>
                <w:tcPr>
                  <w:tcW w:type="dxa" w:w="3209"/>
                </w:tcPr>
                <w:p>
                  <w:pPr>
                    <w:spacing w:line="280" w:lineRule="exact"/>
                    <w:jc w:val="left"/>
                  </w:pPr>
                  <w:r>
                    <w:rPr>
                      <w:rFonts w:ascii="Times New Roman" w:hAnsi="Times New Roman" w:eastAsia="宋体"/>
                      <w:b w:val="0"/>
                      <w:i w:val="0"/>
                      <w:sz w:val="17"/>
                    </w:rPr>
                    <w:t>原型与正式实验已完成</w:t>
                  </w:r>
                </w:p>
              </w:tc>
              <w:tc>
                <w:tcPr>
                  <w:tcW w:type="dxa" w:w="3209"/>
                </w:tcPr>
                <w:p>
                  <w:pPr>
                    <w:spacing w:line="280" w:lineRule="exact"/>
                    <w:jc w:val="left"/>
                  </w:pPr>
                  <w:r>
                    <w:rPr>
                      <w:rFonts w:ascii="Times New Roman" w:hAnsi="Times New Roman" w:eastAsia="宋体"/>
                      <w:b w:val="0"/>
                      <w:i w:val="0"/>
                      <w:sz w:val="17"/>
                    </w:rPr>
                    <w:t>五节点链、AuthorizationState、CAP2、共享 Nonce、9720 运行块、链读取占比 98.66%～98.80%；后续为缓存与层次接口的协议级讨论</w:t>
                  </w:r>
                </w:p>
              </w:tc>
            </w:tr>
            <w:tr>
              <w:tc>
                <w:tcPr>
                  <w:tcW w:type="dxa" w:w="3209"/>
                </w:tcPr>
                <w:p>
                  <w:pPr>
                    <w:spacing w:line="280" w:lineRule="exact"/>
                    <w:jc w:val="center"/>
                  </w:pPr>
                  <w:r>
                    <w:rPr>
                      <w:rFonts w:ascii="Times New Roman" w:hAnsi="Times New Roman" w:eastAsia="宋体"/>
                      <w:b w:val="0"/>
                      <w:i w:val="0"/>
                      <w:sz w:val="17"/>
                    </w:rPr>
                    <w:t>研究内容三（版本化密文头部与前瞻性撤销）</w:t>
                  </w:r>
                </w:p>
              </w:tc>
              <w:tc>
                <w:tcPr>
                  <w:tcW w:type="dxa" w:w="3209"/>
                </w:tcPr>
                <w:p>
                  <w:pPr>
                    <w:spacing w:line="280" w:lineRule="exact"/>
                    <w:jc w:val="left"/>
                  </w:pPr>
                  <w:r>
                    <w:rPr>
                      <w:rFonts w:ascii="Times New Roman" w:hAnsi="Times New Roman" w:eastAsia="宋体"/>
                      <w:b w:val="0"/>
                      <w:i w:val="0"/>
                      <w:sz w:val="17"/>
                    </w:rPr>
                    <w:t>原型与正式实验已完成</w:t>
                  </w:r>
                </w:p>
              </w:tc>
              <w:tc>
                <w:tcPr>
                  <w:tcW w:type="dxa" w:w="3209"/>
                </w:tcPr>
                <w:p>
                  <w:pPr>
                    <w:spacing w:line="280" w:lineRule="exact"/>
                    <w:jc w:val="left"/>
                  </w:pPr>
                  <w:r>
                    <w:rPr>
                      <w:rFonts w:ascii="Times New Roman" w:hAnsi="Times New Roman" w:eastAsia="宋体"/>
                      <w:b w:val="0"/>
                      <w:i w:val="0"/>
                      <w:sz w:val="17"/>
                    </w:rPr>
                    <w:t>版本协议、任务状态机、恢复协调、145 个有效运行、错误材料释放 0；后续为多节点扩展与批量更新压力</w:t>
                  </w:r>
                </w:p>
              </w:tc>
            </w:tr>
            <w:tr>
              <w:tc>
                <w:tcPr>
                  <w:tcW w:type="dxa" w:w="3209"/>
                </w:tcPr>
                <w:p>
                  <w:pPr>
                    <w:spacing w:line="280" w:lineRule="exact"/>
                    <w:jc w:val="center"/>
                  </w:pPr>
                  <w:r>
                    <w:rPr>
                      <w:rFonts w:ascii="Times New Roman" w:hAnsi="Times New Roman" w:eastAsia="宋体"/>
                      <w:b w:val="0"/>
                      <w:i w:val="0"/>
                      <w:sz w:val="17"/>
                    </w:rPr>
                    <w:t>论文整体（全文整合与定稿）</w:t>
                  </w:r>
                </w:p>
              </w:tc>
              <w:tc>
                <w:tcPr>
                  <w:tcW w:type="dxa" w:w="3209"/>
                </w:tcPr>
                <w:p>
                  <w:pPr>
                    <w:spacing w:line="280" w:lineRule="exact"/>
                    <w:jc w:val="left"/>
                  </w:pPr>
                  <w:r>
                    <w:rPr>
                      <w:rFonts w:ascii="Times New Roman" w:hAnsi="Times New Roman" w:eastAsia="宋体"/>
                      <w:b w:val="0"/>
                      <w:i w:val="0"/>
                      <w:sz w:val="17"/>
                    </w:rPr>
                    <w:t>章节草稿已形成</w:t>
                  </w:r>
                </w:p>
              </w:tc>
              <w:tc>
                <w:tcPr>
                  <w:tcW w:type="dxa" w:w="3209"/>
                </w:tcPr>
                <w:p>
                  <w:pPr>
                    <w:spacing w:line="280" w:lineRule="exact"/>
                    <w:jc w:val="left"/>
                  </w:pPr>
                  <w:r>
                    <w:rPr>
                      <w:rFonts w:ascii="Times New Roman" w:hAnsi="Times New Roman" w:eastAsia="宋体"/>
                      <w:b w:val="0"/>
                      <w:i w:val="0"/>
                      <w:sz w:val="17"/>
                    </w:rPr>
                    <w:t>三项内容证据链与审计材料；后续为相关工作完善、理论深化、定稿</w:t>
                  </w:r>
                </w:p>
              </w:tc>
            </w:tr>
          </w:tbl>
          <w:p/>
          <w:p>
            <w:pPr>
              <w:spacing w:line="400" w:lineRule="exact" w:before="0" w:after="0"/>
              <w:ind/>
            </w:pPr>
            <w:r>
              <w:rPr>
                <w:rFonts w:ascii="Times New Roman" w:hAnsi="Times New Roman" w:eastAsia="宋体"/>
                <w:b/>
                <w:i w:val="0"/>
                <w:sz w:val="24"/>
              </w:rPr>
              <w:t>参考文献</w:t>
            </w:r>
          </w:p>
          <w:p>
            <w:pPr>
              <w:spacing w:line="400" w:lineRule="exact" w:before="0" w:after="0"/>
              <w:ind w:hangingChars="200"/>
            </w:pPr>
            <w:r>
              <w:rPr>
                <w:rFonts w:ascii="Times New Roman" w:hAnsi="Times New Roman" w:eastAsia="宋体"/>
                <w:b w:val="0"/>
                <w:i w:val="0"/>
                <w:sz w:val="21"/>
                <w:vertAlign w:val="superscript"/>
              </w:rPr>
              <w:t>[1]</w:t>
            </w:r>
            <w:r>
              <w:rPr>
                <w:rFonts w:ascii="Times New Roman" w:hAnsi="Times New Roman" w:eastAsia="宋体"/>
                <w:b w:val="0"/>
                <w:i w:val="0"/>
                <w:sz w:val="21"/>
              </w:rPr>
              <w:t xml:space="preserve"> Saltzer J H, Schroeder M D. The protection of information in computer systems[J]. Proceedings of the IEEE, 1975, 63(9): 1278-1308.</w:t>
            </w:r>
          </w:p>
          <w:p>
            <w:pPr>
              <w:spacing w:line="400" w:lineRule="exact" w:before="0" w:after="0"/>
              <w:ind w:hangingChars="200"/>
            </w:pPr>
            <w:r>
              <w:rPr>
                <w:rFonts w:ascii="Times New Roman" w:hAnsi="Times New Roman" w:eastAsia="宋体"/>
                <w:b w:val="0"/>
                <w:i w:val="0"/>
                <w:sz w:val="21"/>
                <w:vertAlign w:val="superscript"/>
              </w:rPr>
              <w:t>[2]</w:t>
            </w:r>
            <w:r>
              <w:rPr>
                <w:rFonts w:ascii="Times New Roman" w:hAnsi="Times New Roman" w:eastAsia="宋体"/>
                <w:b w:val="0"/>
                <w:i w:val="0"/>
                <w:sz w:val="21"/>
              </w:rPr>
              <w:t xml:space="preserve"> Dennis J B, Van Horn E C. Programming semantics for multiprogrammed computations[J]. Communications of the ACM, 1966, 9(3): 143-155.</w:t>
            </w:r>
          </w:p>
          <w:p>
            <w:pPr>
              <w:spacing w:line="400" w:lineRule="exact" w:before="0" w:after="0"/>
              <w:ind w:hangingChars="200"/>
            </w:pPr>
            <w:r>
              <w:rPr>
                <w:rFonts w:ascii="Times New Roman" w:hAnsi="Times New Roman" w:eastAsia="宋体"/>
                <w:b w:val="0"/>
                <w:i w:val="0"/>
                <w:sz w:val="21"/>
                <w:vertAlign w:val="superscript"/>
              </w:rPr>
              <w:t>[3]</w:t>
            </w:r>
            <w:r>
              <w:rPr>
                <w:rFonts w:ascii="Times New Roman" w:hAnsi="Times New Roman" w:eastAsia="宋体"/>
                <w:b w:val="0"/>
                <w:i w:val="0"/>
                <w:sz w:val="21"/>
              </w:rPr>
              <w:t xml:space="preserve"> Miller M S, Yee K, Shapiro J. Capability myths demolished[R]. Technical Report SRL2003-02, Johns Hopkins University, 2003.</w:t>
            </w:r>
          </w:p>
          <w:p>
            <w:pPr>
              <w:spacing w:line="400" w:lineRule="exact" w:before="0" w:after="0"/>
              <w:ind w:hangingChars="200"/>
            </w:pPr>
            <w:r>
              <w:rPr>
                <w:rFonts w:ascii="Times New Roman" w:hAnsi="Times New Roman" w:eastAsia="宋体"/>
                <w:b w:val="0"/>
                <w:i w:val="0"/>
                <w:sz w:val="21"/>
                <w:vertAlign w:val="superscript"/>
              </w:rPr>
              <w:t>[4]</w:t>
            </w:r>
            <w:r>
              <w:rPr>
                <w:rFonts w:ascii="Times New Roman" w:hAnsi="Times New Roman" w:eastAsia="宋体"/>
                <w:b w:val="0"/>
                <w:i w:val="0"/>
                <w:sz w:val="21"/>
              </w:rPr>
              <w:t xml:space="preserve"> Lampson B W. Protection[J]. ACM SIGOPS Operating Systems Review, 1974, 8(1): 18-24.</w:t>
            </w:r>
          </w:p>
          <w:p>
            <w:pPr>
              <w:spacing w:line="400" w:lineRule="exact" w:before="0" w:after="0"/>
              <w:ind w:hangingChars="200"/>
            </w:pPr>
            <w:r>
              <w:rPr>
                <w:rFonts w:ascii="Times New Roman" w:hAnsi="Times New Roman" w:eastAsia="宋体"/>
                <w:b w:val="0"/>
                <w:i w:val="0"/>
                <w:sz w:val="21"/>
                <w:vertAlign w:val="superscript"/>
              </w:rPr>
              <w:t>[5]</w:t>
            </w:r>
            <w:r>
              <w:rPr>
                <w:rFonts w:ascii="Times New Roman" w:hAnsi="Times New Roman" w:eastAsia="宋体"/>
                <w:b w:val="0"/>
                <w:i w:val="0"/>
                <w:sz w:val="21"/>
              </w:rPr>
              <w:t xml:space="preserve"> Nakamoto S. Bitcoin: A peer-to-peer electronic cash system[EB/OL]. 2008. https://bitcoin.org/bitcoin.pdf.</w:t>
            </w:r>
          </w:p>
          <w:p>
            <w:pPr>
              <w:spacing w:line="400" w:lineRule="exact" w:before="0" w:after="0"/>
              <w:ind w:hangingChars="200"/>
            </w:pPr>
            <w:r>
              <w:rPr>
                <w:rFonts w:ascii="Times New Roman" w:hAnsi="Times New Roman" w:eastAsia="宋体"/>
                <w:b w:val="0"/>
                <w:i w:val="0"/>
                <w:sz w:val="21"/>
                <w:vertAlign w:val="superscript"/>
              </w:rPr>
              <w:t>[6]</w:t>
            </w:r>
            <w:r>
              <w:rPr>
                <w:rFonts w:ascii="Times New Roman" w:hAnsi="Times New Roman" w:eastAsia="宋体"/>
                <w:b w:val="0"/>
                <w:i w:val="0"/>
                <w:sz w:val="21"/>
              </w:rPr>
              <w:t xml:space="preserve"> Wood G. Ethereum: A secure decentralised generalised transaction ledger[EB/OL]. Ethereum Project Yellow Paper, 2014. https://ethereum.github.io/yellowpaper/paper.pdf.</w:t>
            </w:r>
          </w:p>
          <w:p>
            <w:pPr>
              <w:spacing w:line="400" w:lineRule="exact" w:before="0" w:after="0"/>
              <w:ind w:hangingChars="200"/>
            </w:pPr>
            <w:r>
              <w:rPr>
                <w:rFonts w:ascii="Times New Roman" w:hAnsi="Times New Roman" w:eastAsia="宋体"/>
                <w:b w:val="0"/>
                <w:i w:val="0"/>
                <w:sz w:val="21"/>
                <w:vertAlign w:val="superscript"/>
              </w:rPr>
              <w:t>[7]</w:t>
            </w:r>
            <w:r>
              <w:rPr>
                <w:rFonts w:ascii="Times New Roman" w:hAnsi="Times New Roman" w:eastAsia="宋体"/>
                <w:b w:val="0"/>
                <w:i w:val="0"/>
                <w:sz w:val="21"/>
              </w:rPr>
              <w:t xml:space="preserve"> Androulaki E, Barger A, Bortnikov V, et al. Hyperledger Fabric: A distributed operating system for permissioned blockchains[C]//Proceedings of the 13th EuroSys Conference. ACM, 2018: 30.</w:t>
            </w:r>
          </w:p>
          <w:p>
            <w:pPr>
              <w:spacing w:line="400" w:lineRule="exact" w:before="0" w:after="0"/>
              <w:ind w:hangingChars="200"/>
            </w:pPr>
            <w:r>
              <w:rPr>
                <w:rFonts w:ascii="Times New Roman" w:hAnsi="Times New Roman" w:eastAsia="宋体"/>
                <w:b w:val="0"/>
                <w:i w:val="0"/>
                <w:sz w:val="21"/>
                <w:vertAlign w:val="superscript"/>
              </w:rPr>
              <w:t>[8]</w:t>
            </w:r>
            <w:r>
              <w:rPr>
                <w:rFonts w:ascii="Times New Roman" w:hAnsi="Times New Roman" w:eastAsia="宋体"/>
                <w:b w:val="0"/>
                <w:i w:val="0"/>
                <w:sz w:val="21"/>
              </w:rPr>
              <w:t xml:space="preserve"> Bertino E, Bonatti P A, Ferrari E. TRBAC: A temporal role-based access control model[J]. ACM Transactions on Information and System Security, 2001, 4(3): 191-233.</w:t>
            </w:r>
          </w:p>
          <w:p>
            <w:pPr>
              <w:spacing w:line="400" w:lineRule="exact" w:before="0" w:after="0"/>
              <w:ind w:hangingChars="200"/>
            </w:pPr>
            <w:r>
              <w:rPr>
                <w:rFonts w:ascii="Times New Roman" w:hAnsi="Times New Roman" w:eastAsia="宋体"/>
                <w:b w:val="0"/>
                <w:i w:val="0"/>
                <w:sz w:val="21"/>
                <w:vertAlign w:val="superscript"/>
              </w:rPr>
              <w:t>[9]</w:t>
            </w:r>
            <w:r>
              <w:rPr>
                <w:rFonts w:ascii="Times New Roman" w:hAnsi="Times New Roman" w:eastAsia="宋体"/>
                <w:b w:val="0"/>
                <w:i w:val="0"/>
                <w:sz w:val="21"/>
              </w:rPr>
              <w:t xml:space="preserve"> Sandhu R S, Coyne E J, Feinstein H L, et al. Role-based access control models[J]. IEEE Computer, 1996, 29(2): 38-47.</w:t>
            </w:r>
          </w:p>
          <w:p>
            <w:pPr>
              <w:spacing w:line="400" w:lineRule="exact" w:before="0" w:after="0"/>
              <w:ind w:hangingChars="200"/>
            </w:pPr>
            <w:r>
              <w:rPr>
                <w:rFonts w:ascii="Times New Roman" w:hAnsi="Times New Roman" w:eastAsia="宋体"/>
                <w:b w:val="0"/>
                <w:i w:val="0"/>
                <w:sz w:val="21"/>
                <w:vertAlign w:val="superscript"/>
              </w:rPr>
              <w:t>[10]</w:t>
            </w:r>
            <w:r>
              <w:rPr>
                <w:rFonts w:ascii="Times New Roman" w:hAnsi="Times New Roman" w:eastAsia="宋体"/>
                <w:b w:val="0"/>
                <w:i w:val="0"/>
                <w:sz w:val="21"/>
              </w:rPr>
              <w:t xml:space="preserve"> Bethencourt J, Sahai A, Waters B. Ciphertext-policy attribute-based encryption[C]//Proceedings of the 2007 IEEE Symposium on Security and Privacy. IEEE, 2007: 321-334.</w:t>
            </w:r>
          </w:p>
          <w:p>
            <w:pPr>
              <w:spacing w:line="400" w:lineRule="exact" w:before="0" w:after="0"/>
              <w:ind w:hangingChars="200"/>
            </w:pPr>
            <w:r>
              <w:rPr>
                <w:rFonts w:ascii="Times New Roman" w:hAnsi="Times New Roman" w:eastAsia="宋体"/>
                <w:b w:val="0"/>
                <w:i w:val="0"/>
                <w:sz w:val="21"/>
                <w:vertAlign w:val="superscript"/>
              </w:rPr>
              <w:t>[11]</w:t>
            </w:r>
            <w:r>
              <w:rPr>
                <w:rFonts w:ascii="Times New Roman" w:hAnsi="Times New Roman" w:eastAsia="宋体"/>
                <w:b w:val="0"/>
                <w:i w:val="0"/>
                <w:sz w:val="21"/>
              </w:rPr>
              <w:t xml:space="preserve"> Sahai A, Waters B. Fuzzy identity-based encryption[C]//EUROCRYPT 2005. Springer, 2005: 457-473.</w:t>
            </w:r>
          </w:p>
          <w:p>
            <w:pPr>
              <w:spacing w:line="400" w:lineRule="exact" w:before="0" w:after="0"/>
              <w:ind w:hangingChars="200"/>
            </w:pPr>
            <w:r>
              <w:rPr>
                <w:rFonts w:ascii="Times New Roman" w:hAnsi="Times New Roman" w:eastAsia="宋体"/>
                <w:b w:val="0"/>
                <w:i w:val="0"/>
                <w:sz w:val="21"/>
                <w:vertAlign w:val="superscript"/>
              </w:rPr>
              <w:t>[12]</w:t>
            </w:r>
            <w:r>
              <w:rPr>
                <w:rFonts w:ascii="Times New Roman" w:hAnsi="Times New Roman" w:eastAsia="宋体"/>
                <w:b w:val="0"/>
                <w:i w:val="0"/>
                <w:sz w:val="21"/>
              </w:rPr>
              <w:t xml:space="preserve"> Goyal V, Pandey O, Sahai A, et al. Attribute-based encryption for fine-grained access control of encrypted data[C]//Proceedings of the 13th ACM Conference on Computer and Communications Security. ACM, 2006: 89-98.</w:t>
            </w:r>
          </w:p>
          <w:p>
            <w:pPr>
              <w:spacing w:line="400" w:lineRule="exact" w:before="0" w:after="0"/>
              <w:ind w:hangingChars="200"/>
            </w:pPr>
            <w:r>
              <w:rPr>
                <w:rFonts w:ascii="Times New Roman" w:hAnsi="Times New Roman" w:eastAsia="宋体"/>
                <w:b w:val="0"/>
                <w:i w:val="0"/>
                <w:sz w:val="21"/>
                <w:vertAlign w:val="superscript"/>
              </w:rPr>
              <w:t>[13]</w:t>
            </w:r>
            <w:r>
              <w:rPr>
                <w:rFonts w:ascii="Times New Roman" w:hAnsi="Times New Roman" w:eastAsia="宋体"/>
                <w:b w:val="0"/>
                <w:i w:val="0"/>
                <w:sz w:val="21"/>
              </w:rPr>
              <w:t xml:space="preserve"> Hardt D. The OAuth 2.0 authorization framework[S]. RFC 6749, 2012.</w:t>
            </w:r>
          </w:p>
          <w:p>
            <w:pPr>
              <w:spacing w:line="400" w:lineRule="exact" w:before="0" w:after="0"/>
              <w:ind w:hangingChars="200"/>
            </w:pPr>
            <w:r>
              <w:rPr>
                <w:rFonts w:ascii="Times New Roman" w:hAnsi="Times New Roman" w:eastAsia="宋体"/>
                <w:b w:val="0"/>
                <w:i w:val="0"/>
                <w:sz w:val="21"/>
                <w:vertAlign w:val="superscript"/>
              </w:rPr>
              <w:t>[14]</w:t>
            </w:r>
            <w:r>
              <w:rPr>
                <w:rFonts w:ascii="Times New Roman" w:hAnsi="Times New Roman" w:eastAsia="宋体"/>
                <w:b w:val="0"/>
                <w:i w:val="0"/>
                <w:sz w:val="21"/>
              </w:rPr>
              <w:t xml:space="preserve"> Jones M, Bradley J, Sakimura N. JSON Web Token (JWT)[S]. RFC 7519, 2015.</w:t>
            </w:r>
          </w:p>
          <w:p>
            <w:pPr>
              <w:spacing w:line="400" w:lineRule="exact" w:before="0" w:after="0"/>
              <w:ind w:hangingChars="200"/>
            </w:pPr>
            <w:r>
              <w:rPr>
                <w:rFonts w:ascii="Times New Roman" w:hAnsi="Times New Roman" w:eastAsia="宋体"/>
                <w:b w:val="0"/>
                <w:i w:val="0"/>
                <w:sz w:val="21"/>
                <w:vertAlign w:val="superscript"/>
              </w:rPr>
              <w:t>[15]</w:t>
            </w:r>
            <w:r>
              <w:rPr>
                <w:rFonts w:ascii="Times New Roman" w:hAnsi="Times New Roman" w:eastAsia="宋体"/>
                <w:b w:val="0"/>
                <w:i w:val="0"/>
                <w:sz w:val="21"/>
              </w:rPr>
              <w:t xml:space="preserve"> Rouhani S, Belchior R, Cruz R S, et al. Distributed attribute-based access control system using permissioned blockchain[J]. World Wide Web, 2021, 24(5): 1617-1644.</w:t>
            </w:r>
          </w:p>
          <w:p>
            <w:pPr>
              <w:spacing w:line="400" w:lineRule="exact" w:before="0" w:after="0"/>
              <w:ind w:hangingChars="200"/>
            </w:pPr>
            <w:r>
              <w:rPr>
                <w:rFonts w:ascii="Times New Roman" w:hAnsi="Times New Roman" w:eastAsia="宋体"/>
                <w:b w:val="0"/>
                <w:i w:val="0"/>
                <w:sz w:val="21"/>
                <w:vertAlign w:val="superscript"/>
              </w:rPr>
              <w:t>[16]</w:t>
            </w:r>
            <w:r>
              <w:rPr>
                <w:rFonts w:ascii="Times New Roman" w:hAnsi="Times New Roman" w:eastAsia="宋体"/>
                <w:b w:val="0"/>
                <w:i w:val="0"/>
                <w:sz w:val="21"/>
              </w:rPr>
              <w:t xml:space="preserve"> Maesa D D F, Mori P, Ricci L. Blockchain based access control[C]//IFIP International Conference on Distributed Applications and Interoperable Systems. Springer, 2017: 206-220.</w:t>
            </w:r>
          </w:p>
          <w:p>
            <w:pPr>
              <w:spacing w:line="400" w:lineRule="exact" w:before="0" w:after="0"/>
              <w:ind w:hangingChars="200"/>
            </w:pPr>
            <w:r>
              <w:rPr>
                <w:rFonts w:ascii="Times New Roman" w:hAnsi="Times New Roman" w:eastAsia="宋体"/>
                <w:b w:val="0"/>
                <w:i w:val="0"/>
                <w:sz w:val="21"/>
                <w:vertAlign w:val="superscript"/>
              </w:rPr>
              <w:t>[17]</w:t>
            </w:r>
            <w:r>
              <w:rPr>
                <w:rFonts w:ascii="Times New Roman" w:hAnsi="Times New Roman" w:eastAsia="宋体"/>
                <w:b w:val="0"/>
                <w:i w:val="0"/>
                <w:sz w:val="21"/>
              </w:rPr>
              <w:t xml:space="preserve"> Boldyreva A, Goyal V, Kumar V. Identity-based encryption with efficient revocation[C]//Proceedings of the 15th ACM Conference on Computer and Communications Security. ACM, 2008: 417-426.</w:t>
            </w:r>
          </w:p>
          <w:p>
            <w:pPr>
              <w:spacing w:line="400" w:lineRule="exact" w:before="0" w:after="0"/>
              <w:ind w:hangingChars="200"/>
            </w:pPr>
            <w:r>
              <w:rPr>
                <w:rFonts w:ascii="Times New Roman" w:hAnsi="Times New Roman" w:eastAsia="宋体"/>
                <w:b w:val="0"/>
                <w:i w:val="0"/>
                <w:sz w:val="21"/>
                <w:vertAlign w:val="superscript"/>
              </w:rPr>
              <w:t>[18]</w:t>
            </w:r>
            <w:r>
              <w:rPr>
                <w:rFonts w:ascii="Times New Roman" w:hAnsi="Times New Roman" w:eastAsia="宋体"/>
                <w:b w:val="0"/>
                <w:i w:val="0"/>
                <w:sz w:val="21"/>
              </w:rPr>
              <w:t xml:space="preserve"> Abiteboul S, Manolescu I, Polyzotis N, et al. XML processing in DHT networks[C]//Proceedings of the 24th International Conference on Data Engineering (ICDE). IEEE, 2008: 606-615.</w:t>
            </w:r>
          </w:p>
          <w:p>
            <w:pPr>
              <w:spacing w:line="400" w:lineRule="exact" w:before="0" w:after="0"/>
              <w:ind w:hangingChars="200"/>
            </w:pPr>
            <w:r>
              <w:rPr>
                <w:rFonts w:ascii="Times New Roman" w:hAnsi="Times New Roman" w:eastAsia="宋体"/>
                <w:b w:val="0"/>
                <w:i w:val="0"/>
                <w:sz w:val="21"/>
                <w:vertAlign w:val="superscript"/>
              </w:rPr>
              <w:t>[19]</w:t>
            </w:r>
            <w:r>
              <w:rPr>
                <w:rFonts w:ascii="Times New Roman" w:hAnsi="Times New Roman" w:eastAsia="宋体"/>
                <w:b w:val="0"/>
                <w:i w:val="0"/>
                <w:sz w:val="21"/>
              </w:rPr>
              <w:t xml:space="preserve"> Rundgren A, Jordan B, Erdtman S. JSON canonicalization scheme (JCS)[S]. RFC 8785, 2020.</w:t>
            </w:r>
          </w:p>
          <w:p>
            <w:pPr>
              <w:spacing w:line="400" w:lineRule="exact" w:before="0" w:after="0"/>
              <w:ind w:hangingChars="200"/>
            </w:pPr>
            <w:r>
              <w:rPr>
                <w:rFonts w:ascii="Times New Roman" w:hAnsi="Times New Roman" w:eastAsia="宋体"/>
                <w:b w:val="0"/>
                <w:i w:val="0"/>
                <w:sz w:val="21"/>
                <w:vertAlign w:val="superscript"/>
              </w:rPr>
              <w:t>[20]</w:t>
            </w:r>
            <w:r>
              <w:rPr>
                <w:rFonts w:ascii="Times New Roman" w:hAnsi="Times New Roman" w:eastAsia="宋体"/>
                <w:b w:val="0"/>
                <w:i w:val="0"/>
                <w:sz w:val="21"/>
              </w:rPr>
              <w:t xml:space="preserve"> Claessen K, Hughes J. QuickCheck: A lightweight tool for random testing of Haskell programs[C]//Proceedings of ICFP 2000. ACM, 2000: 268-279.</w:t>
            </w:r>
          </w:p>
          <w:p>
            <w:pPr>
              <w:spacing w:line="400" w:lineRule="exact" w:before="0" w:after="0"/>
              <w:ind w:hangingChars="200"/>
            </w:pPr>
            <w:r>
              <w:rPr>
                <w:rFonts w:ascii="Times New Roman" w:hAnsi="Times New Roman" w:eastAsia="宋体"/>
                <w:b w:val="0"/>
                <w:i w:val="0"/>
                <w:sz w:val="21"/>
                <w:vertAlign w:val="superscript"/>
              </w:rPr>
              <w:t>[21]</w:t>
            </w:r>
            <w:r>
              <w:rPr>
                <w:rFonts w:ascii="Times New Roman" w:hAnsi="Times New Roman" w:eastAsia="宋体"/>
                <w:b w:val="0"/>
                <w:i w:val="0"/>
                <w:sz w:val="21"/>
              </w:rPr>
              <w:t xml:space="preserve"> Hyperledger Besu Documentation. QBFT consensus protocol[EB/OL]. [2026-08-02]. https://besu.hyperledger.org/private-networks/how-to/configure/consensus/qbft.</w:t>
            </w:r>
          </w:p>
          <w:p>
            <w:pPr>
              <w:spacing w:line="400" w:lineRule="exact" w:before="0" w:after="0"/>
              <w:ind w:hangingChars="200"/>
            </w:pPr>
            <w:r>
              <w:rPr>
                <w:rFonts w:ascii="Times New Roman" w:hAnsi="Times New Roman" w:eastAsia="宋体"/>
                <w:b w:val="0"/>
                <w:i w:val="0"/>
                <w:sz w:val="21"/>
                <w:vertAlign w:val="superscript"/>
              </w:rPr>
              <w:t>[22]</w:t>
            </w:r>
            <w:r>
              <w:rPr>
                <w:rFonts w:ascii="Times New Roman" w:hAnsi="Times New Roman" w:eastAsia="宋体"/>
                <w:b w:val="0"/>
                <w:i w:val="0"/>
                <w:sz w:val="21"/>
              </w:rPr>
              <w:t xml:space="preserve"> Josefsson S, Liusvaara I. Edwards-Curve digital signature algorithm (EdDSA)[S]. RFC 8032, 2017.</w:t>
            </w:r>
          </w:p>
          <w:p>
            <w:pPr>
              <w:spacing w:line="400" w:lineRule="exact" w:before="0" w:after="0"/>
              <w:ind w:hangingChars="200"/>
            </w:pPr>
            <w:r>
              <w:rPr>
                <w:rFonts w:ascii="Times New Roman" w:hAnsi="Times New Roman" w:eastAsia="宋体"/>
                <w:b w:val="0"/>
                <w:i w:val="0"/>
                <w:sz w:val="21"/>
                <w:vertAlign w:val="superscript"/>
              </w:rPr>
              <w:t>[23]</w:t>
            </w:r>
            <w:r>
              <w:rPr>
                <w:rFonts w:ascii="Times New Roman" w:hAnsi="Times New Roman" w:eastAsia="宋体"/>
                <w:b w:val="0"/>
                <w:i w:val="0"/>
                <w:sz w:val="21"/>
              </w:rPr>
              <w:t xml:space="preserve"> Lamport L. Time, clocks, and the ordering of events in a distributed system[J]. Communications of the ACM, 1978, 21(7): 558-565.</w:t>
            </w:r>
          </w:p>
          <w:p>
            <w:pPr>
              <w:spacing w:line="400" w:lineRule="exact" w:before="0" w:after="0"/>
              <w:ind w:hangingChars="200"/>
            </w:pPr>
            <w:r>
              <w:rPr>
                <w:rFonts w:ascii="Times New Roman" w:hAnsi="Times New Roman" w:eastAsia="宋体"/>
                <w:b w:val="0"/>
                <w:i w:val="0"/>
                <w:sz w:val="21"/>
                <w:vertAlign w:val="superscript"/>
              </w:rPr>
              <w:t>[24]</w:t>
            </w:r>
            <w:r>
              <w:rPr>
                <w:rFonts w:ascii="Times New Roman" w:hAnsi="Times New Roman" w:eastAsia="宋体"/>
                <w:b w:val="0"/>
                <w:i w:val="0"/>
                <w:sz w:val="21"/>
              </w:rPr>
              <w:t xml:space="preserve"> PostgreSQL Global Development Group. PostgreSQL 16 documentation: INSERT[EB/OL]. [2026-08-02]. https://www.postgresql.org/docs/16/sql-insert.html.</w:t>
            </w:r>
          </w:p>
          <w:p>
            <w:pPr>
              <w:spacing w:line="400" w:lineRule="exact" w:before="0" w:after="0"/>
              <w:ind w:hangingChars="200"/>
            </w:pPr>
            <w:r>
              <w:rPr>
                <w:rFonts w:ascii="Times New Roman" w:hAnsi="Times New Roman" w:eastAsia="宋体"/>
                <w:b w:val="0"/>
                <w:i w:val="0"/>
                <w:sz w:val="21"/>
                <w:vertAlign w:val="superscript"/>
              </w:rPr>
              <w:t>[25]</w:t>
            </w:r>
            <w:r>
              <w:rPr>
                <w:rFonts w:ascii="Times New Roman" w:hAnsi="Times New Roman" w:eastAsia="宋体"/>
                <w:b w:val="0"/>
                <w:i w:val="0"/>
                <w:sz w:val="21"/>
              </w:rPr>
              <w:t xml:space="preserve"> Gray J. The transaction concept: Virtues and limitations[C]//Proceedings of the 7th International Conference on Very Large Data Bases. 1981: 144-154.</w:t>
            </w:r>
          </w:p>
          <w:p>
            <w:pPr>
              <w:spacing w:line="400" w:lineRule="exact" w:before="0" w:after="0"/>
              <w:ind w:hangingChars="200"/>
            </w:pPr>
            <w:r>
              <w:rPr>
                <w:rFonts w:ascii="Times New Roman" w:hAnsi="Times New Roman" w:eastAsia="宋体"/>
                <w:b w:val="0"/>
                <w:i w:val="0"/>
                <w:sz w:val="21"/>
                <w:vertAlign w:val="superscript"/>
              </w:rPr>
              <w:t>[26]</w:t>
            </w:r>
            <w:r>
              <w:rPr>
                <w:rFonts w:ascii="Times New Roman" w:hAnsi="Times New Roman" w:eastAsia="宋体"/>
                <w:b w:val="0"/>
                <w:i w:val="0"/>
                <w:sz w:val="21"/>
              </w:rPr>
              <w:t xml:space="preserve"> Efron B. Bootstrap methods: Another look at the jackknife[J]. The Annals of Statistics, 1979, 7(1): 1-26.</w:t>
            </w:r>
          </w:p>
          <w:p>
            <w:pPr>
              <w:spacing w:line="400" w:lineRule="exact" w:before="0" w:after="0"/>
              <w:ind w:hangingChars="200"/>
            </w:pPr>
            <w:r>
              <w:rPr>
                <w:rFonts w:ascii="Times New Roman" w:hAnsi="Times New Roman" w:eastAsia="宋体"/>
                <w:b w:val="0"/>
                <w:i w:val="0"/>
                <w:sz w:val="21"/>
                <w:vertAlign w:val="superscript"/>
              </w:rPr>
              <w:t>[27]</w:t>
            </w:r>
            <w:r>
              <w:rPr>
                <w:rFonts w:ascii="Times New Roman" w:hAnsi="Times New Roman" w:eastAsia="宋体"/>
                <w:b w:val="0"/>
                <w:i w:val="0"/>
                <w:sz w:val="21"/>
              </w:rPr>
              <w:t xml:space="preserve"> Dworkin M. Recommendation for block cipher modes of operation: Galois/Counter Mode (GCM) and GMAC[S]. NIST Special Publication 800-38D, 2007.</w:t>
            </w:r>
          </w:p>
          <w:p>
            <w:pPr>
              <w:spacing w:line="400" w:lineRule="exact" w:before="0" w:after="0"/>
              <w:ind w:hangingChars="200"/>
            </w:pPr>
            <w:r>
              <w:rPr>
                <w:rFonts w:ascii="Times New Roman" w:hAnsi="Times New Roman" w:eastAsia="宋体"/>
                <w:b w:val="0"/>
                <w:i w:val="0"/>
                <w:sz w:val="21"/>
                <w:vertAlign w:val="superscript"/>
              </w:rPr>
              <w:t>[28]</w:t>
            </w:r>
            <w:r>
              <w:rPr>
                <w:rFonts w:ascii="Times New Roman" w:hAnsi="Times New Roman" w:eastAsia="宋体"/>
                <w:b w:val="0"/>
                <w:i w:val="0"/>
                <w:sz w:val="21"/>
              </w:rPr>
              <w:t xml:space="preserve"> Barnes R, Bhargavan K, Lipp B, et al. Hybrid public key encryption[S]. RFC 9180, 2022.</w:t>
            </w:r>
          </w:p>
          <w:p>
            <w:pPr>
              <w:spacing w:line="400" w:lineRule="exact" w:before="0" w:after="0"/>
              <w:ind w:hangingChars="200"/>
            </w:pPr>
            <w:r>
              <w:rPr>
                <w:rFonts w:ascii="Times New Roman" w:hAnsi="Times New Roman" w:eastAsia="宋体"/>
                <w:b w:val="0"/>
                <w:i w:val="0"/>
                <w:sz w:val="21"/>
                <w:vertAlign w:val="superscript"/>
              </w:rPr>
              <w:t>[29]</w:t>
            </w:r>
            <w:r>
              <w:rPr>
                <w:rFonts w:ascii="Times New Roman" w:hAnsi="Times New Roman" w:eastAsia="宋体"/>
                <w:b w:val="0"/>
                <w:i w:val="0"/>
                <w:sz w:val="21"/>
              </w:rPr>
              <w:t xml:space="preserve"> Benet J. IPFS - Content addressed, versioned, P2P file system[EB/OL]. arXiv:1407.3561, 2014[2026-08-02]. https://arxiv.org/abs/1407.3561.</w:t>
            </w:r>
          </w:p>
        </w:tc>
      </w:tr>
      <w:tr w:rsidR="009273EA" w:rsidRPr="00631781" w14:paraId="5E227998" w14:textId="77777777" w:rsidTr="009273EA">
        <w:trPr>
          <w:trHeight w:val="340"/>
          <w:jc w:val="center"/>
        </w:trPr>
        <w:tc>
          <w:tcPr>
            <w:tcW w:w="5000" w:type="pct"/>
            <w:gridSpan w:val="2"/>
            <w:vAlign w:val="center"/>
          </w:tcPr>
          <w:p w14:paraId="5E4D7F88" w14:textId="1EBA5AD1" w:rsidR="009273EA" w:rsidRPr="009273EA" w:rsidRDefault="000668D1" w:rsidP="00EC48EC">
            <w:pPr>
              <w:rPr>
                <w:b/>
                <w:sz w:val="24"/>
              </w:rPr>
            </w:pPr>
            <w:r>
              <w:rPr>
                <w:rFonts w:ascii="宋体" w:hAnsi="宋体"/>
                <w:b/>
                <w:sz w:val="24"/>
              </w:rPr>
              <w:lastRenderedPageBreak/>
              <w:t>4</w:t>
            </w:r>
            <w:r w:rsidR="00F866B1">
              <w:rPr>
                <w:rFonts w:ascii="宋体" w:hAnsi="宋体" w:hint="eastAsia"/>
                <w:b/>
                <w:sz w:val="24"/>
              </w:rPr>
              <w:t>．</w:t>
            </w:r>
            <w:r w:rsidR="00EC48EC">
              <w:rPr>
                <w:rFonts w:ascii="宋体" w:hAnsi="宋体"/>
                <w:b/>
                <w:sz w:val="24"/>
              </w:rPr>
              <w:t xml:space="preserve"> </w:t>
            </w:r>
            <w:r w:rsidR="006537FF">
              <w:rPr>
                <w:rFonts w:ascii="宋体" w:hAnsi="宋体" w:hint="eastAsia"/>
                <w:b/>
                <w:sz w:val="24"/>
              </w:rPr>
              <w:t>阶段</w:t>
            </w:r>
            <w:r w:rsidR="0007655E">
              <w:rPr>
                <w:rFonts w:ascii="宋体" w:hAnsi="宋体" w:hint="eastAsia"/>
                <w:b/>
                <w:sz w:val="24"/>
              </w:rPr>
              <w:t>性</w:t>
            </w:r>
            <w:r w:rsidR="00EC48EC">
              <w:rPr>
                <w:rFonts w:ascii="宋体" w:hAnsi="宋体" w:hint="eastAsia"/>
                <w:b/>
                <w:sz w:val="24"/>
              </w:rPr>
              <w:t>研究成果</w:t>
            </w:r>
          </w:p>
        </w:tc>
      </w:tr>
      <w:tr w:rsidR="009273EA" w:rsidRPr="00631781" w14:paraId="648FB1F6" w14:textId="77777777" w:rsidTr="005B771B">
        <w:trPr>
          <w:trHeight w:val="4226"/>
          <w:jc w:val="center"/>
        </w:trPr>
        <w:tc>
          <w:tcPr>
            <w:tcW w:w="5000" w:type="pct"/>
            <w:gridSpan w:val="2"/>
          </w:tcPr>
          <w:p>
            <w:pPr>
              <w:spacing w:line="400" w:lineRule="exact" w:before="0" w:after="0"/>
              <w:ind/>
            </w:pPr>
            <w:r>
              <w:rPr>
                <w:rFonts w:ascii="Times New Roman" w:hAnsi="Times New Roman" w:eastAsia="宋体"/>
                <w:b/>
                <w:i w:val="0"/>
                <w:sz w:val="24"/>
              </w:rPr>
              <w:t>[1] 王威, 夏琦, 高建彬, 夏虎. 基于许可联盟链状态锚定与共享 Nonce 的授权执行方法[J]. 软件学报（论文初稿已完成，拟投稿）.</w:t>
            </w:r>
          </w:p>
          <w:p>
            <w:pPr>
              <w:spacing w:line="400" w:lineRule="exact" w:before="0" w:after="0"/>
              <w:ind/>
            </w:pPr>
            <w:r>
              <w:rPr>
                <w:rFonts w:ascii="Times New Roman" w:hAnsi="Times New Roman" w:eastAsia="宋体"/>
                <w:b/>
                <w:i w:val="0"/>
                <w:sz w:val="24"/>
              </w:rPr>
              <w:t>[2] 王威, 高建彬, 王鹏. 一种非连续时间访问策略的确定性编译方法及系统: 中国, [P].（专利撰写中，拟申请）.</w:t>
            </w:r>
          </w:p>
          <w:p>
            <w:pPr>
              <w:spacing w:line="400" w:lineRule="exact" w:before="0" w:after="0"/>
              <w:ind/>
            </w:pPr>
            <w:r>
              <w:rPr>
                <w:rFonts w:ascii="Times New Roman" w:hAnsi="Times New Roman" w:eastAsia="宋体"/>
                <w:b/>
                <w:i w:val="0"/>
                <w:sz w:val="24"/>
              </w:rPr>
              <w:t>[3] 王威, 高建彬, 王鹏. 一种链上可信授权与版本化密文对象管理方法及系统: 中国, [P].（专利撰写中，拟申请）.</w:t>
            </w:r>
          </w:p>
          <w:p>
            <w:pPr>
              <w:spacing w:line="400" w:lineRule="exact" w:before="0" w:after="0"/>
              <w:ind/>
            </w:pPr>
            <w:r>
              <w:rPr>
                <w:rFonts w:ascii="Times New Roman" w:hAnsi="Times New Roman" w:eastAsia="宋体"/>
                <w:b w:val="0"/>
                <w:i w:val="0"/>
                <w:sz w:val="24"/>
              </w:rPr>
              <w:t>另：三套可复现原型与冻结实验数据集（时间策略编译、许可链授权执行、版本化密文头部与撤销恢复）。</w:t>
            </w:r>
          </w:p>
        </w:tc>
      </w:tr>
    </w:tbl>
    <w:p w14:paraId="77AB052D" w14:textId="77777777" w:rsidR="00703787" w:rsidRDefault="00DA22C9" w:rsidP="009273EA">
      <w:pPr>
        <w:numPr>
          <w:ilvl w:val="0"/>
          <w:numId w:val="5"/>
        </w:numPr>
        <w:rPr>
          <w:b/>
          <w:bCs/>
          <w:sz w:val="36"/>
        </w:rPr>
      </w:pPr>
      <w:r>
        <w:br w:type="page"/>
      </w:r>
      <w:r w:rsidR="009273EA" w:rsidRPr="009273EA">
        <w:rPr>
          <w:rFonts w:ascii="黑体" w:eastAsia="黑体" w:hAnsi="黑体" w:hint="eastAsia"/>
          <w:bCs/>
          <w:sz w:val="28"/>
        </w:rPr>
        <w:lastRenderedPageBreak/>
        <w:t>存在的主要问题和解决办法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665FAB37" w14:textId="77777777" w:rsidTr="00B358B5">
        <w:trPr>
          <w:trHeight w:val="6803"/>
          <w:jc w:val="center"/>
        </w:trPr>
        <w:tc>
          <w:tcPr>
            <w:tcW w:w="5000" w:type="pct"/>
          </w:tcPr>
          <w:p>
            <w:pPr>
              <w:spacing w:line="400" w:lineRule="exact" w:before="0" w:after="0"/>
              <w:ind/>
            </w:pPr>
            <w:r>
              <w:rPr>
                <w:rFonts w:ascii="Times New Roman" w:hAnsi="Times New Roman" w:eastAsia="宋体"/>
                <w:b/>
                <w:i w:val="0"/>
                <w:sz w:val="24"/>
              </w:rPr>
              <w:t>1．未按开题计划完成的研究工作，研究工作存在的原理性、技术性难题以及在实验条件等方面的限制（可续页）</w:t>
            </w:r>
          </w:p>
          <w:p>
            <w:pPr>
              <w:spacing w:line="360" w:lineRule="exact" w:before="0" w:after="0"/>
              <w:ind w:firstLineChars="200"/>
            </w:pPr>
            <w:r>
              <w:rPr>
                <w:rFonts w:ascii="Times New Roman" w:hAnsi="Times New Roman" w:eastAsia="宋体"/>
                <w:b w:val="0"/>
                <w:i w:val="0"/>
                <w:sz w:val="24"/>
              </w:rPr>
              <w:t>总体来看，当前研究已形成“策略表示—可信授权执行—密文生命周期治理”的技术闭环，三项研究内容的核心机制与正式实验均已达到阶段性完成状态。对照中期考评对“技术路线基本闭合、后续转向整合与深化”的定位，当前仍存在以下三个需要进一步推进的问题。</w:t>
            </w:r>
          </w:p>
          <w:p>
            <w:pPr>
              <w:spacing w:line="360" w:lineRule="exact" w:before="0" w:after="0"/>
              <w:ind w:firstLineChars="200"/>
            </w:pPr>
            <w:r>
              <w:rPr>
                <w:rFonts w:ascii="Times New Roman" w:hAnsi="Times New Roman" w:eastAsia="宋体"/>
                <w:b w:val="0"/>
                <w:i w:val="0"/>
                <w:sz w:val="24"/>
              </w:rPr>
              <w:t>（1）三项研究内容的整体理论贯通与统一抽象仍需加强。研究内容一至三分别形成了较为完整的方法、原型与实验结果，但作为一篇完整的中期研究报告，需要把时间语义表示、链上状态锚定、密文对象版本化三者的接口关系与安全假设整理为连续、自洽的学术论证；研究内容二的安全属性与故障模型、研究内容三的版本一致性论证目前仍以实验验证为主，需要进一步明确实验验证与形式化证明的边界，避免对安全性质作过强概括。</w:t>
            </w:r>
          </w:p>
          <w:p>
            <w:pPr>
              <w:spacing w:line="360" w:lineRule="exact" w:before="0" w:after="0"/>
              <w:ind w:firstLineChars="200"/>
            </w:pPr>
            <w:r>
              <w:rPr>
                <w:rFonts w:ascii="Times New Roman" w:hAnsi="Times New Roman" w:eastAsia="宋体"/>
                <w:b w:val="0"/>
                <w:i w:val="0"/>
                <w:sz w:val="24"/>
              </w:rPr>
              <w:t>（2）关键机制的对比论证与实验支撑仍需强化。本报告引用的相关路线（普通令牌、属性基加密、中心化授权、去中心化存储等）在背景部分已有初步对照，但面向时间约束策略表示、状态锚定执行、版本化撤销传导等机制的定量对比仍不充分；实验方面，缓存与层次覆盖的协议级收益、批量密文头更新与更多验证实例的一致性表现尚未在更大规模下验证，现有结论的适用范围需要随证据边界如实表述。</w:t>
            </w:r>
          </w:p>
          <w:p>
            <w:pPr>
              <w:spacing w:line="360" w:lineRule="exact" w:before="0" w:after="0"/>
              <w:ind w:firstLineChars="200"/>
            </w:pPr>
            <w:r>
              <w:rPr>
                <w:rFonts w:ascii="Times New Roman" w:hAnsi="Times New Roman" w:eastAsia="宋体"/>
                <w:b w:val="0"/>
                <w:i w:val="0"/>
                <w:sz w:val="24"/>
              </w:rPr>
              <w:t>（3）最终论文集成、规范表达与成果凝练仍需推进。三项研究内容的核心机制与正式实验均已形成，但作为中期报告后续向学位论文过渡，仍需统一符号与术语体系、完善相关工作综述、规范参考文献与图表的交叉引用，并把阶段性成果整理为符合发表规范的论文与专利文本。从计划管理角度看，上述问题的解决顺序为：先完成论文结构整合与理论表述（问题一），再完善相关工作与创新边界（问题三），随后在条件允许时补充扩展实验与对比实验（问题二），最后完成全文定稿。这一顺序保证论文主线始终清晰，扩展实验服务于结论而不占用主线时间；每项问题都有明确的解决措施、验证方式与完成标准，进度可在后续阶段对照检查，避免出现“问题列出但无跟进”的情况。</w:t>
            </w:r>
          </w:p>
          <w:p>
            <w:pPr>
              <w:spacing w:line="360" w:lineRule="exact" w:before="0" w:after="0"/>
              <w:ind w:firstLineChars="200"/>
            </w:pPr>
            <w:r>
              <w:rPr>
                <w:rFonts w:ascii="Times New Roman" w:hAnsi="Times New Roman" w:eastAsia="宋体"/>
                <w:b w:val="0"/>
                <w:i w:val="0"/>
                <w:sz w:val="24"/>
              </w:rPr>
              <w:t>在结论表述方面，现有负结果（缓存与层次覆盖无稳定端到端收益、Kubo 正常路径无稳定性能优势）均基于配对比较与 95% 置信区间跨越 0 的统计判断，而非单一运行的平均值比较；论文写作需要保留这一统计边界，避免把“未观察到稳定差异”表述为“两者等价”或“证明无差异”。统计推断以冻结的重复次数与预注册规则为边界，任何超出该边界的推断都需要补充实验支持。</w:t>
            </w:r>
          </w:p>
        </w:tc>
      </w:tr>
    </w:tbl>
    <w:p w14:paraId="420B4A7A" w14:textId="77777777" w:rsidR="009C1E96" w:rsidRDefault="009C1E96">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0D0530" w14:paraId="04756B14" w14:textId="77777777" w:rsidTr="00B358B5">
        <w:trPr>
          <w:trHeight w:val="7030"/>
          <w:jc w:val="center"/>
        </w:trPr>
        <w:tc>
          <w:tcPr>
            <w:tcW w:w="5000" w:type="pct"/>
          </w:tcPr>
          <w:p>
            <w:pPr>
              <w:spacing w:line="400" w:lineRule="exact" w:before="0" w:after="0"/>
              <w:ind/>
            </w:pPr>
            <w:r>
              <w:rPr>
                <w:rFonts w:ascii="Times New Roman" w:hAnsi="Times New Roman" w:eastAsia="宋体"/>
                <w:b/>
                <w:i w:val="0"/>
                <w:sz w:val="24"/>
              </w:rPr>
              <w:t>2．针对上述问题采取何种解决办法，对学位论文的研究内容及所采取的理论方法、技术路线和实施方案的进一步调整，以及下一步研究计划（可续页）</w:t>
            </w:r>
          </w:p>
          <w:p>
            <w:pPr>
              <w:spacing w:line="360" w:lineRule="exact" w:before="0" w:after="0"/>
              <w:ind w:firstLineChars="200"/>
            </w:pPr>
            <w:r>
              <w:rPr>
                <w:rFonts w:ascii="Times New Roman" w:hAnsi="Times New Roman" w:eastAsia="宋体"/>
                <w:b w:val="0"/>
                <w:i w:val="0"/>
                <w:sz w:val="24"/>
              </w:rPr>
              <w:t>针对上述问题，后续将沿理论贯通、对比强化、集成凝练三条主线继续推进，每条问题均有对应的解决办法与可验证的完成标准，具体时间安排统一在后续研究计划中说明。</w:t>
            </w:r>
          </w:p>
          <w:p>
            <w:pPr>
              <w:spacing w:line="360" w:lineRule="exact" w:before="0" w:after="0"/>
              <w:ind w:firstLineChars="200"/>
            </w:pPr>
            <w:r>
              <w:rPr>
                <w:rFonts w:ascii="Times New Roman" w:hAnsi="Times New Roman" w:eastAsia="宋体"/>
                <w:b w:val="0"/>
                <w:i w:val="0"/>
                <w:sz w:val="24"/>
              </w:rPr>
              <w:t>（1）针对理论贯通与统一抽象问题，将按“统一语义—可信授权执行—密文生命周期闭合”的主线重构论证结构，统一符号与术语，把三项研究内容之间的接口关系整理为可引用的命题形式；理论层面补充研究内容二的安全属性说明与研究内容三的版本一致性论证，明确区分实验验证与形式化证明的边界。验证方式为逐章对照审稿检查表，完成标准为各研究内容接口一致、术语统一、边界表述与冻结证据一致。</w:t>
            </w:r>
          </w:p>
          <w:p>
            <w:pPr>
              <w:spacing w:line="360" w:lineRule="exact" w:before="0" w:after="0"/>
              <w:ind w:firstLineChars="200"/>
            </w:pPr>
            <w:r>
              <w:rPr>
                <w:rFonts w:ascii="Times New Roman" w:hAnsi="Times New Roman" w:eastAsia="宋体"/>
                <w:b w:val="0"/>
                <w:i w:val="0"/>
                <w:sz w:val="24"/>
              </w:rPr>
              <w:t>（2）针对对比论证与实验支撑问题，将基于已核验的文献扩充相关工作综述，以对比表整理各路线在时间语义表达、状态锚定、重放控制、撤销传导与恢复能力上的差异；对每一处创新性表述建立证据对照。实验方面按预注册设计补充协议级收益与规模扩展实验，每项扩展先明确假设与指标再执行，无法完成的扩展如实列入论文局限与未来工作。验证方式为文献来源抽查与实验设计预注册检查，完成标准为创新边界与证据一致、扩展实验边界明确。</w:t>
            </w:r>
          </w:p>
          <w:p>
            <w:pPr>
              <w:spacing w:line="360" w:lineRule="exact" w:before="0" w:after="0"/>
              <w:ind w:firstLineChars="200"/>
            </w:pPr>
            <w:r>
              <w:rPr>
                <w:rFonts w:ascii="Times New Roman" w:hAnsi="Times New Roman" w:eastAsia="宋体"/>
                <w:b w:val="0"/>
                <w:i w:val="0"/>
                <w:sz w:val="24"/>
              </w:rPr>
              <w:t>（3）针对论文集成与成果凝练问题，将统一全文符号与参考文献系统，完善图表交叉引用与阶段性成果的规范表述；论文初稿围绕研究内容二或三组织核心章节，专利文本按当前方案方向撰写，所有成果状态均采用“已完成初稿/拟投稿/拟申请”的稳妥表述，不虚构发表或授权状态。验证方式为格式规范逐项检查，完成标准为中期报告可直接作为学位论文相关章节的写作基础。下一步具体研究计划（时间以实际中期考评与毕业安排为准）：</w:t>
            </w:r>
          </w:p>
          <w:p>
            <w:pPr>
              <w:spacing w:line="360" w:lineRule="exact" w:before="0" w:after="0"/>
              <w:ind w:firstLineChars="200"/>
            </w:pPr>
            <w:r>
              <w:rPr>
                <w:rFonts w:ascii="Times New Roman" w:hAnsi="Times New Roman" w:eastAsia="宋体"/>
                <w:b w:val="0"/>
                <w:i w:val="0"/>
                <w:sz w:val="24"/>
              </w:rPr>
              <w:t>阶段1（2026年9月—10月）：完成三项研究内容的论文级整合，统一术语、符号与接口表述；完善相关工作综述与既有路线对比，形成创新边界说明；完成论文整体结构与章节篇幅规划。</w:t>
            </w:r>
          </w:p>
          <w:p>
            <w:pPr>
              <w:spacing w:line="360" w:lineRule="exact" w:before="0" w:after="0"/>
              <w:ind w:firstLineChars="200"/>
            </w:pPr>
            <w:r>
              <w:rPr>
                <w:rFonts w:ascii="Times New Roman" w:hAnsi="Times New Roman" w:eastAsia="宋体"/>
                <w:b w:val="0"/>
                <w:i w:val="0"/>
                <w:sz w:val="24"/>
              </w:rPr>
              <w:t>阶段2（2026年11月—12月）：深化理论表述与结论边界整理，按需补充针对性扩展实验（缓存协议收益、批量 Header 更新、更多 Verifier 一致性等）；完成全文图表、公式与参考文献规范化，以及一致性、数字与引用审计。</w:t>
            </w:r>
          </w:p>
          <w:p>
            <w:pPr>
              <w:spacing w:line="360" w:lineRule="exact" w:before="0" w:after="0"/>
              <w:ind w:firstLineChars="200"/>
            </w:pPr>
            <w:r>
              <w:rPr>
                <w:rFonts w:ascii="Times New Roman" w:hAnsi="Times New Roman" w:eastAsia="宋体"/>
                <w:b w:val="0"/>
                <w:i w:val="0"/>
                <w:sz w:val="24"/>
              </w:rPr>
              <w:t>阶段3（2027年1月—3月）：完成学位论文全文定稿、格式审查与盲审准备；根据导师与专家意见进行最后一轮修改，并同步完成答辩材料准备。</w:t>
            </w:r>
          </w:p>
          <w:p>
            <w:pPr>
              <w:spacing w:line="360" w:lineRule="exact" w:before="0" w:after="0"/>
              <w:ind w:firstLineChars="200"/>
            </w:pPr>
            <w:r>
              <w:rPr>
                <w:rFonts w:ascii="Times New Roman" w:hAnsi="Times New Roman" w:eastAsia="宋体"/>
                <w:b w:val="0"/>
                <w:i w:val="0"/>
                <w:sz w:val="24"/>
              </w:rPr>
              <w:t>各阶段均以可交付成果为节点：阶段1交付论文结构与章节草稿、相关工作综述与创新边界说明；阶段2交付理论表述完善稿、扩展实验报告与规范化后的全文；阶段3交付提交盲审的完整论文。若某阶段因客观原因延迟，将优先保证论文主线质量，再补充扩展内容，并通过阶段检查及时调整安排。</w:t>
            </w:r>
          </w:p>
          <w:p>
            <w:pPr>
              <w:spacing w:line="360" w:lineRule="exact" w:before="0" w:after="0"/>
              <w:ind w:firstLineChars="200"/>
            </w:pPr>
            <w:r>
              <w:rPr>
                <w:rFonts w:ascii="Times New Roman" w:hAnsi="Times New Roman" w:eastAsia="宋体"/>
                <w:b w:val="0"/>
                <w:i w:val="0"/>
                <w:sz w:val="24"/>
              </w:rPr>
              <w:t>上述计划的时间节点以实际中期考评时间与学校毕业安排为准，若考评时间或培养计划调整，各阶段起止时间相应平移，但阶段顺序与交付成果保持不变。计划的可行性建立在已有工作基础上：三项研究内容的核心实验均已冻结，后续以写作、整合与针对性验证为主，风险可控、可跟踪。</w:t>
            </w:r>
          </w:p>
        </w:tc>
      </w:tr>
    </w:tbl>
    <w:p w14:paraId="2799A2E7" w14:textId="77777777" w:rsidR="00703787" w:rsidRPr="00B60A66" w:rsidRDefault="00D75508" w:rsidP="00AF3B27">
      <w:pPr>
        <w:numPr>
          <w:ilvl w:val="0"/>
          <w:numId w:val="5"/>
        </w:numPr>
        <w:rPr>
          <w:b/>
          <w:bCs/>
          <w:sz w:val="36"/>
        </w:rPr>
      </w:pPr>
      <w:r>
        <w:lastRenderedPageBreak/>
        <w:br w:type="page"/>
      </w:r>
      <w:r w:rsidR="0078740E">
        <w:rPr>
          <w:rFonts w:ascii="黑体" w:eastAsia="黑体" w:hAnsi="黑体" w:hint="eastAsia"/>
          <w:bCs/>
          <w:sz w:val="28"/>
        </w:rPr>
        <w:lastRenderedPageBreak/>
        <w:t>中期考评审查</w:t>
      </w:r>
      <w:r w:rsidR="00703787" w:rsidRPr="00B60A66">
        <w:rPr>
          <w:rFonts w:ascii="黑体" w:eastAsia="黑体" w:hAnsi="黑体" w:hint="eastAsia"/>
          <w:bCs/>
          <w:sz w:val="28"/>
        </w:rPr>
        <w:t>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1129"/>
        <w:gridCol w:w="2417"/>
        <w:gridCol w:w="2171"/>
        <w:gridCol w:w="3905"/>
      </w:tblGrid>
      <w:tr w:rsidR="00703787" w14:paraId="5EFB1563" w14:textId="77777777" w:rsidTr="00447CCC">
        <w:trPr>
          <w:cantSplit/>
          <w:trHeight w:val="3958"/>
          <w:jc w:val="center"/>
        </w:trPr>
        <w:tc>
          <w:tcPr>
            <w:tcW w:w="5000" w:type="pct"/>
            <w:gridSpan w:val="4"/>
            <w:tcBorders>
              <w:bottom w:val="nil"/>
            </w:tcBorders>
          </w:tcPr>
          <w:p w14:paraId="4C0B3A14" w14:textId="74429CE5" w:rsidR="00703787" w:rsidRPr="00626BBF" w:rsidRDefault="00703787" w:rsidP="003012C0">
            <w:pPr>
              <w:spacing w:afterLines="50" w:after="120"/>
              <w:rPr>
                <w:rFonts w:eastAsia="楷体"/>
                <w:sz w:val="24"/>
              </w:rPr>
            </w:pPr>
            <w:r w:rsidRPr="00626BBF">
              <w:rPr>
                <w:rFonts w:eastAsia="楷体" w:hint="eastAsia"/>
                <w:sz w:val="24"/>
              </w:rPr>
              <w:t>1</w:t>
            </w:r>
            <w:r w:rsidR="00316026">
              <w:rPr>
                <w:rFonts w:eastAsia="楷体" w:hint="eastAsia"/>
                <w:sz w:val="24"/>
              </w:rPr>
              <w:t>。</w:t>
            </w:r>
            <w:r w:rsidRPr="00626BBF">
              <w:rPr>
                <w:rFonts w:eastAsia="楷体" w:hint="eastAsia"/>
                <w:sz w:val="24"/>
              </w:rPr>
              <w:t>导师对</w:t>
            </w:r>
            <w:r w:rsidR="00C92241">
              <w:rPr>
                <w:rFonts w:eastAsia="楷体" w:hint="eastAsia"/>
                <w:sz w:val="24"/>
              </w:rPr>
              <w:t>工作进展</w:t>
            </w:r>
            <w:r w:rsidR="00FD7060">
              <w:rPr>
                <w:rFonts w:ascii="楷体" w:eastAsia="楷体" w:hAnsi="楷体" w:hint="eastAsia"/>
                <w:sz w:val="24"/>
              </w:rPr>
              <w:t>及研究计划的</w:t>
            </w:r>
            <w:r w:rsidRPr="00626BBF">
              <w:rPr>
                <w:rFonts w:eastAsia="楷体" w:hint="eastAsia"/>
                <w:sz w:val="24"/>
              </w:rPr>
              <w:t>意见：</w:t>
            </w:r>
          </w:p>
          <w:p w14:paraId="65BFFA03" w14:textId="77777777" w:rsidR="00703787" w:rsidRDefault="00703787" w:rsidP="00E71173"/>
          <w:p w14:paraId="10E742BF" w14:textId="77777777" w:rsidR="00E71173" w:rsidRDefault="00E71173" w:rsidP="00E71173"/>
          <w:p w14:paraId="12F86451" w14:textId="77777777" w:rsidR="00E71173" w:rsidRDefault="00E71173" w:rsidP="00E71173"/>
          <w:p w14:paraId="5E2D437A" w14:textId="77777777" w:rsidR="00E71173" w:rsidRDefault="00E71173" w:rsidP="00E71173"/>
          <w:p w14:paraId="0982872D" w14:textId="77777777" w:rsidR="00B1113E" w:rsidRDefault="00B1113E" w:rsidP="00E71173"/>
          <w:p w14:paraId="6F887361" w14:textId="77777777" w:rsidR="00B1113E" w:rsidRDefault="00B1113E" w:rsidP="00E71173"/>
          <w:p w14:paraId="60BF4C9E" w14:textId="77777777" w:rsidR="00B1113E" w:rsidRDefault="00B1113E" w:rsidP="00E71173"/>
          <w:p w14:paraId="25EB3752" w14:textId="77777777" w:rsidR="00B1113E" w:rsidRDefault="00B1113E" w:rsidP="00E71173"/>
          <w:p w14:paraId="4BB60A2C" w14:textId="77777777" w:rsidR="00E71173" w:rsidRDefault="00E71173" w:rsidP="00E71173"/>
          <w:p w14:paraId="21B11B78" w14:textId="77777777" w:rsidR="00E71173" w:rsidRDefault="00E71173" w:rsidP="00E71173">
            <w:pPr>
              <w:spacing w:line="720" w:lineRule="auto"/>
            </w:pPr>
            <w:r>
              <w:rPr>
                <w:rFonts w:hint="eastAsia"/>
              </w:rPr>
              <w:t>校内导师（组）签字：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rsidR="00525648">
              <w:t xml:space="preserve"> </w:t>
            </w:r>
            <w:r>
              <w:t xml:space="preserve">   </w:t>
            </w:r>
            <w:r>
              <w:rPr>
                <w:rFonts w:hint="eastAsia"/>
              </w:rPr>
              <w:t>日</w:t>
            </w:r>
          </w:p>
          <w:p w14:paraId="22778A23" w14:textId="77777777" w:rsidR="00E71173" w:rsidRPr="008A35EB" w:rsidRDefault="00E71173" w:rsidP="00525648">
            <w:pPr>
              <w:spacing w:line="480" w:lineRule="auto"/>
            </w:pP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sidR="005C786E">
              <w:t xml:space="preserve"> </w:t>
            </w:r>
            <w:r>
              <w:t xml:space="preserve">  </w:t>
            </w:r>
            <w:r>
              <w:rPr>
                <w:rFonts w:hint="eastAsia"/>
              </w:rPr>
              <w:t>月</w:t>
            </w:r>
            <w:r>
              <w:rPr>
                <w:rFonts w:hint="eastAsia"/>
              </w:rPr>
              <w:t xml:space="preserve"> </w:t>
            </w:r>
            <w:r>
              <w:t xml:space="preserve">  </w:t>
            </w:r>
            <w:r w:rsidR="00525648">
              <w:t xml:space="preserve"> </w:t>
            </w:r>
            <w:r>
              <w:t xml:space="preserve"> </w:t>
            </w:r>
            <w:r>
              <w:rPr>
                <w:rFonts w:hint="eastAsia"/>
              </w:rPr>
              <w:t>日</w:t>
            </w:r>
          </w:p>
        </w:tc>
      </w:tr>
      <w:tr w:rsidR="00703787" w14:paraId="30D53299" w14:textId="77777777" w:rsidTr="00447CCC">
        <w:trPr>
          <w:cantSplit/>
          <w:trHeight w:val="397"/>
          <w:jc w:val="center"/>
        </w:trPr>
        <w:tc>
          <w:tcPr>
            <w:tcW w:w="5000" w:type="pct"/>
            <w:gridSpan w:val="4"/>
            <w:vAlign w:val="center"/>
          </w:tcPr>
          <w:p w14:paraId="61706B67" w14:textId="56FF4926" w:rsidR="00703787" w:rsidRPr="004B2BFD" w:rsidRDefault="00703787" w:rsidP="006C60BD">
            <w:pPr>
              <w:rPr>
                <w:b/>
                <w:sz w:val="24"/>
              </w:rPr>
            </w:pPr>
            <w:r w:rsidRPr="004B2BFD">
              <w:rPr>
                <w:rFonts w:hint="eastAsia"/>
                <w:b/>
                <w:sz w:val="24"/>
              </w:rPr>
              <w:t>2</w:t>
            </w:r>
            <w:r w:rsidR="00316026">
              <w:rPr>
                <w:rFonts w:ascii="宋体" w:hAnsi="宋体" w:hint="eastAsia"/>
                <w:b/>
                <w:sz w:val="24"/>
              </w:rPr>
              <w:t>。</w:t>
            </w:r>
            <w:r w:rsidR="006C60BD">
              <w:rPr>
                <w:rFonts w:ascii="宋体" w:hAnsi="宋体" w:hint="eastAsia"/>
                <w:b/>
                <w:sz w:val="24"/>
              </w:rPr>
              <w:t>中期考评专家</w:t>
            </w:r>
            <w:r w:rsidR="004B2BFD" w:rsidRPr="004B2BFD">
              <w:rPr>
                <w:rFonts w:ascii="宋体" w:hAnsi="宋体" w:hint="eastAsia"/>
                <w:b/>
                <w:sz w:val="24"/>
              </w:rPr>
              <w:t>组</w:t>
            </w:r>
            <w:r w:rsidRPr="004B2BFD">
              <w:rPr>
                <w:rFonts w:ascii="宋体" w:hAnsi="宋体" w:hint="eastAsia"/>
                <w:b/>
                <w:sz w:val="24"/>
              </w:rPr>
              <w:t>意见</w:t>
            </w:r>
          </w:p>
        </w:tc>
      </w:tr>
      <w:tr w:rsidR="00C813C1" w14:paraId="30852D16" w14:textId="77777777" w:rsidTr="008E5109">
        <w:trPr>
          <w:cantSplit/>
          <w:trHeight w:val="397"/>
          <w:jc w:val="center"/>
        </w:trPr>
        <w:tc>
          <w:tcPr>
            <w:tcW w:w="587" w:type="pct"/>
            <w:vAlign w:val="center"/>
          </w:tcPr>
          <w:p w14:paraId="7E02EBCC" w14:textId="77777777" w:rsidR="00C813C1" w:rsidRDefault="006C60BD" w:rsidP="00C813C1">
            <w:pPr>
              <w:jc w:val="center"/>
              <w:rPr>
                <w:sz w:val="24"/>
              </w:rPr>
            </w:pPr>
            <w:r>
              <w:rPr>
                <w:rFonts w:hint="eastAsia"/>
                <w:sz w:val="24"/>
              </w:rPr>
              <w:t>考评</w:t>
            </w:r>
            <w:r w:rsidR="00C813C1">
              <w:rPr>
                <w:rFonts w:hint="eastAsia"/>
                <w:sz w:val="24"/>
              </w:rPr>
              <w:t>日期</w:t>
            </w:r>
          </w:p>
        </w:tc>
        <w:tc>
          <w:tcPr>
            <w:tcW w:w="1256" w:type="pct"/>
            <w:vAlign w:val="center"/>
          </w:tcPr>
          <w:p w14:paraId="511CF79B" w14:textId="77777777" w:rsidR="00C813C1" w:rsidRDefault="00C813C1" w:rsidP="00C813C1">
            <w:pPr>
              <w:jc w:val="center"/>
              <w:rPr>
                <w:sz w:val="24"/>
              </w:rPr>
            </w:pPr>
          </w:p>
        </w:tc>
        <w:tc>
          <w:tcPr>
            <w:tcW w:w="1128" w:type="pct"/>
            <w:vAlign w:val="center"/>
          </w:tcPr>
          <w:p w14:paraId="5F53D0F2" w14:textId="77777777" w:rsidR="00C813C1" w:rsidRDefault="006C60BD" w:rsidP="00C813C1">
            <w:pPr>
              <w:jc w:val="center"/>
              <w:rPr>
                <w:sz w:val="24"/>
              </w:rPr>
            </w:pPr>
            <w:r>
              <w:rPr>
                <w:rFonts w:hint="eastAsia"/>
                <w:sz w:val="24"/>
              </w:rPr>
              <w:t>考评</w:t>
            </w:r>
            <w:r w:rsidR="00C813C1">
              <w:rPr>
                <w:rFonts w:hint="eastAsia"/>
                <w:sz w:val="24"/>
              </w:rPr>
              <w:t>地点</w:t>
            </w:r>
          </w:p>
        </w:tc>
        <w:tc>
          <w:tcPr>
            <w:tcW w:w="2029" w:type="pct"/>
            <w:vAlign w:val="center"/>
          </w:tcPr>
          <w:p w14:paraId="2D83B360" w14:textId="77777777" w:rsidR="00C813C1" w:rsidRDefault="00C813C1" w:rsidP="00C813C1">
            <w:pPr>
              <w:rPr>
                <w:sz w:val="24"/>
              </w:rPr>
            </w:pPr>
          </w:p>
        </w:tc>
      </w:tr>
      <w:tr w:rsidR="00C813C1" w14:paraId="657CE8F0" w14:textId="77777777" w:rsidTr="008E5109">
        <w:trPr>
          <w:cantSplit/>
          <w:trHeight w:val="397"/>
          <w:jc w:val="center"/>
        </w:trPr>
        <w:tc>
          <w:tcPr>
            <w:tcW w:w="587" w:type="pct"/>
            <w:vAlign w:val="center"/>
          </w:tcPr>
          <w:p w14:paraId="001F7C37" w14:textId="77777777" w:rsidR="00C813C1" w:rsidRDefault="00C813C1" w:rsidP="00C813C1">
            <w:pPr>
              <w:jc w:val="center"/>
              <w:rPr>
                <w:sz w:val="24"/>
              </w:rPr>
            </w:pPr>
            <w:r>
              <w:rPr>
                <w:rFonts w:hint="eastAsia"/>
                <w:sz w:val="24"/>
              </w:rPr>
              <w:t>考评专家</w:t>
            </w:r>
          </w:p>
        </w:tc>
        <w:tc>
          <w:tcPr>
            <w:tcW w:w="4413" w:type="pct"/>
            <w:gridSpan w:val="3"/>
            <w:vAlign w:val="center"/>
          </w:tcPr>
          <w:p w14:paraId="52ECE794" w14:textId="77777777" w:rsidR="00C813C1" w:rsidRDefault="00C813C1" w:rsidP="00C813C1">
            <w:pPr>
              <w:rPr>
                <w:sz w:val="24"/>
              </w:rPr>
            </w:pPr>
          </w:p>
        </w:tc>
      </w:tr>
      <w:tr w:rsidR="00447CCC" w14:paraId="3443117B" w14:textId="77777777" w:rsidTr="008E5109">
        <w:trPr>
          <w:cantSplit/>
          <w:trHeight w:val="397"/>
          <w:jc w:val="center"/>
        </w:trPr>
        <w:tc>
          <w:tcPr>
            <w:tcW w:w="587" w:type="pct"/>
            <w:vAlign w:val="center"/>
          </w:tcPr>
          <w:p w14:paraId="0401350E" w14:textId="77777777" w:rsidR="00447CCC" w:rsidRDefault="00447CCC" w:rsidP="00AF3B27">
            <w:pPr>
              <w:jc w:val="center"/>
              <w:rPr>
                <w:sz w:val="24"/>
              </w:rPr>
            </w:pPr>
            <w:r>
              <w:rPr>
                <w:rFonts w:hint="eastAsia"/>
                <w:sz w:val="24"/>
              </w:rPr>
              <w:t>考评成绩</w:t>
            </w:r>
          </w:p>
        </w:tc>
        <w:tc>
          <w:tcPr>
            <w:tcW w:w="4413" w:type="pct"/>
            <w:gridSpan w:val="3"/>
            <w:vAlign w:val="center"/>
          </w:tcPr>
          <w:p w14:paraId="3D5D02D9" w14:textId="77777777" w:rsidR="00447CCC" w:rsidRDefault="00447CCC" w:rsidP="00AF3B27">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sidRPr="00C548ED">
              <w:rPr>
                <w:rFonts w:hint="eastAsia"/>
                <w:sz w:val="24"/>
              </w:rPr>
              <w:t>不合格</w:t>
            </w:r>
            <w:r>
              <w:rPr>
                <w:rFonts w:hint="eastAsia"/>
                <w:sz w:val="24"/>
                <w:u w:val="single"/>
              </w:rPr>
              <w:t xml:space="preserve">  </w:t>
            </w:r>
            <w:r>
              <w:rPr>
                <w:sz w:val="24"/>
                <w:u w:val="single"/>
              </w:rPr>
              <w:t xml:space="preserve">  </w:t>
            </w:r>
            <w:r w:rsidRPr="008D5BB4">
              <w:rPr>
                <w:rFonts w:hint="eastAsia"/>
                <w:sz w:val="24"/>
              </w:rPr>
              <w:t>票</w:t>
            </w:r>
          </w:p>
        </w:tc>
      </w:tr>
      <w:tr w:rsidR="00CC7178" w:rsidRPr="00DD7D24" w14:paraId="04030217" w14:textId="77777777" w:rsidTr="00AF3B27">
        <w:trPr>
          <w:cantSplit/>
          <w:trHeight w:val="397"/>
          <w:jc w:val="center"/>
        </w:trPr>
        <w:tc>
          <w:tcPr>
            <w:tcW w:w="587" w:type="pct"/>
            <w:tcBorders>
              <w:bottom w:val="single" w:sz="6" w:space="0" w:color="auto"/>
            </w:tcBorders>
            <w:vAlign w:val="center"/>
          </w:tcPr>
          <w:p w14:paraId="0C025C93" w14:textId="77777777" w:rsidR="00CC7178" w:rsidRDefault="00CC7178" w:rsidP="00AF3B27">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51A6326B" w14:textId="77777777" w:rsidR="00CC7178" w:rsidRDefault="00CC7178" w:rsidP="00AF3B27">
            <w:pPr>
              <w:spacing w:beforeLines="100" w:before="240" w:afterLines="100" w:after="240"/>
              <w:ind w:firstLineChars="300" w:firstLine="708"/>
              <w:rPr>
                <w:spacing w:val="-2"/>
                <w:sz w:val="24"/>
              </w:rPr>
            </w:pPr>
            <w:r w:rsidRPr="00A61A12">
              <w:rPr>
                <w:rFonts w:ascii="宋体" w:hAnsi="宋体" w:hint="eastAsia"/>
                <w:spacing w:val="-2"/>
                <w:sz w:val="24"/>
              </w:rPr>
              <w:t>□</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原则</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不</w:t>
            </w:r>
            <w:r w:rsidRPr="00A61A12">
              <w:rPr>
                <w:rFonts w:hint="eastAsia"/>
                <w:spacing w:val="-2"/>
                <w:sz w:val="24"/>
              </w:rPr>
              <w:t>通过</w:t>
            </w:r>
            <w:r>
              <w:rPr>
                <w:rFonts w:hint="eastAsia"/>
                <w:spacing w:val="-2"/>
                <w:sz w:val="24"/>
              </w:rPr>
              <w:t xml:space="preserve"> </w:t>
            </w:r>
          </w:p>
          <w:p w14:paraId="6FE9037E" w14:textId="77777777" w:rsidR="00CC7178" w:rsidRPr="00B62C84" w:rsidRDefault="00CC7178" w:rsidP="00AF3B27">
            <w:pPr>
              <w:rPr>
                <w:spacing w:val="-2"/>
                <w:sz w:val="18"/>
                <w:szCs w:val="18"/>
              </w:rPr>
            </w:pPr>
            <w:r w:rsidRPr="00EF6E25">
              <w:rPr>
                <w:rFonts w:hint="eastAsia"/>
                <w:b/>
                <w:spacing w:val="181"/>
                <w:kern w:val="0"/>
                <w:sz w:val="18"/>
                <w:szCs w:val="18"/>
                <w:fitText w:val="724" w:id="1790685446"/>
              </w:rPr>
              <w:t>通</w:t>
            </w:r>
            <w:r w:rsidRPr="00EF6E25">
              <w:rPr>
                <w:rFonts w:hint="eastAsia"/>
                <w:b/>
                <w:kern w:val="0"/>
                <w:sz w:val="18"/>
                <w:szCs w:val="18"/>
                <w:fitText w:val="724" w:id="1790685446"/>
              </w:rPr>
              <w:t>过</w:t>
            </w:r>
            <w:r w:rsidRPr="00B62C84">
              <w:rPr>
                <w:rFonts w:hint="eastAsia"/>
                <w:b/>
                <w:spacing w:val="-2"/>
                <w:sz w:val="18"/>
                <w:szCs w:val="18"/>
              </w:rPr>
              <w:t>：</w:t>
            </w:r>
            <w:r w:rsidRPr="00B62C84">
              <w:rPr>
                <w:rFonts w:hint="eastAsia"/>
                <w:spacing w:val="-2"/>
                <w:sz w:val="18"/>
                <w:szCs w:val="18"/>
              </w:rPr>
              <w:t>表决票均为合格</w:t>
            </w:r>
          </w:p>
          <w:p w14:paraId="5937E3B2" w14:textId="77777777" w:rsidR="00CC7178" w:rsidRPr="00B62C84" w:rsidRDefault="00CC7178" w:rsidP="00AF3B27">
            <w:pPr>
              <w:rPr>
                <w:spacing w:val="-2"/>
                <w:sz w:val="18"/>
                <w:szCs w:val="18"/>
              </w:rPr>
            </w:pPr>
            <w:r w:rsidRPr="00CC7178">
              <w:rPr>
                <w:rFonts w:hint="eastAsia"/>
                <w:b/>
                <w:kern w:val="0"/>
                <w:sz w:val="18"/>
                <w:szCs w:val="18"/>
                <w:fitText w:val="724" w:id="1790685447"/>
              </w:rPr>
              <w:t>原则通过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1</w:t>
            </w:r>
            <w:r w:rsidRPr="00B62C84">
              <w:rPr>
                <w:rFonts w:hint="eastAsia"/>
                <w:spacing w:val="-2"/>
                <w:sz w:val="18"/>
                <w:szCs w:val="18"/>
              </w:rPr>
              <w:t>票为基本合格或不合格，其余为合格和基本合格</w:t>
            </w:r>
          </w:p>
          <w:p w14:paraId="5027054C" w14:textId="77777777" w:rsidR="00CC7178" w:rsidRPr="00C548ED" w:rsidRDefault="00CC7178" w:rsidP="00AF3B27">
            <w:pPr>
              <w:rPr>
                <w:b/>
                <w:spacing w:val="-2"/>
                <w:sz w:val="24"/>
              </w:rPr>
            </w:pPr>
            <w:r w:rsidRPr="00EF6E25">
              <w:rPr>
                <w:rFonts w:hint="eastAsia"/>
                <w:b/>
                <w:spacing w:val="46"/>
                <w:kern w:val="0"/>
                <w:sz w:val="18"/>
                <w:szCs w:val="18"/>
                <w:fitText w:val="724" w:id="1790685448"/>
              </w:rPr>
              <w:t>不通</w:t>
            </w:r>
            <w:r w:rsidRPr="00EF6E25">
              <w:rPr>
                <w:rFonts w:hint="eastAsia"/>
                <w:b/>
                <w:spacing w:val="-1"/>
                <w:kern w:val="0"/>
                <w:sz w:val="18"/>
                <w:szCs w:val="18"/>
                <w:fitText w:val="724" w:id="1790685448"/>
              </w:rPr>
              <w:t>过</w:t>
            </w:r>
            <w:r w:rsidRPr="00B62C84">
              <w:rPr>
                <w:rFonts w:hint="eastAsia"/>
                <w:b/>
                <w:spacing w:val="-2"/>
                <w:sz w:val="18"/>
                <w:szCs w:val="18"/>
              </w:rPr>
              <w:t>：</w:t>
            </w:r>
            <w:r w:rsidRPr="00B62C84">
              <w:rPr>
                <w:rFonts w:hint="eastAsia"/>
                <w:spacing w:val="-2"/>
                <w:sz w:val="18"/>
                <w:szCs w:val="18"/>
              </w:rPr>
              <w:t>表决票中有</w:t>
            </w:r>
            <w:r w:rsidRPr="00B62C84">
              <w:rPr>
                <w:rFonts w:hint="eastAsia"/>
                <w:spacing w:val="-2"/>
                <w:sz w:val="18"/>
                <w:szCs w:val="18"/>
              </w:rPr>
              <w:t>2</w:t>
            </w:r>
            <w:r w:rsidRPr="00B62C84">
              <w:rPr>
                <w:rFonts w:hint="eastAsia"/>
                <w:spacing w:val="-2"/>
                <w:sz w:val="18"/>
                <w:szCs w:val="18"/>
              </w:rPr>
              <w:t>票及以上为不合格</w:t>
            </w:r>
          </w:p>
        </w:tc>
      </w:tr>
      <w:tr w:rsidR="009E7D11" w14:paraId="1F1FB92C" w14:textId="77777777" w:rsidTr="0042668A">
        <w:trPr>
          <w:cantSplit/>
          <w:trHeight w:val="3090"/>
          <w:jc w:val="center"/>
        </w:trPr>
        <w:tc>
          <w:tcPr>
            <w:tcW w:w="5000" w:type="pct"/>
            <w:gridSpan w:val="4"/>
          </w:tcPr>
          <w:p w14:paraId="0273D8CB" w14:textId="77777777" w:rsidR="009E7D11" w:rsidRPr="004B2BFD" w:rsidRDefault="009E7D11" w:rsidP="003012C0">
            <w:pPr>
              <w:spacing w:afterLines="50" w:after="120"/>
              <w:rPr>
                <w:rFonts w:eastAsia="楷体"/>
                <w:sz w:val="24"/>
              </w:rPr>
            </w:pPr>
            <w:r>
              <w:rPr>
                <w:rFonts w:eastAsia="楷体" w:hint="eastAsia"/>
                <w:sz w:val="24"/>
              </w:rPr>
              <w:t>对</w:t>
            </w:r>
            <w:r w:rsidRPr="00343263">
              <w:rPr>
                <w:rFonts w:eastAsia="楷体" w:hint="eastAsia"/>
                <w:sz w:val="24"/>
              </w:rPr>
              <w:t>学位论文工作进展</w:t>
            </w:r>
            <w:r>
              <w:rPr>
                <w:rFonts w:eastAsia="楷体" w:hint="eastAsia"/>
                <w:sz w:val="24"/>
              </w:rPr>
              <w:t>以及</w:t>
            </w:r>
            <w:r w:rsidRPr="00343263">
              <w:rPr>
                <w:rFonts w:eastAsia="楷体" w:hint="eastAsia"/>
                <w:sz w:val="24"/>
              </w:rPr>
              <w:t>下一步</w:t>
            </w:r>
            <w:r>
              <w:rPr>
                <w:rFonts w:eastAsia="楷体" w:hint="eastAsia"/>
                <w:sz w:val="24"/>
              </w:rPr>
              <w:t>研究</w:t>
            </w:r>
            <w:r w:rsidRPr="00343263">
              <w:rPr>
                <w:rFonts w:eastAsia="楷体" w:hint="eastAsia"/>
                <w:sz w:val="24"/>
              </w:rPr>
              <w:t>计划</w:t>
            </w:r>
            <w:r>
              <w:rPr>
                <w:rFonts w:eastAsia="楷体" w:hint="eastAsia"/>
                <w:sz w:val="24"/>
              </w:rPr>
              <w:t>的建议，</w:t>
            </w:r>
            <w:r w:rsidRPr="00343263">
              <w:rPr>
                <w:rFonts w:eastAsia="楷体" w:hint="eastAsia"/>
                <w:sz w:val="24"/>
              </w:rPr>
              <w:t>是否</w:t>
            </w:r>
            <w:r w:rsidR="005C786E">
              <w:rPr>
                <w:rFonts w:eastAsia="楷体" w:hint="eastAsia"/>
                <w:sz w:val="24"/>
              </w:rPr>
              <w:t>适合</w:t>
            </w:r>
            <w:r w:rsidRPr="00343263">
              <w:rPr>
                <w:rFonts w:eastAsia="楷体" w:hint="eastAsia"/>
                <w:sz w:val="24"/>
              </w:rPr>
              <w:t>继续攻读学位</w:t>
            </w:r>
            <w:r w:rsidRPr="004B2BFD">
              <w:rPr>
                <w:rFonts w:eastAsia="楷体" w:hint="eastAsia"/>
                <w:sz w:val="24"/>
              </w:rPr>
              <w:t>：</w:t>
            </w:r>
          </w:p>
          <w:p w14:paraId="31508C35" w14:textId="77777777" w:rsidR="009E7D11" w:rsidRDefault="009E7D11" w:rsidP="009E7D11"/>
          <w:p w14:paraId="7A1FAA64" w14:textId="77777777" w:rsidR="009E7D11" w:rsidRDefault="009E7D11" w:rsidP="009E7D11"/>
          <w:p w14:paraId="2BD8A6B4" w14:textId="77777777" w:rsidR="009E7D11" w:rsidRDefault="009E7D11" w:rsidP="009E7D11"/>
          <w:p w14:paraId="31802248" w14:textId="77777777" w:rsidR="009E7D11" w:rsidRDefault="009E7D11" w:rsidP="009E7D11"/>
          <w:p w14:paraId="1BAFE44C" w14:textId="77777777" w:rsidR="009E7D11" w:rsidRDefault="009E7D11" w:rsidP="009E7D11"/>
          <w:p w14:paraId="45D5FDAB" w14:textId="77777777" w:rsidR="009E7D11" w:rsidRDefault="009E7D11" w:rsidP="009E7D11"/>
          <w:p w14:paraId="3D715C97" w14:textId="77777777" w:rsidR="009E7D11" w:rsidRDefault="009E7D11" w:rsidP="009E7D11"/>
          <w:p w14:paraId="40F9F408" w14:textId="77777777" w:rsidR="00174583" w:rsidRDefault="009E7D11" w:rsidP="002752D7">
            <w:pPr>
              <w:tabs>
                <w:tab w:val="left" w:pos="3210"/>
                <w:tab w:val="left" w:pos="7800"/>
              </w:tabs>
              <w:spacing w:afterLines="100" w:after="240"/>
              <w:rPr>
                <w:sz w:val="24"/>
              </w:rPr>
            </w:pPr>
            <w:r>
              <w:tab/>
            </w:r>
            <w:r w:rsidR="00174583">
              <w:rPr>
                <w:rFonts w:hint="eastAsia"/>
                <w:sz w:val="24"/>
              </w:rPr>
              <w:t>专家组</w:t>
            </w:r>
            <w:r w:rsidRPr="00FD7C2F">
              <w:rPr>
                <w:rFonts w:hint="eastAsia"/>
                <w:sz w:val="24"/>
              </w:rPr>
              <w:t>签名：</w:t>
            </w:r>
            <w:r>
              <w:rPr>
                <w:sz w:val="24"/>
              </w:rPr>
              <w:tab/>
            </w:r>
          </w:p>
          <w:p w14:paraId="5013B551" w14:textId="77777777" w:rsidR="009E7D11" w:rsidRPr="009E7D11" w:rsidRDefault="009E7D11" w:rsidP="00174583">
            <w:pPr>
              <w:tabs>
                <w:tab w:val="left" w:pos="2580"/>
                <w:tab w:val="left" w:pos="7800"/>
              </w:tabs>
              <w:spacing w:afterLines="100" w:after="240"/>
              <w:jc w:val="right"/>
            </w:pPr>
            <w:r w:rsidRPr="00FD7C2F">
              <w:rPr>
                <w:rFonts w:hint="eastAsia"/>
                <w:sz w:val="24"/>
              </w:rPr>
              <w:t>年</w:t>
            </w:r>
            <w:r w:rsidRPr="00FD7C2F">
              <w:rPr>
                <w:rFonts w:hint="eastAsia"/>
                <w:sz w:val="24"/>
              </w:rPr>
              <w:t xml:space="preserve"> </w:t>
            </w:r>
            <w:r>
              <w:rPr>
                <w:sz w:val="24"/>
              </w:rPr>
              <w:t xml:space="preserve"> </w:t>
            </w:r>
            <w:r w:rsidRPr="00FD7C2F">
              <w:rPr>
                <w:rFonts w:hint="eastAsia"/>
                <w:sz w:val="24"/>
              </w:rPr>
              <w:t xml:space="preserve"> </w:t>
            </w:r>
            <w:r>
              <w:rPr>
                <w:sz w:val="24"/>
              </w:rPr>
              <w:t xml:space="preserve"> </w:t>
            </w:r>
            <w:r w:rsidRPr="00FD7C2F">
              <w:rPr>
                <w:rFonts w:hint="eastAsia"/>
                <w:sz w:val="24"/>
              </w:rPr>
              <w:t>月</w:t>
            </w:r>
            <w:r w:rsidRPr="00FD7C2F">
              <w:rPr>
                <w:rFonts w:hint="eastAsia"/>
                <w:sz w:val="24"/>
              </w:rPr>
              <w:t xml:space="preserve">  </w:t>
            </w:r>
            <w:r>
              <w:rPr>
                <w:sz w:val="24"/>
              </w:rPr>
              <w:t xml:space="preserve"> </w:t>
            </w:r>
            <w:r w:rsidRPr="00FD7C2F">
              <w:rPr>
                <w:rFonts w:hint="eastAsia"/>
                <w:sz w:val="24"/>
              </w:rPr>
              <w:t xml:space="preserve"> </w:t>
            </w:r>
            <w:r w:rsidRPr="00FD7C2F">
              <w:rPr>
                <w:rFonts w:hint="eastAsia"/>
                <w:sz w:val="24"/>
              </w:rPr>
              <w:t>日</w:t>
            </w:r>
          </w:p>
        </w:tc>
      </w:tr>
      <w:tr w:rsidR="008D5BB4" w14:paraId="6037C523" w14:textId="77777777" w:rsidTr="00447CCC">
        <w:trPr>
          <w:cantSplit/>
          <w:trHeight w:val="1984"/>
          <w:jc w:val="center"/>
        </w:trPr>
        <w:tc>
          <w:tcPr>
            <w:tcW w:w="5000" w:type="pct"/>
            <w:gridSpan w:val="4"/>
            <w:tcBorders>
              <w:bottom w:val="nil"/>
            </w:tcBorders>
          </w:tcPr>
          <w:p w14:paraId="1F0F912C" w14:textId="72999BED" w:rsidR="008D5BB4" w:rsidRPr="000F2CF2" w:rsidRDefault="008D5BB4" w:rsidP="000F2CF2">
            <w:pPr>
              <w:rPr>
                <w:b/>
                <w:sz w:val="24"/>
              </w:rPr>
            </w:pPr>
            <w:r w:rsidRPr="000F2CF2">
              <w:rPr>
                <w:rFonts w:hint="eastAsia"/>
                <w:b/>
                <w:sz w:val="24"/>
              </w:rPr>
              <w:t>3</w:t>
            </w:r>
            <w:r w:rsidR="00316026">
              <w:rPr>
                <w:rFonts w:hint="eastAsia"/>
                <w:b/>
                <w:sz w:val="24"/>
              </w:rPr>
              <w:t>。</w:t>
            </w:r>
            <w:r w:rsidRPr="000F2CF2">
              <w:rPr>
                <w:rFonts w:hint="eastAsia"/>
                <w:b/>
                <w:sz w:val="24"/>
              </w:rPr>
              <w:t>学院意见：</w:t>
            </w:r>
          </w:p>
          <w:p w14:paraId="334103B3" w14:textId="77777777" w:rsidR="008D5BB4" w:rsidRPr="001F77F1" w:rsidRDefault="008D5BB4" w:rsidP="00806457">
            <w:pPr>
              <w:ind w:firstLineChars="200" w:firstLine="480"/>
              <w:rPr>
                <w:sz w:val="24"/>
              </w:rPr>
            </w:pPr>
          </w:p>
        </w:tc>
      </w:tr>
      <w:tr w:rsidR="00FD7C2F" w14:paraId="58874452" w14:textId="77777777" w:rsidTr="00447CCC">
        <w:trPr>
          <w:cantSplit/>
          <w:trHeight w:val="20"/>
          <w:jc w:val="center"/>
        </w:trPr>
        <w:tc>
          <w:tcPr>
            <w:tcW w:w="5000" w:type="pct"/>
            <w:gridSpan w:val="4"/>
            <w:tcBorders>
              <w:top w:val="nil"/>
            </w:tcBorders>
          </w:tcPr>
          <w:p w14:paraId="5692CB1F" w14:textId="77777777" w:rsidR="00FD7C2F" w:rsidRPr="00FD7C2F" w:rsidRDefault="00FD7C2F" w:rsidP="002752D7">
            <w:pPr>
              <w:tabs>
                <w:tab w:val="left" w:pos="4253"/>
                <w:tab w:val="left" w:pos="7770"/>
              </w:tabs>
              <w:ind w:firstLineChars="1300" w:firstLine="3120"/>
              <w:rPr>
                <w:b/>
                <w:sz w:val="24"/>
              </w:rPr>
            </w:pPr>
            <w:r w:rsidRPr="00FD7C2F">
              <w:rPr>
                <w:rFonts w:hint="eastAsia"/>
                <w:sz w:val="24"/>
              </w:rPr>
              <w:t>负责人签名：</w:t>
            </w:r>
            <w:r w:rsidR="007D57B7">
              <w:rPr>
                <w:sz w:val="24"/>
              </w:rPr>
              <w:tab/>
            </w:r>
            <w:r w:rsidRPr="00FD7C2F">
              <w:rPr>
                <w:rFonts w:hint="eastAsia"/>
                <w:sz w:val="24"/>
              </w:rPr>
              <w:t>年</w:t>
            </w:r>
            <w:r w:rsidRPr="00FD7C2F">
              <w:rPr>
                <w:rFonts w:hint="eastAsia"/>
                <w:sz w:val="24"/>
              </w:rPr>
              <w:t xml:space="preserve">  </w:t>
            </w:r>
            <w:r w:rsidR="009E7D11">
              <w:rPr>
                <w:sz w:val="24"/>
              </w:rPr>
              <w:t xml:space="preserve"> </w:t>
            </w:r>
            <w:r w:rsidRPr="00FD7C2F">
              <w:rPr>
                <w:rFonts w:hint="eastAsia"/>
                <w:sz w:val="24"/>
              </w:rPr>
              <w:t xml:space="preserve"> </w:t>
            </w:r>
            <w:r w:rsidRPr="00FD7C2F">
              <w:rPr>
                <w:rFonts w:hint="eastAsia"/>
                <w:sz w:val="24"/>
              </w:rPr>
              <w:t>月</w:t>
            </w:r>
            <w:r w:rsidRPr="00FD7C2F">
              <w:rPr>
                <w:rFonts w:hint="eastAsia"/>
                <w:sz w:val="24"/>
              </w:rPr>
              <w:t xml:space="preserve">   </w:t>
            </w:r>
            <w:r w:rsidR="009E7D11">
              <w:rPr>
                <w:sz w:val="24"/>
              </w:rPr>
              <w:t xml:space="preserve"> </w:t>
            </w:r>
            <w:r w:rsidRPr="00FD7C2F">
              <w:rPr>
                <w:rFonts w:hint="eastAsia"/>
                <w:sz w:val="24"/>
              </w:rPr>
              <w:t>日</w:t>
            </w:r>
          </w:p>
        </w:tc>
      </w:tr>
    </w:tbl>
    <w:p w14:paraId="5854D262" w14:textId="77777777" w:rsidR="00703787" w:rsidRDefault="00703787" w:rsidP="00417390">
      <w:pPr>
        <w:spacing w:line="40" w:lineRule="exact"/>
        <w:jc w:val="center"/>
      </w:pPr>
    </w:p>
    <w:sectPr w:rsidR="00703787" w:rsidSect="00B60A66">
      <w:footerReference w:type="default" r:id="rId20"/>
      <w:pgSz w:w="11906" w:h="16838" w:code="9"/>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13C8D" w14:textId="77777777" w:rsidR="004A3F5E" w:rsidRDefault="004A3F5E" w:rsidP="00DA22C9">
      <w:r>
        <w:separator/>
      </w:r>
    </w:p>
  </w:endnote>
  <w:endnote w:type="continuationSeparator" w:id="0">
    <w:p w14:paraId="083832E6" w14:textId="77777777" w:rsidR="004A3F5E" w:rsidRDefault="004A3F5E" w:rsidP="00DA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44D03" w14:textId="77777777" w:rsidR="00AF3B27" w:rsidRDefault="00AF3B27">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2469" w14:textId="31FA197B" w:rsidR="00AF3B27" w:rsidRDefault="00AF3B27">
    <w:pPr>
      <w:pStyle w:val="a7"/>
      <w:jc w:val="center"/>
    </w:pPr>
    <w:r>
      <w:fldChar w:fldCharType="begin"/>
    </w:r>
    <w:r>
      <w:instrText>PAGE   \* MERGEFORMAT</w:instrText>
    </w:r>
    <w:r>
      <w:fldChar w:fldCharType="separate"/>
    </w:r>
    <w:r w:rsidR="001F3DB0" w:rsidRPr="001F3DB0">
      <w:rPr>
        <w:noProof/>
        <w:lang w:val="zh-CN"/>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F313F" w14:textId="77777777" w:rsidR="004A3F5E" w:rsidRDefault="004A3F5E" w:rsidP="00DA22C9">
      <w:r>
        <w:separator/>
      </w:r>
    </w:p>
  </w:footnote>
  <w:footnote w:type="continuationSeparator" w:id="0">
    <w:p w14:paraId="5AD78FDD" w14:textId="77777777" w:rsidR="004A3F5E" w:rsidRDefault="004A3F5E" w:rsidP="00DA2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0A25BB"/>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73D50BF"/>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DF1756"/>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B564B1F"/>
    <w:multiLevelType w:val="hybridMultilevel"/>
    <w:tmpl w:val="64F6A418"/>
    <w:lvl w:ilvl="0" w:tplc="43E87DCC">
      <w:start w:val="1"/>
      <w:numFmt w:val="decimal"/>
      <w:lvlText w:val="%1."/>
      <w:lvlJc w:val="left"/>
      <w:pPr>
        <w:tabs>
          <w:tab w:val="num" w:pos="360"/>
        </w:tabs>
        <w:ind w:left="360" w:hanging="36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EEF3978"/>
    <w:multiLevelType w:val="hybridMultilevel"/>
    <w:tmpl w:val="D7208448"/>
    <w:lvl w:ilvl="0" w:tplc="F5789822">
      <w:start w:val="1"/>
      <w:numFmt w:val="decimal"/>
      <w:lvlText w:val="%1、"/>
      <w:lvlJc w:val="left"/>
      <w:pPr>
        <w:tabs>
          <w:tab w:val="num" w:pos="570"/>
        </w:tabs>
        <w:ind w:left="5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12B04A9"/>
    <w:multiLevelType w:val="hybridMultilevel"/>
    <w:tmpl w:val="9572A862"/>
    <w:lvl w:ilvl="0" w:tplc="EF2C04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9F519BE"/>
    <w:multiLevelType w:val="hybridMultilevel"/>
    <w:tmpl w:val="9F3417D4"/>
    <w:lvl w:ilvl="0" w:tplc="2CE8497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F851068"/>
    <w:multiLevelType w:val="hybridMultilevel"/>
    <w:tmpl w:val="DEA02D2A"/>
    <w:lvl w:ilvl="0" w:tplc="7DB403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1BB5D8D"/>
    <w:multiLevelType w:val="hybridMultilevel"/>
    <w:tmpl w:val="F6782254"/>
    <w:lvl w:ilvl="0" w:tplc="0340033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1D71DE7"/>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B606EC"/>
    <w:multiLevelType w:val="hybridMultilevel"/>
    <w:tmpl w:val="D062D086"/>
    <w:lvl w:ilvl="0" w:tplc="B9603B7E">
      <w:start w:val="1"/>
      <w:numFmt w:val="decimal"/>
      <w:lvlText w:val="%1."/>
      <w:lvlJc w:val="left"/>
      <w:pPr>
        <w:ind w:left="1212" w:hanging="121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C1C4471"/>
    <w:multiLevelType w:val="hybridMultilevel"/>
    <w:tmpl w:val="C1E86698"/>
    <w:lvl w:ilvl="0" w:tplc="DCD0B176">
      <w:start w:val="1"/>
      <w:numFmt w:val="decimal"/>
      <w:lvlText w:val="(%1)."/>
      <w:lvlJc w:val="left"/>
      <w:pPr>
        <w:ind w:left="792" w:hanging="420"/>
      </w:pPr>
      <w:rPr>
        <w:rFonts w:hint="eastAsia"/>
      </w:rPr>
    </w:lvl>
    <w:lvl w:ilvl="1" w:tplc="B9603B7E">
      <w:start w:val="1"/>
      <w:numFmt w:val="decimal"/>
      <w:lvlText w:val="%2."/>
      <w:lvlJc w:val="left"/>
      <w:pPr>
        <w:ind w:left="1212" w:hanging="1212"/>
      </w:pPr>
      <w:rPr>
        <w:rFonts w:hint="eastAsia"/>
      </w:r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num w:numId="1" w16cid:durableId="1818840364">
    <w:abstractNumId w:val="13"/>
  </w:num>
  <w:num w:numId="2" w16cid:durableId="3000349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9050344">
    <w:abstractNumId w:val="14"/>
  </w:num>
  <w:num w:numId="4" w16cid:durableId="609967385">
    <w:abstractNumId w:val="12"/>
  </w:num>
  <w:num w:numId="5" w16cid:durableId="1062292089">
    <w:abstractNumId w:val="20"/>
  </w:num>
  <w:num w:numId="6" w16cid:durableId="2115396463">
    <w:abstractNumId w:val="21"/>
  </w:num>
  <w:num w:numId="7" w16cid:durableId="469254442">
    <w:abstractNumId w:val="10"/>
  </w:num>
  <w:num w:numId="8" w16cid:durableId="557976712">
    <w:abstractNumId w:val="18"/>
  </w:num>
  <w:num w:numId="9" w16cid:durableId="171185258">
    <w:abstractNumId w:val="11"/>
  </w:num>
  <w:num w:numId="10" w16cid:durableId="1902666346">
    <w:abstractNumId w:val="19"/>
  </w:num>
  <w:num w:numId="11" w16cid:durableId="918104127">
    <w:abstractNumId w:val="17"/>
  </w:num>
  <w:num w:numId="12" w16cid:durableId="1994865402">
    <w:abstractNumId w:val="9"/>
  </w:num>
  <w:num w:numId="13" w16cid:durableId="1834102214">
    <w:abstractNumId w:val="16"/>
  </w:num>
  <w:num w:numId="14" w16cid:durableId="676273281">
    <w:abstractNumId w:val="15"/>
  </w:num>
  <w:num w:numId="15" w16cid:durableId="872419907">
    <w:abstractNumId w:val="8"/>
  </w:num>
  <w:num w:numId="16" w16cid:durableId="455872801">
    <w:abstractNumId w:val="6"/>
  </w:num>
  <w:num w:numId="17" w16cid:durableId="787553353">
    <w:abstractNumId w:val="5"/>
  </w:num>
  <w:num w:numId="18" w16cid:durableId="1253198965">
    <w:abstractNumId w:val="4"/>
  </w:num>
  <w:num w:numId="19" w16cid:durableId="1244754362">
    <w:abstractNumId w:val="7"/>
  </w:num>
  <w:num w:numId="20" w16cid:durableId="650527327">
    <w:abstractNumId w:val="3"/>
  </w:num>
  <w:num w:numId="21" w16cid:durableId="200361848">
    <w:abstractNumId w:val="2"/>
  </w:num>
  <w:num w:numId="22" w16cid:durableId="533231363">
    <w:abstractNumId w:val="1"/>
  </w:num>
  <w:num w:numId="23" w16cid:durableId="924605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0386F"/>
    <w:rsid w:val="000131C1"/>
    <w:rsid w:val="00015691"/>
    <w:rsid w:val="00017276"/>
    <w:rsid w:val="000267D9"/>
    <w:rsid w:val="0002753E"/>
    <w:rsid w:val="000303B0"/>
    <w:rsid w:val="0003134E"/>
    <w:rsid w:val="00037CDF"/>
    <w:rsid w:val="00051BB3"/>
    <w:rsid w:val="00056DDE"/>
    <w:rsid w:val="00064DE4"/>
    <w:rsid w:val="000660E3"/>
    <w:rsid w:val="000668D1"/>
    <w:rsid w:val="0006743E"/>
    <w:rsid w:val="00072637"/>
    <w:rsid w:val="00073C81"/>
    <w:rsid w:val="00074E6D"/>
    <w:rsid w:val="0007655E"/>
    <w:rsid w:val="000800A0"/>
    <w:rsid w:val="00091432"/>
    <w:rsid w:val="00094E03"/>
    <w:rsid w:val="000951B9"/>
    <w:rsid w:val="000A4F7E"/>
    <w:rsid w:val="000D0530"/>
    <w:rsid w:val="000D1BB1"/>
    <w:rsid w:val="000D29EF"/>
    <w:rsid w:val="000D446E"/>
    <w:rsid w:val="000D6683"/>
    <w:rsid w:val="000E50C0"/>
    <w:rsid w:val="000F24A4"/>
    <w:rsid w:val="000F2CF2"/>
    <w:rsid w:val="000F62BA"/>
    <w:rsid w:val="00101732"/>
    <w:rsid w:val="00104DC7"/>
    <w:rsid w:val="00125C2C"/>
    <w:rsid w:val="00133446"/>
    <w:rsid w:val="00134BFD"/>
    <w:rsid w:val="00140748"/>
    <w:rsid w:val="00160720"/>
    <w:rsid w:val="00164AB5"/>
    <w:rsid w:val="00166397"/>
    <w:rsid w:val="0016675F"/>
    <w:rsid w:val="00166810"/>
    <w:rsid w:val="00174583"/>
    <w:rsid w:val="0017473F"/>
    <w:rsid w:val="001952D2"/>
    <w:rsid w:val="001A0DAB"/>
    <w:rsid w:val="001B6E47"/>
    <w:rsid w:val="001C09F5"/>
    <w:rsid w:val="001C0EBF"/>
    <w:rsid w:val="001C2652"/>
    <w:rsid w:val="001D00D1"/>
    <w:rsid w:val="001D07D4"/>
    <w:rsid w:val="001D5C6A"/>
    <w:rsid w:val="001D5F47"/>
    <w:rsid w:val="001F1048"/>
    <w:rsid w:val="001F2124"/>
    <w:rsid w:val="001F35C1"/>
    <w:rsid w:val="001F3DB0"/>
    <w:rsid w:val="001F3E2C"/>
    <w:rsid w:val="001F77F1"/>
    <w:rsid w:val="002024B6"/>
    <w:rsid w:val="002128F0"/>
    <w:rsid w:val="00221937"/>
    <w:rsid w:val="00233561"/>
    <w:rsid w:val="00243E5D"/>
    <w:rsid w:val="00245D8F"/>
    <w:rsid w:val="00250CF9"/>
    <w:rsid w:val="002528FA"/>
    <w:rsid w:val="00254640"/>
    <w:rsid w:val="00256885"/>
    <w:rsid w:val="00263ADD"/>
    <w:rsid w:val="00270164"/>
    <w:rsid w:val="002752D7"/>
    <w:rsid w:val="00277AB8"/>
    <w:rsid w:val="002805A9"/>
    <w:rsid w:val="0028408B"/>
    <w:rsid w:val="00292540"/>
    <w:rsid w:val="002936EB"/>
    <w:rsid w:val="002A501B"/>
    <w:rsid w:val="002B204C"/>
    <w:rsid w:val="002B4A77"/>
    <w:rsid w:val="002B6B2A"/>
    <w:rsid w:val="002B7DA8"/>
    <w:rsid w:val="002C31C0"/>
    <w:rsid w:val="002C6ADC"/>
    <w:rsid w:val="002D4F96"/>
    <w:rsid w:val="002D6089"/>
    <w:rsid w:val="002F1983"/>
    <w:rsid w:val="002F4C63"/>
    <w:rsid w:val="003012C0"/>
    <w:rsid w:val="00301859"/>
    <w:rsid w:val="00302A0E"/>
    <w:rsid w:val="00304BB6"/>
    <w:rsid w:val="00314783"/>
    <w:rsid w:val="00316026"/>
    <w:rsid w:val="003262C9"/>
    <w:rsid w:val="00336490"/>
    <w:rsid w:val="003416B4"/>
    <w:rsid w:val="00343263"/>
    <w:rsid w:val="00351C2F"/>
    <w:rsid w:val="00363A94"/>
    <w:rsid w:val="00363BC2"/>
    <w:rsid w:val="00364223"/>
    <w:rsid w:val="003762EA"/>
    <w:rsid w:val="0038487F"/>
    <w:rsid w:val="003868E4"/>
    <w:rsid w:val="00390CF6"/>
    <w:rsid w:val="003A0553"/>
    <w:rsid w:val="003A15C1"/>
    <w:rsid w:val="003C3EA8"/>
    <w:rsid w:val="003C6CC4"/>
    <w:rsid w:val="003F1499"/>
    <w:rsid w:val="003F4B78"/>
    <w:rsid w:val="003F57C5"/>
    <w:rsid w:val="004101A1"/>
    <w:rsid w:val="004130D9"/>
    <w:rsid w:val="00415368"/>
    <w:rsid w:val="004161E6"/>
    <w:rsid w:val="00417390"/>
    <w:rsid w:val="004234E3"/>
    <w:rsid w:val="0042668A"/>
    <w:rsid w:val="00436096"/>
    <w:rsid w:val="0043633A"/>
    <w:rsid w:val="00443114"/>
    <w:rsid w:val="00446549"/>
    <w:rsid w:val="00446563"/>
    <w:rsid w:val="00447CCC"/>
    <w:rsid w:val="00451657"/>
    <w:rsid w:val="00455D44"/>
    <w:rsid w:val="0047216F"/>
    <w:rsid w:val="0047487B"/>
    <w:rsid w:val="00481AAA"/>
    <w:rsid w:val="00490E65"/>
    <w:rsid w:val="0049304F"/>
    <w:rsid w:val="004A3F5E"/>
    <w:rsid w:val="004B08FF"/>
    <w:rsid w:val="004B2BFD"/>
    <w:rsid w:val="004B32C1"/>
    <w:rsid w:val="004C0F6E"/>
    <w:rsid w:val="004C1483"/>
    <w:rsid w:val="004C22F2"/>
    <w:rsid w:val="004D02FC"/>
    <w:rsid w:val="004D04E8"/>
    <w:rsid w:val="004D0D73"/>
    <w:rsid w:val="004E0E93"/>
    <w:rsid w:val="004E5635"/>
    <w:rsid w:val="004E7436"/>
    <w:rsid w:val="004E7C1C"/>
    <w:rsid w:val="004F2454"/>
    <w:rsid w:val="004F45D7"/>
    <w:rsid w:val="004F7C42"/>
    <w:rsid w:val="005160DE"/>
    <w:rsid w:val="00520FFC"/>
    <w:rsid w:val="00525648"/>
    <w:rsid w:val="00532719"/>
    <w:rsid w:val="005354EE"/>
    <w:rsid w:val="00536AA8"/>
    <w:rsid w:val="00542ABD"/>
    <w:rsid w:val="00546E7A"/>
    <w:rsid w:val="005506AB"/>
    <w:rsid w:val="0056095C"/>
    <w:rsid w:val="005626CA"/>
    <w:rsid w:val="00562947"/>
    <w:rsid w:val="00562FAA"/>
    <w:rsid w:val="00573E33"/>
    <w:rsid w:val="0058045F"/>
    <w:rsid w:val="00582AB2"/>
    <w:rsid w:val="0058527A"/>
    <w:rsid w:val="005935AD"/>
    <w:rsid w:val="005B0A50"/>
    <w:rsid w:val="005B71A4"/>
    <w:rsid w:val="005B771B"/>
    <w:rsid w:val="005C186D"/>
    <w:rsid w:val="005C253E"/>
    <w:rsid w:val="005C6261"/>
    <w:rsid w:val="005C786E"/>
    <w:rsid w:val="005D4938"/>
    <w:rsid w:val="005E0AB6"/>
    <w:rsid w:val="00600AFD"/>
    <w:rsid w:val="006056A8"/>
    <w:rsid w:val="00610A6C"/>
    <w:rsid w:val="00616B1B"/>
    <w:rsid w:val="0061785C"/>
    <w:rsid w:val="00621338"/>
    <w:rsid w:val="00623596"/>
    <w:rsid w:val="00626BBF"/>
    <w:rsid w:val="00631409"/>
    <w:rsid w:val="00631781"/>
    <w:rsid w:val="00636593"/>
    <w:rsid w:val="00650AF5"/>
    <w:rsid w:val="006537FF"/>
    <w:rsid w:val="00656EB9"/>
    <w:rsid w:val="00660F89"/>
    <w:rsid w:val="006656CA"/>
    <w:rsid w:val="0067028B"/>
    <w:rsid w:val="006858FF"/>
    <w:rsid w:val="006902BF"/>
    <w:rsid w:val="00692058"/>
    <w:rsid w:val="006A1642"/>
    <w:rsid w:val="006A3E1B"/>
    <w:rsid w:val="006B2BB3"/>
    <w:rsid w:val="006B7DCD"/>
    <w:rsid w:val="006C1EB6"/>
    <w:rsid w:val="006C60BD"/>
    <w:rsid w:val="006C7B97"/>
    <w:rsid w:val="006D21F3"/>
    <w:rsid w:val="006D5B2C"/>
    <w:rsid w:val="006E4CC8"/>
    <w:rsid w:val="006E7145"/>
    <w:rsid w:val="00702188"/>
    <w:rsid w:val="00703787"/>
    <w:rsid w:val="00704AC3"/>
    <w:rsid w:val="00717CC4"/>
    <w:rsid w:val="007200AB"/>
    <w:rsid w:val="007225FC"/>
    <w:rsid w:val="00731A94"/>
    <w:rsid w:val="00737FC5"/>
    <w:rsid w:val="007419F7"/>
    <w:rsid w:val="007438C4"/>
    <w:rsid w:val="00743CCB"/>
    <w:rsid w:val="00744EF1"/>
    <w:rsid w:val="007545A0"/>
    <w:rsid w:val="00756604"/>
    <w:rsid w:val="00756F05"/>
    <w:rsid w:val="00757990"/>
    <w:rsid w:val="00781799"/>
    <w:rsid w:val="00784667"/>
    <w:rsid w:val="0078740E"/>
    <w:rsid w:val="00791A82"/>
    <w:rsid w:val="00797681"/>
    <w:rsid w:val="007A5B99"/>
    <w:rsid w:val="007A70B6"/>
    <w:rsid w:val="007C7C3D"/>
    <w:rsid w:val="007D2139"/>
    <w:rsid w:val="007D4BE6"/>
    <w:rsid w:val="007D57B7"/>
    <w:rsid w:val="007D630B"/>
    <w:rsid w:val="007F16B3"/>
    <w:rsid w:val="00806457"/>
    <w:rsid w:val="00821919"/>
    <w:rsid w:val="00827EB3"/>
    <w:rsid w:val="00844E48"/>
    <w:rsid w:val="00845A13"/>
    <w:rsid w:val="00852884"/>
    <w:rsid w:val="00855D58"/>
    <w:rsid w:val="00856929"/>
    <w:rsid w:val="00857D0D"/>
    <w:rsid w:val="00865B03"/>
    <w:rsid w:val="008943B8"/>
    <w:rsid w:val="008A0399"/>
    <w:rsid w:val="008A35EB"/>
    <w:rsid w:val="008B01C0"/>
    <w:rsid w:val="008B2881"/>
    <w:rsid w:val="008B6756"/>
    <w:rsid w:val="008B6E8B"/>
    <w:rsid w:val="008C4843"/>
    <w:rsid w:val="008C62AD"/>
    <w:rsid w:val="008D150D"/>
    <w:rsid w:val="008D4DED"/>
    <w:rsid w:val="008D5BB4"/>
    <w:rsid w:val="008E184A"/>
    <w:rsid w:val="008E31E0"/>
    <w:rsid w:val="008E5109"/>
    <w:rsid w:val="008E71D8"/>
    <w:rsid w:val="008E7216"/>
    <w:rsid w:val="008F3713"/>
    <w:rsid w:val="008F51FC"/>
    <w:rsid w:val="008F7D8D"/>
    <w:rsid w:val="00900B28"/>
    <w:rsid w:val="00902F2C"/>
    <w:rsid w:val="0091733A"/>
    <w:rsid w:val="00925673"/>
    <w:rsid w:val="009273EA"/>
    <w:rsid w:val="00931508"/>
    <w:rsid w:val="009414B1"/>
    <w:rsid w:val="00943BF2"/>
    <w:rsid w:val="00953957"/>
    <w:rsid w:val="00954A02"/>
    <w:rsid w:val="009619F6"/>
    <w:rsid w:val="0098039C"/>
    <w:rsid w:val="00990DDF"/>
    <w:rsid w:val="00992EB2"/>
    <w:rsid w:val="009A0BE8"/>
    <w:rsid w:val="009A20A1"/>
    <w:rsid w:val="009A6D46"/>
    <w:rsid w:val="009C1E96"/>
    <w:rsid w:val="009C38F0"/>
    <w:rsid w:val="009C7BF8"/>
    <w:rsid w:val="009D2F2A"/>
    <w:rsid w:val="009D3865"/>
    <w:rsid w:val="009E14DE"/>
    <w:rsid w:val="009E18E7"/>
    <w:rsid w:val="009E7A6E"/>
    <w:rsid w:val="009E7D11"/>
    <w:rsid w:val="00A0184F"/>
    <w:rsid w:val="00A03B20"/>
    <w:rsid w:val="00A04FEF"/>
    <w:rsid w:val="00A05155"/>
    <w:rsid w:val="00A05F27"/>
    <w:rsid w:val="00A07A3A"/>
    <w:rsid w:val="00A12151"/>
    <w:rsid w:val="00A12185"/>
    <w:rsid w:val="00A1420F"/>
    <w:rsid w:val="00A3061B"/>
    <w:rsid w:val="00A54EA6"/>
    <w:rsid w:val="00A570A1"/>
    <w:rsid w:val="00A61A12"/>
    <w:rsid w:val="00A638F9"/>
    <w:rsid w:val="00A710B1"/>
    <w:rsid w:val="00A71230"/>
    <w:rsid w:val="00A74692"/>
    <w:rsid w:val="00A8200E"/>
    <w:rsid w:val="00A8345B"/>
    <w:rsid w:val="00A91686"/>
    <w:rsid w:val="00A9360F"/>
    <w:rsid w:val="00A96BF4"/>
    <w:rsid w:val="00A97CCF"/>
    <w:rsid w:val="00AA0EEC"/>
    <w:rsid w:val="00AA22E5"/>
    <w:rsid w:val="00AA406A"/>
    <w:rsid w:val="00AB4AED"/>
    <w:rsid w:val="00AC746E"/>
    <w:rsid w:val="00AD2A20"/>
    <w:rsid w:val="00AD3116"/>
    <w:rsid w:val="00AE136E"/>
    <w:rsid w:val="00AF3B27"/>
    <w:rsid w:val="00B0023B"/>
    <w:rsid w:val="00B0220D"/>
    <w:rsid w:val="00B03AF4"/>
    <w:rsid w:val="00B04BDF"/>
    <w:rsid w:val="00B05A5F"/>
    <w:rsid w:val="00B1113E"/>
    <w:rsid w:val="00B15C4A"/>
    <w:rsid w:val="00B1760C"/>
    <w:rsid w:val="00B208E8"/>
    <w:rsid w:val="00B225F7"/>
    <w:rsid w:val="00B25FBC"/>
    <w:rsid w:val="00B3136A"/>
    <w:rsid w:val="00B3144D"/>
    <w:rsid w:val="00B3354D"/>
    <w:rsid w:val="00B33AC3"/>
    <w:rsid w:val="00B358B5"/>
    <w:rsid w:val="00B40CB4"/>
    <w:rsid w:val="00B51509"/>
    <w:rsid w:val="00B55157"/>
    <w:rsid w:val="00B60A66"/>
    <w:rsid w:val="00B61E83"/>
    <w:rsid w:val="00B7362D"/>
    <w:rsid w:val="00B86241"/>
    <w:rsid w:val="00B876E8"/>
    <w:rsid w:val="00B9370D"/>
    <w:rsid w:val="00B9375D"/>
    <w:rsid w:val="00B9498D"/>
    <w:rsid w:val="00B95BF0"/>
    <w:rsid w:val="00BA6E42"/>
    <w:rsid w:val="00BB0B1F"/>
    <w:rsid w:val="00BB2153"/>
    <w:rsid w:val="00BB27DA"/>
    <w:rsid w:val="00BC5D2E"/>
    <w:rsid w:val="00BD1E8B"/>
    <w:rsid w:val="00BD4943"/>
    <w:rsid w:val="00BD617A"/>
    <w:rsid w:val="00BE2D89"/>
    <w:rsid w:val="00BE764B"/>
    <w:rsid w:val="00BF5379"/>
    <w:rsid w:val="00C03320"/>
    <w:rsid w:val="00C1290A"/>
    <w:rsid w:val="00C225E8"/>
    <w:rsid w:val="00C27135"/>
    <w:rsid w:val="00C27918"/>
    <w:rsid w:val="00C34DB3"/>
    <w:rsid w:val="00C37F5D"/>
    <w:rsid w:val="00C4152A"/>
    <w:rsid w:val="00C41ED3"/>
    <w:rsid w:val="00C47D27"/>
    <w:rsid w:val="00C5580A"/>
    <w:rsid w:val="00C5583B"/>
    <w:rsid w:val="00C62224"/>
    <w:rsid w:val="00C65F36"/>
    <w:rsid w:val="00C66128"/>
    <w:rsid w:val="00C80BC9"/>
    <w:rsid w:val="00C80BE0"/>
    <w:rsid w:val="00C813C1"/>
    <w:rsid w:val="00C92241"/>
    <w:rsid w:val="00C97FB8"/>
    <w:rsid w:val="00CA5A94"/>
    <w:rsid w:val="00CA6AB3"/>
    <w:rsid w:val="00CB21D9"/>
    <w:rsid w:val="00CB54D0"/>
    <w:rsid w:val="00CC5CCE"/>
    <w:rsid w:val="00CC7178"/>
    <w:rsid w:val="00CD0AFF"/>
    <w:rsid w:val="00CD176D"/>
    <w:rsid w:val="00CD355D"/>
    <w:rsid w:val="00CD4DAD"/>
    <w:rsid w:val="00CD50A1"/>
    <w:rsid w:val="00CE6B3D"/>
    <w:rsid w:val="00D00DC5"/>
    <w:rsid w:val="00D035FD"/>
    <w:rsid w:val="00D179B1"/>
    <w:rsid w:val="00D17F7B"/>
    <w:rsid w:val="00D339DC"/>
    <w:rsid w:val="00D34A64"/>
    <w:rsid w:val="00D37238"/>
    <w:rsid w:val="00D37C26"/>
    <w:rsid w:val="00D459F9"/>
    <w:rsid w:val="00D557DF"/>
    <w:rsid w:val="00D57DB6"/>
    <w:rsid w:val="00D67FE1"/>
    <w:rsid w:val="00D75508"/>
    <w:rsid w:val="00D75AA9"/>
    <w:rsid w:val="00D76F40"/>
    <w:rsid w:val="00D77239"/>
    <w:rsid w:val="00D96DD2"/>
    <w:rsid w:val="00DA0CAA"/>
    <w:rsid w:val="00DA22C9"/>
    <w:rsid w:val="00DA2789"/>
    <w:rsid w:val="00DC14C7"/>
    <w:rsid w:val="00DC6140"/>
    <w:rsid w:val="00DC6C66"/>
    <w:rsid w:val="00DD3549"/>
    <w:rsid w:val="00DD45A3"/>
    <w:rsid w:val="00DD6D56"/>
    <w:rsid w:val="00DD7D24"/>
    <w:rsid w:val="00DF69C8"/>
    <w:rsid w:val="00DF735E"/>
    <w:rsid w:val="00E04B87"/>
    <w:rsid w:val="00E33A01"/>
    <w:rsid w:val="00E534BA"/>
    <w:rsid w:val="00E570FE"/>
    <w:rsid w:val="00E577A8"/>
    <w:rsid w:val="00E62B2C"/>
    <w:rsid w:val="00E71173"/>
    <w:rsid w:val="00E84DAA"/>
    <w:rsid w:val="00E94F0F"/>
    <w:rsid w:val="00EA3F94"/>
    <w:rsid w:val="00EA5B2A"/>
    <w:rsid w:val="00EB169F"/>
    <w:rsid w:val="00EC2943"/>
    <w:rsid w:val="00EC48EC"/>
    <w:rsid w:val="00EC7B34"/>
    <w:rsid w:val="00ED010C"/>
    <w:rsid w:val="00EE58D6"/>
    <w:rsid w:val="00EF6E25"/>
    <w:rsid w:val="00F02954"/>
    <w:rsid w:val="00F07279"/>
    <w:rsid w:val="00F113DE"/>
    <w:rsid w:val="00F11A00"/>
    <w:rsid w:val="00F15C3B"/>
    <w:rsid w:val="00F25649"/>
    <w:rsid w:val="00F30247"/>
    <w:rsid w:val="00F3041F"/>
    <w:rsid w:val="00F31531"/>
    <w:rsid w:val="00F32219"/>
    <w:rsid w:val="00F33A68"/>
    <w:rsid w:val="00F420C7"/>
    <w:rsid w:val="00F54D73"/>
    <w:rsid w:val="00F55C7A"/>
    <w:rsid w:val="00F71F82"/>
    <w:rsid w:val="00F74261"/>
    <w:rsid w:val="00F76EBE"/>
    <w:rsid w:val="00F816F2"/>
    <w:rsid w:val="00F816FC"/>
    <w:rsid w:val="00F866B1"/>
    <w:rsid w:val="00F87A02"/>
    <w:rsid w:val="00F9202F"/>
    <w:rsid w:val="00F9678C"/>
    <w:rsid w:val="00FA2596"/>
    <w:rsid w:val="00FC08A4"/>
    <w:rsid w:val="00FC7022"/>
    <w:rsid w:val="00FD2272"/>
    <w:rsid w:val="00FD7060"/>
    <w:rsid w:val="00FD7C2F"/>
    <w:rsid w:val="00FE21BF"/>
    <w:rsid w:val="00FE3128"/>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9D912"/>
  <w15:chartTrackingRefBased/>
  <w15:docId w15:val="{1C30556B-DE9A-4140-84C5-F17329A0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iPriority="35" w:unhideWhenUsed="1"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05F27"/>
    <w:pPr>
      <w:widowControl w:val="0"/>
      <w:jc w:val="both"/>
    </w:pPr>
    <w:rPr>
      <w:kern w:val="2"/>
      <w:sz w:val="21"/>
      <w:szCs w:val="24"/>
    </w:rPr>
  </w:style>
  <w:style w:type="paragraph" w:styleId="1">
    <w:name w:val="heading 1"/>
    <w:basedOn w:val="a1"/>
    <w:next w:val="a1"/>
    <w:link w:val="10"/>
    <w:uiPriority w:val="9"/>
    <w:qFormat/>
    <w:rsid w:val="00C03320"/>
    <w:pPr>
      <w:keepNext/>
      <w:keepLines/>
      <w:widowControl/>
      <w:spacing w:before="480" w:line="420" w:lineRule="auto"/>
      <w:jc w:val="left"/>
      <w:outlineLvl w:val="0"/>
    </w:pPr>
    <w:rPr>
      <w:rFonts w:asciiTheme="majorHAnsi" w:eastAsiaTheme="majorEastAsia" w:hAnsiTheme="majorHAnsi" w:cstheme="majorBidi"/>
      <w:b/>
      <w:bCs/>
      <w:color w:val="2E74B5" w:themeColor="accent1" w:themeShade="BF"/>
      <w:kern w:val="0"/>
      <w:sz w:val="28"/>
      <w:szCs w:val="28"/>
      <w:lang w:eastAsia="en-US"/>
    </w:rPr>
  </w:style>
  <w:style w:type="paragraph" w:styleId="21">
    <w:name w:val="heading 2"/>
    <w:basedOn w:val="a1"/>
    <w:next w:val="a1"/>
    <w:link w:val="22"/>
    <w:uiPriority w:val="9"/>
    <w:unhideWhenUsed/>
    <w:qFormat/>
    <w:rsid w:val="00C03320"/>
    <w:pPr>
      <w:keepNext/>
      <w:keepLines/>
      <w:widowControl/>
      <w:spacing w:before="200" w:line="420" w:lineRule="auto"/>
      <w:jc w:val="left"/>
      <w:outlineLvl w:val="1"/>
    </w:pPr>
    <w:rPr>
      <w:rFonts w:asciiTheme="majorHAnsi" w:eastAsiaTheme="majorEastAsia" w:hAnsiTheme="majorHAnsi" w:cstheme="majorBidi"/>
      <w:b/>
      <w:bCs/>
      <w:color w:val="5B9BD5" w:themeColor="accent1"/>
      <w:kern w:val="0"/>
      <w:sz w:val="26"/>
      <w:szCs w:val="26"/>
      <w:lang w:eastAsia="en-US"/>
    </w:rPr>
  </w:style>
  <w:style w:type="paragraph" w:styleId="31">
    <w:name w:val="heading 3"/>
    <w:basedOn w:val="a1"/>
    <w:next w:val="a1"/>
    <w:link w:val="32"/>
    <w:uiPriority w:val="9"/>
    <w:unhideWhenUsed/>
    <w:qFormat/>
    <w:rsid w:val="00C03320"/>
    <w:pPr>
      <w:keepNext/>
      <w:keepLines/>
      <w:widowControl/>
      <w:spacing w:before="200" w:line="420" w:lineRule="auto"/>
      <w:jc w:val="left"/>
      <w:outlineLvl w:val="2"/>
    </w:pPr>
    <w:rPr>
      <w:rFonts w:asciiTheme="majorHAnsi" w:eastAsiaTheme="majorEastAsia" w:hAnsiTheme="majorHAnsi" w:cstheme="majorBidi"/>
      <w:b/>
      <w:bCs/>
      <w:color w:val="5B9BD5" w:themeColor="accent1"/>
      <w:kern w:val="0"/>
      <w:sz w:val="22"/>
      <w:szCs w:val="22"/>
      <w:lang w:eastAsia="en-US"/>
    </w:rPr>
  </w:style>
  <w:style w:type="paragraph" w:styleId="4">
    <w:name w:val="heading 4"/>
    <w:basedOn w:val="a1"/>
    <w:next w:val="a1"/>
    <w:link w:val="40"/>
    <w:uiPriority w:val="9"/>
    <w:semiHidden/>
    <w:unhideWhenUsed/>
    <w:qFormat/>
    <w:rsid w:val="00C03320"/>
    <w:pPr>
      <w:keepNext/>
      <w:keepLines/>
      <w:widowControl/>
      <w:spacing w:before="200" w:line="420" w:lineRule="auto"/>
      <w:jc w:val="left"/>
      <w:outlineLvl w:val="3"/>
    </w:pPr>
    <w:rPr>
      <w:rFonts w:asciiTheme="majorHAnsi" w:eastAsiaTheme="majorEastAsia" w:hAnsiTheme="majorHAnsi" w:cstheme="majorBidi"/>
      <w:b/>
      <w:bCs/>
      <w:i/>
      <w:iCs/>
      <w:color w:val="5B9BD5" w:themeColor="accent1"/>
      <w:kern w:val="0"/>
      <w:sz w:val="22"/>
      <w:szCs w:val="22"/>
      <w:lang w:eastAsia="en-US"/>
    </w:rPr>
  </w:style>
  <w:style w:type="paragraph" w:styleId="5">
    <w:name w:val="heading 5"/>
    <w:basedOn w:val="a1"/>
    <w:next w:val="a1"/>
    <w:link w:val="50"/>
    <w:uiPriority w:val="9"/>
    <w:semiHidden/>
    <w:unhideWhenUsed/>
    <w:qFormat/>
    <w:rsid w:val="00C03320"/>
    <w:pPr>
      <w:keepNext/>
      <w:keepLines/>
      <w:widowControl/>
      <w:spacing w:before="200" w:line="420" w:lineRule="auto"/>
      <w:jc w:val="left"/>
      <w:outlineLvl w:val="4"/>
    </w:pPr>
    <w:rPr>
      <w:rFonts w:asciiTheme="majorHAnsi" w:eastAsiaTheme="majorEastAsia" w:hAnsiTheme="majorHAnsi" w:cstheme="majorBidi"/>
      <w:color w:val="1F4D78" w:themeColor="accent1" w:themeShade="7F"/>
      <w:kern w:val="0"/>
      <w:sz w:val="22"/>
      <w:szCs w:val="22"/>
      <w:lang w:eastAsia="en-US"/>
    </w:rPr>
  </w:style>
  <w:style w:type="paragraph" w:styleId="6">
    <w:name w:val="heading 6"/>
    <w:basedOn w:val="a1"/>
    <w:next w:val="a1"/>
    <w:link w:val="60"/>
    <w:uiPriority w:val="9"/>
    <w:semiHidden/>
    <w:unhideWhenUsed/>
    <w:qFormat/>
    <w:rsid w:val="00C03320"/>
    <w:pPr>
      <w:keepNext/>
      <w:keepLines/>
      <w:widowControl/>
      <w:spacing w:before="200" w:line="420" w:lineRule="auto"/>
      <w:jc w:val="left"/>
      <w:outlineLvl w:val="5"/>
    </w:pPr>
    <w:rPr>
      <w:rFonts w:asciiTheme="majorHAnsi" w:eastAsiaTheme="majorEastAsia" w:hAnsiTheme="majorHAnsi" w:cstheme="majorBidi"/>
      <w:i/>
      <w:iCs/>
      <w:color w:val="1F4D78" w:themeColor="accent1" w:themeShade="7F"/>
      <w:kern w:val="0"/>
      <w:sz w:val="22"/>
      <w:szCs w:val="22"/>
      <w:lang w:eastAsia="en-US"/>
    </w:rPr>
  </w:style>
  <w:style w:type="paragraph" w:styleId="7">
    <w:name w:val="heading 7"/>
    <w:basedOn w:val="a1"/>
    <w:next w:val="a1"/>
    <w:link w:val="70"/>
    <w:uiPriority w:val="9"/>
    <w:semiHidden/>
    <w:unhideWhenUsed/>
    <w:qFormat/>
    <w:rsid w:val="00C03320"/>
    <w:pPr>
      <w:keepNext/>
      <w:keepLines/>
      <w:widowControl/>
      <w:spacing w:before="200" w:line="420" w:lineRule="auto"/>
      <w:jc w:val="left"/>
      <w:outlineLvl w:val="6"/>
    </w:pPr>
    <w:rPr>
      <w:rFonts w:asciiTheme="majorHAnsi" w:eastAsiaTheme="majorEastAsia" w:hAnsiTheme="majorHAnsi" w:cstheme="majorBidi"/>
      <w:i/>
      <w:iCs/>
      <w:color w:val="404040" w:themeColor="text1" w:themeTint="BF"/>
      <w:kern w:val="0"/>
      <w:sz w:val="22"/>
      <w:szCs w:val="22"/>
      <w:lang w:eastAsia="en-US"/>
    </w:rPr>
  </w:style>
  <w:style w:type="paragraph" w:styleId="8">
    <w:name w:val="heading 8"/>
    <w:basedOn w:val="a1"/>
    <w:next w:val="a1"/>
    <w:link w:val="80"/>
    <w:uiPriority w:val="9"/>
    <w:semiHidden/>
    <w:unhideWhenUsed/>
    <w:qFormat/>
    <w:rsid w:val="00C03320"/>
    <w:pPr>
      <w:keepNext/>
      <w:keepLines/>
      <w:widowControl/>
      <w:spacing w:before="200" w:line="420" w:lineRule="auto"/>
      <w:jc w:val="left"/>
      <w:outlineLvl w:val="7"/>
    </w:pPr>
    <w:rPr>
      <w:rFonts w:asciiTheme="majorHAnsi" w:eastAsiaTheme="majorEastAsia" w:hAnsiTheme="majorHAnsi" w:cstheme="majorBidi"/>
      <w:color w:val="5B9BD5" w:themeColor="accent1"/>
      <w:kern w:val="0"/>
      <w:sz w:val="20"/>
      <w:szCs w:val="20"/>
      <w:lang w:eastAsia="en-US"/>
    </w:rPr>
  </w:style>
  <w:style w:type="paragraph" w:styleId="9">
    <w:name w:val="heading 9"/>
    <w:basedOn w:val="a1"/>
    <w:next w:val="a1"/>
    <w:link w:val="90"/>
    <w:uiPriority w:val="9"/>
    <w:semiHidden/>
    <w:unhideWhenUsed/>
    <w:qFormat/>
    <w:rsid w:val="00C03320"/>
    <w:pPr>
      <w:keepNext/>
      <w:keepLines/>
      <w:widowControl/>
      <w:spacing w:before="200" w:line="420" w:lineRule="auto"/>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DA22C9"/>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DA22C9"/>
    <w:rPr>
      <w:kern w:val="2"/>
      <w:sz w:val="18"/>
      <w:szCs w:val="18"/>
    </w:rPr>
  </w:style>
  <w:style w:type="paragraph" w:styleId="a7">
    <w:name w:val="footer"/>
    <w:basedOn w:val="a1"/>
    <w:link w:val="a8"/>
    <w:uiPriority w:val="99"/>
    <w:rsid w:val="00DA22C9"/>
    <w:pPr>
      <w:tabs>
        <w:tab w:val="center" w:pos="4153"/>
        <w:tab w:val="right" w:pos="8306"/>
      </w:tabs>
      <w:snapToGrid w:val="0"/>
      <w:jc w:val="left"/>
    </w:pPr>
    <w:rPr>
      <w:sz w:val="18"/>
      <w:szCs w:val="18"/>
    </w:rPr>
  </w:style>
  <w:style w:type="character" w:customStyle="1" w:styleId="a8">
    <w:name w:val="页脚 字符"/>
    <w:link w:val="a7"/>
    <w:uiPriority w:val="99"/>
    <w:rsid w:val="00DA22C9"/>
    <w:rPr>
      <w:kern w:val="2"/>
      <w:sz w:val="18"/>
      <w:szCs w:val="18"/>
    </w:rPr>
  </w:style>
  <w:style w:type="paragraph" w:styleId="a9">
    <w:name w:val="Balloon Text"/>
    <w:basedOn w:val="a1"/>
    <w:link w:val="aa"/>
    <w:rsid w:val="00A710B1"/>
    <w:rPr>
      <w:sz w:val="18"/>
      <w:szCs w:val="18"/>
    </w:rPr>
  </w:style>
  <w:style w:type="character" w:customStyle="1" w:styleId="aa">
    <w:name w:val="批注框文本 字符"/>
    <w:basedOn w:val="a2"/>
    <w:link w:val="a9"/>
    <w:rsid w:val="00A710B1"/>
    <w:rPr>
      <w:kern w:val="2"/>
      <w:sz w:val="18"/>
      <w:szCs w:val="18"/>
    </w:rPr>
  </w:style>
  <w:style w:type="paragraph" w:styleId="ab">
    <w:name w:val="Body Text"/>
    <w:basedOn w:val="a1"/>
    <w:link w:val="ac"/>
    <w:uiPriority w:val="99"/>
    <w:rsid w:val="009A20A1"/>
    <w:pPr>
      <w:tabs>
        <w:tab w:val="left" w:pos="357"/>
      </w:tabs>
      <w:overflowPunct w:val="0"/>
      <w:ind w:firstLineChars="200" w:firstLine="200"/>
    </w:pPr>
    <w:rPr>
      <w:sz w:val="18"/>
      <w:szCs w:val="20"/>
    </w:rPr>
  </w:style>
  <w:style w:type="character" w:customStyle="1" w:styleId="ac">
    <w:name w:val="正文文本 字符"/>
    <w:basedOn w:val="a2"/>
    <w:link w:val="ab"/>
    <w:uiPriority w:val="99"/>
    <w:rsid w:val="009A20A1"/>
    <w:rPr>
      <w:kern w:val="2"/>
      <w:sz w:val="18"/>
    </w:rPr>
  </w:style>
  <w:style w:type="table" w:styleId="ad">
    <w:name w:val="Table Grid"/>
    <w:basedOn w:val="a3"/>
    <w:uiPriority w:val="59"/>
    <w:rsid w:val="009A2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2"/>
    <w:uiPriority w:val="99"/>
    <w:semiHidden/>
    <w:rsid w:val="00F54D73"/>
    <w:rPr>
      <w:color w:val="808080"/>
    </w:rPr>
  </w:style>
  <w:style w:type="paragraph" w:styleId="af">
    <w:name w:val="List Paragraph"/>
    <w:basedOn w:val="a1"/>
    <w:uiPriority w:val="34"/>
    <w:qFormat/>
    <w:rsid w:val="00546E7A"/>
    <w:pPr>
      <w:ind w:firstLineChars="200" w:firstLine="420"/>
    </w:pPr>
  </w:style>
  <w:style w:type="character" w:customStyle="1" w:styleId="text-token-text-primary">
    <w:name w:val="text-token-text-primary"/>
    <w:basedOn w:val="a2"/>
    <w:rsid w:val="002B7DA8"/>
  </w:style>
  <w:style w:type="character" w:customStyle="1" w:styleId="10">
    <w:name w:val="标题 1 字符"/>
    <w:basedOn w:val="a2"/>
    <w:link w:val="1"/>
    <w:uiPriority w:val="9"/>
    <w:rsid w:val="00C03320"/>
    <w:rPr>
      <w:rFonts w:asciiTheme="majorHAnsi" w:eastAsiaTheme="majorEastAsia" w:hAnsiTheme="majorHAnsi" w:cstheme="majorBidi"/>
      <w:b/>
      <w:bCs/>
      <w:color w:val="2E74B5" w:themeColor="accent1" w:themeShade="BF"/>
      <w:sz w:val="28"/>
      <w:szCs w:val="28"/>
      <w:lang w:eastAsia="en-US"/>
    </w:rPr>
  </w:style>
  <w:style w:type="character" w:customStyle="1" w:styleId="22">
    <w:name w:val="标题 2 字符"/>
    <w:basedOn w:val="a2"/>
    <w:link w:val="21"/>
    <w:uiPriority w:val="9"/>
    <w:rsid w:val="00C03320"/>
    <w:rPr>
      <w:rFonts w:asciiTheme="majorHAnsi" w:eastAsiaTheme="majorEastAsia" w:hAnsiTheme="majorHAnsi" w:cstheme="majorBidi"/>
      <w:b/>
      <w:bCs/>
      <w:color w:val="5B9BD5" w:themeColor="accent1"/>
      <w:sz w:val="26"/>
      <w:szCs w:val="26"/>
      <w:lang w:eastAsia="en-US"/>
    </w:rPr>
  </w:style>
  <w:style w:type="character" w:customStyle="1" w:styleId="32">
    <w:name w:val="标题 3 字符"/>
    <w:basedOn w:val="a2"/>
    <w:link w:val="31"/>
    <w:uiPriority w:val="9"/>
    <w:rsid w:val="00C03320"/>
    <w:rPr>
      <w:rFonts w:asciiTheme="majorHAnsi" w:eastAsiaTheme="majorEastAsia" w:hAnsiTheme="majorHAnsi" w:cstheme="majorBidi"/>
      <w:b/>
      <w:bCs/>
      <w:color w:val="5B9BD5" w:themeColor="accent1"/>
      <w:sz w:val="22"/>
      <w:szCs w:val="22"/>
      <w:lang w:eastAsia="en-US"/>
    </w:rPr>
  </w:style>
  <w:style w:type="character" w:customStyle="1" w:styleId="40">
    <w:name w:val="标题 4 字符"/>
    <w:basedOn w:val="a2"/>
    <w:link w:val="4"/>
    <w:uiPriority w:val="9"/>
    <w:semiHidden/>
    <w:rsid w:val="00C03320"/>
    <w:rPr>
      <w:rFonts w:asciiTheme="majorHAnsi" w:eastAsiaTheme="majorEastAsia" w:hAnsiTheme="majorHAnsi" w:cstheme="majorBidi"/>
      <w:b/>
      <w:bCs/>
      <w:i/>
      <w:iCs/>
      <w:color w:val="5B9BD5" w:themeColor="accent1"/>
      <w:sz w:val="22"/>
      <w:szCs w:val="22"/>
      <w:lang w:eastAsia="en-US"/>
    </w:rPr>
  </w:style>
  <w:style w:type="character" w:customStyle="1" w:styleId="50">
    <w:name w:val="标题 5 字符"/>
    <w:basedOn w:val="a2"/>
    <w:link w:val="5"/>
    <w:uiPriority w:val="9"/>
    <w:semiHidden/>
    <w:rsid w:val="00C03320"/>
    <w:rPr>
      <w:rFonts w:asciiTheme="majorHAnsi" w:eastAsiaTheme="majorEastAsia" w:hAnsiTheme="majorHAnsi" w:cstheme="majorBidi"/>
      <w:color w:val="1F4D78" w:themeColor="accent1" w:themeShade="7F"/>
      <w:sz w:val="22"/>
      <w:szCs w:val="22"/>
      <w:lang w:eastAsia="en-US"/>
    </w:rPr>
  </w:style>
  <w:style w:type="character" w:customStyle="1" w:styleId="60">
    <w:name w:val="标题 6 字符"/>
    <w:basedOn w:val="a2"/>
    <w:link w:val="6"/>
    <w:uiPriority w:val="9"/>
    <w:semiHidden/>
    <w:rsid w:val="00C03320"/>
    <w:rPr>
      <w:rFonts w:asciiTheme="majorHAnsi" w:eastAsiaTheme="majorEastAsia" w:hAnsiTheme="majorHAnsi" w:cstheme="majorBidi"/>
      <w:i/>
      <w:iCs/>
      <w:color w:val="1F4D78" w:themeColor="accent1" w:themeShade="7F"/>
      <w:sz w:val="22"/>
      <w:szCs w:val="22"/>
      <w:lang w:eastAsia="en-US"/>
    </w:rPr>
  </w:style>
  <w:style w:type="character" w:customStyle="1" w:styleId="70">
    <w:name w:val="标题 7 字符"/>
    <w:basedOn w:val="a2"/>
    <w:link w:val="7"/>
    <w:uiPriority w:val="9"/>
    <w:semiHidden/>
    <w:rsid w:val="00C03320"/>
    <w:rPr>
      <w:rFonts w:asciiTheme="majorHAnsi" w:eastAsiaTheme="majorEastAsia" w:hAnsiTheme="majorHAnsi" w:cstheme="majorBidi"/>
      <w:i/>
      <w:iCs/>
      <w:color w:val="404040" w:themeColor="text1" w:themeTint="BF"/>
      <w:sz w:val="22"/>
      <w:szCs w:val="22"/>
      <w:lang w:eastAsia="en-US"/>
    </w:rPr>
  </w:style>
  <w:style w:type="character" w:customStyle="1" w:styleId="80">
    <w:name w:val="标题 8 字符"/>
    <w:basedOn w:val="a2"/>
    <w:link w:val="8"/>
    <w:uiPriority w:val="9"/>
    <w:semiHidden/>
    <w:rsid w:val="00C03320"/>
    <w:rPr>
      <w:rFonts w:asciiTheme="majorHAnsi" w:eastAsiaTheme="majorEastAsia" w:hAnsiTheme="majorHAnsi" w:cstheme="majorBidi"/>
      <w:color w:val="5B9BD5" w:themeColor="accent1"/>
      <w:lang w:eastAsia="en-US"/>
    </w:rPr>
  </w:style>
  <w:style w:type="character" w:customStyle="1" w:styleId="90">
    <w:name w:val="标题 9 字符"/>
    <w:basedOn w:val="a2"/>
    <w:link w:val="9"/>
    <w:uiPriority w:val="9"/>
    <w:semiHidden/>
    <w:rsid w:val="00C03320"/>
    <w:rPr>
      <w:rFonts w:asciiTheme="majorHAnsi" w:eastAsiaTheme="majorEastAsia" w:hAnsiTheme="majorHAnsi" w:cstheme="majorBidi"/>
      <w:i/>
      <w:iCs/>
      <w:color w:val="404040" w:themeColor="text1" w:themeTint="BF"/>
      <w:lang w:eastAsia="en-US"/>
    </w:rPr>
  </w:style>
  <w:style w:type="paragraph" w:styleId="af0">
    <w:name w:val="No Spacing"/>
    <w:uiPriority w:val="1"/>
    <w:qFormat/>
    <w:rsid w:val="00C03320"/>
    <w:rPr>
      <w:rFonts w:asciiTheme="minorHAnsi" w:eastAsiaTheme="minorEastAsia" w:hAnsiTheme="minorHAnsi" w:cstheme="minorBidi"/>
      <w:sz w:val="22"/>
      <w:szCs w:val="22"/>
      <w:lang w:eastAsia="en-US"/>
    </w:rPr>
  </w:style>
  <w:style w:type="paragraph" w:styleId="af1">
    <w:name w:val="Title"/>
    <w:basedOn w:val="a1"/>
    <w:next w:val="a1"/>
    <w:link w:val="af2"/>
    <w:uiPriority w:val="10"/>
    <w:qFormat/>
    <w:rsid w:val="00C03320"/>
    <w:pPr>
      <w:widowControl/>
      <w:pBdr>
        <w:bottom w:val="single" w:sz="8" w:space="4" w:color="5B9BD5"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eastAsia="en-US"/>
    </w:rPr>
  </w:style>
  <w:style w:type="character" w:customStyle="1" w:styleId="af2">
    <w:name w:val="标题 字符"/>
    <w:basedOn w:val="a2"/>
    <w:link w:val="af1"/>
    <w:uiPriority w:val="10"/>
    <w:rsid w:val="00C03320"/>
    <w:rPr>
      <w:rFonts w:asciiTheme="majorHAnsi" w:eastAsiaTheme="majorEastAsia" w:hAnsiTheme="majorHAnsi" w:cstheme="majorBidi"/>
      <w:color w:val="323E4F" w:themeColor="text2" w:themeShade="BF"/>
      <w:spacing w:val="5"/>
      <w:kern w:val="28"/>
      <w:sz w:val="52"/>
      <w:szCs w:val="52"/>
      <w:lang w:eastAsia="en-US"/>
    </w:rPr>
  </w:style>
  <w:style w:type="paragraph" w:styleId="af3">
    <w:name w:val="Subtitle"/>
    <w:basedOn w:val="a1"/>
    <w:next w:val="a1"/>
    <w:link w:val="af4"/>
    <w:uiPriority w:val="11"/>
    <w:qFormat/>
    <w:rsid w:val="00C03320"/>
    <w:pPr>
      <w:widowControl/>
      <w:numPr>
        <w:ilvl w:val="1"/>
      </w:numPr>
      <w:spacing w:after="200" w:line="420" w:lineRule="auto"/>
      <w:jc w:val="left"/>
    </w:pPr>
    <w:rPr>
      <w:rFonts w:asciiTheme="majorHAnsi" w:eastAsiaTheme="majorEastAsia" w:hAnsiTheme="majorHAnsi" w:cstheme="majorBidi"/>
      <w:i/>
      <w:iCs/>
      <w:color w:val="5B9BD5" w:themeColor="accent1"/>
      <w:spacing w:val="15"/>
      <w:kern w:val="0"/>
      <w:sz w:val="24"/>
      <w:lang w:eastAsia="en-US"/>
    </w:rPr>
  </w:style>
  <w:style w:type="character" w:customStyle="1" w:styleId="af4">
    <w:name w:val="副标题 字符"/>
    <w:basedOn w:val="a2"/>
    <w:link w:val="af3"/>
    <w:uiPriority w:val="11"/>
    <w:rsid w:val="00C03320"/>
    <w:rPr>
      <w:rFonts w:asciiTheme="majorHAnsi" w:eastAsiaTheme="majorEastAsia" w:hAnsiTheme="majorHAnsi" w:cstheme="majorBidi"/>
      <w:i/>
      <w:iCs/>
      <w:color w:val="5B9BD5" w:themeColor="accent1"/>
      <w:spacing w:val="15"/>
      <w:sz w:val="24"/>
      <w:szCs w:val="24"/>
      <w:lang w:eastAsia="en-US"/>
    </w:rPr>
  </w:style>
  <w:style w:type="paragraph" w:styleId="23">
    <w:name w:val="Body Text 2"/>
    <w:basedOn w:val="a1"/>
    <w:link w:val="24"/>
    <w:uiPriority w:val="99"/>
    <w:unhideWhenUsed/>
    <w:rsid w:val="00C03320"/>
    <w:pPr>
      <w:widowControl/>
      <w:spacing w:after="120" w:line="480" w:lineRule="auto"/>
      <w:jc w:val="left"/>
    </w:pPr>
    <w:rPr>
      <w:rFonts w:ascii="宋体" w:hAnsi="宋体" w:cstheme="minorBidi"/>
      <w:kern w:val="0"/>
      <w:sz w:val="22"/>
      <w:szCs w:val="22"/>
      <w:lang w:eastAsia="en-US"/>
    </w:rPr>
  </w:style>
  <w:style w:type="character" w:customStyle="1" w:styleId="24">
    <w:name w:val="正文文本 2 字符"/>
    <w:basedOn w:val="a2"/>
    <w:link w:val="23"/>
    <w:uiPriority w:val="99"/>
    <w:rsid w:val="00C03320"/>
    <w:rPr>
      <w:rFonts w:ascii="宋体" w:hAnsi="宋体" w:cstheme="minorBidi"/>
      <w:sz w:val="22"/>
      <w:szCs w:val="22"/>
      <w:lang w:eastAsia="en-US"/>
    </w:rPr>
  </w:style>
  <w:style w:type="paragraph" w:styleId="33">
    <w:name w:val="Body Text 3"/>
    <w:basedOn w:val="a1"/>
    <w:link w:val="34"/>
    <w:uiPriority w:val="99"/>
    <w:unhideWhenUsed/>
    <w:rsid w:val="00C03320"/>
    <w:pPr>
      <w:widowControl/>
      <w:spacing w:after="120" w:line="420" w:lineRule="auto"/>
      <w:jc w:val="left"/>
    </w:pPr>
    <w:rPr>
      <w:rFonts w:ascii="宋体" w:hAnsi="宋体" w:cstheme="minorBidi"/>
      <w:kern w:val="0"/>
      <w:sz w:val="16"/>
      <w:szCs w:val="16"/>
      <w:lang w:eastAsia="en-US"/>
    </w:rPr>
  </w:style>
  <w:style w:type="character" w:customStyle="1" w:styleId="34">
    <w:name w:val="正文文本 3 字符"/>
    <w:basedOn w:val="a2"/>
    <w:link w:val="33"/>
    <w:uiPriority w:val="99"/>
    <w:rsid w:val="00C03320"/>
    <w:rPr>
      <w:rFonts w:ascii="宋体" w:hAnsi="宋体" w:cstheme="minorBidi"/>
      <w:sz w:val="16"/>
      <w:szCs w:val="16"/>
      <w:lang w:eastAsia="en-US"/>
    </w:rPr>
  </w:style>
  <w:style w:type="paragraph" w:styleId="af5">
    <w:name w:val="List"/>
    <w:basedOn w:val="a1"/>
    <w:uiPriority w:val="99"/>
    <w:unhideWhenUsed/>
    <w:rsid w:val="00C03320"/>
    <w:pPr>
      <w:widowControl/>
      <w:spacing w:after="200" w:line="420" w:lineRule="auto"/>
      <w:ind w:left="360" w:hanging="360"/>
      <w:contextualSpacing/>
      <w:jc w:val="left"/>
    </w:pPr>
    <w:rPr>
      <w:rFonts w:ascii="宋体" w:hAnsi="宋体" w:cstheme="minorBidi"/>
      <w:kern w:val="0"/>
      <w:sz w:val="22"/>
      <w:szCs w:val="22"/>
      <w:lang w:eastAsia="en-US"/>
    </w:rPr>
  </w:style>
  <w:style w:type="paragraph" w:styleId="25">
    <w:name w:val="List 2"/>
    <w:basedOn w:val="a1"/>
    <w:uiPriority w:val="99"/>
    <w:unhideWhenUsed/>
    <w:rsid w:val="00C03320"/>
    <w:pPr>
      <w:widowControl/>
      <w:spacing w:after="200" w:line="420" w:lineRule="auto"/>
      <w:ind w:left="720" w:hanging="360"/>
      <w:contextualSpacing/>
      <w:jc w:val="left"/>
    </w:pPr>
    <w:rPr>
      <w:rFonts w:ascii="宋体" w:hAnsi="宋体" w:cstheme="minorBidi"/>
      <w:kern w:val="0"/>
      <w:sz w:val="22"/>
      <w:szCs w:val="22"/>
      <w:lang w:eastAsia="en-US"/>
    </w:rPr>
  </w:style>
  <w:style w:type="paragraph" w:styleId="35">
    <w:name w:val="List 3"/>
    <w:basedOn w:val="a1"/>
    <w:uiPriority w:val="99"/>
    <w:unhideWhenUsed/>
    <w:rsid w:val="00C03320"/>
    <w:pPr>
      <w:widowControl/>
      <w:spacing w:after="200" w:line="420" w:lineRule="auto"/>
      <w:ind w:left="1080" w:hanging="360"/>
      <w:contextualSpacing/>
      <w:jc w:val="left"/>
    </w:pPr>
    <w:rPr>
      <w:rFonts w:ascii="宋体" w:hAnsi="宋体" w:cstheme="minorBidi"/>
      <w:kern w:val="0"/>
      <w:sz w:val="22"/>
      <w:szCs w:val="22"/>
      <w:lang w:eastAsia="en-US"/>
    </w:rPr>
  </w:style>
  <w:style w:type="paragraph" w:styleId="a0">
    <w:name w:val="List Bullet"/>
    <w:basedOn w:val="a1"/>
    <w:uiPriority w:val="99"/>
    <w:unhideWhenUsed/>
    <w:rsid w:val="00C03320"/>
    <w:pPr>
      <w:widowControl/>
      <w:numPr>
        <w:numId w:val="15"/>
      </w:numPr>
      <w:spacing w:after="200" w:line="420" w:lineRule="auto"/>
      <w:contextualSpacing/>
      <w:jc w:val="left"/>
    </w:pPr>
    <w:rPr>
      <w:rFonts w:ascii="宋体" w:hAnsi="宋体" w:cstheme="minorBidi"/>
      <w:kern w:val="0"/>
      <w:sz w:val="22"/>
      <w:szCs w:val="22"/>
      <w:lang w:eastAsia="en-US"/>
    </w:rPr>
  </w:style>
  <w:style w:type="paragraph" w:styleId="20">
    <w:name w:val="List Bullet 2"/>
    <w:basedOn w:val="a1"/>
    <w:uiPriority w:val="99"/>
    <w:unhideWhenUsed/>
    <w:rsid w:val="00C03320"/>
    <w:pPr>
      <w:widowControl/>
      <w:numPr>
        <w:numId w:val="16"/>
      </w:numPr>
      <w:spacing w:after="200" w:line="420" w:lineRule="auto"/>
      <w:contextualSpacing/>
      <w:jc w:val="left"/>
    </w:pPr>
    <w:rPr>
      <w:rFonts w:ascii="宋体" w:hAnsi="宋体" w:cstheme="minorBidi"/>
      <w:kern w:val="0"/>
      <w:sz w:val="22"/>
      <w:szCs w:val="22"/>
      <w:lang w:eastAsia="en-US"/>
    </w:rPr>
  </w:style>
  <w:style w:type="paragraph" w:styleId="30">
    <w:name w:val="List Bullet 3"/>
    <w:basedOn w:val="a1"/>
    <w:uiPriority w:val="99"/>
    <w:unhideWhenUsed/>
    <w:rsid w:val="00C03320"/>
    <w:pPr>
      <w:widowControl/>
      <w:numPr>
        <w:numId w:val="17"/>
      </w:numPr>
      <w:spacing w:after="200" w:line="420" w:lineRule="auto"/>
      <w:contextualSpacing/>
      <w:jc w:val="left"/>
    </w:pPr>
    <w:rPr>
      <w:rFonts w:ascii="宋体" w:hAnsi="宋体" w:cstheme="minorBidi"/>
      <w:kern w:val="0"/>
      <w:sz w:val="22"/>
      <w:szCs w:val="22"/>
      <w:lang w:eastAsia="en-US"/>
    </w:rPr>
  </w:style>
  <w:style w:type="paragraph" w:styleId="a">
    <w:name w:val="List Number"/>
    <w:basedOn w:val="a1"/>
    <w:uiPriority w:val="99"/>
    <w:unhideWhenUsed/>
    <w:rsid w:val="00C03320"/>
    <w:pPr>
      <w:widowControl/>
      <w:numPr>
        <w:numId w:val="19"/>
      </w:numPr>
      <w:spacing w:after="200" w:line="420" w:lineRule="auto"/>
      <w:contextualSpacing/>
      <w:jc w:val="left"/>
    </w:pPr>
    <w:rPr>
      <w:rFonts w:ascii="宋体" w:hAnsi="宋体" w:cstheme="minorBidi"/>
      <w:kern w:val="0"/>
      <w:sz w:val="22"/>
      <w:szCs w:val="22"/>
      <w:lang w:eastAsia="en-US"/>
    </w:rPr>
  </w:style>
  <w:style w:type="paragraph" w:styleId="2">
    <w:name w:val="List Number 2"/>
    <w:basedOn w:val="a1"/>
    <w:uiPriority w:val="99"/>
    <w:unhideWhenUsed/>
    <w:rsid w:val="00C03320"/>
    <w:pPr>
      <w:widowControl/>
      <w:numPr>
        <w:numId w:val="20"/>
      </w:numPr>
      <w:spacing w:after="200" w:line="420" w:lineRule="auto"/>
      <w:contextualSpacing/>
      <w:jc w:val="left"/>
    </w:pPr>
    <w:rPr>
      <w:rFonts w:ascii="宋体" w:hAnsi="宋体" w:cstheme="minorBidi"/>
      <w:kern w:val="0"/>
      <w:sz w:val="22"/>
      <w:szCs w:val="22"/>
      <w:lang w:eastAsia="en-US"/>
    </w:rPr>
  </w:style>
  <w:style w:type="paragraph" w:styleId="3">
    <w:name w:val="List Number 3"/>
    <w:basedOn w:val="a1"/>
    <w:uiPriority w:val="99"/>
    <w:unhideWhenUsed/>
    <w:rsid w:val="00C03320"/>
    <w:pPr>
      <w:widowControl/>
      <w:numPr>
        <w:numId w:val="21"/>
      </w:numPr>
      <w:spacing w:after="200" w:line="420" w:lineRule="auto"/>
      <w:contextualSpacing/>
      <w:jc w:val="left"/>
    </w:pPr>
    <w:rPr>
      <w:rFonts w:ascii="宋体" w:hAnsi="宋体" w:cstheme="minorBidi"/>
      <w:kern w:val="0"/>
      <w:sz w:val="22"/>
      <w:szCs w:val="22"/>
      <w:lang w:eastAsia="en-US"/>
    </w:rPr>
  </w:style>
  <w:style w:type="paragraph" w:styleId="af6">
    <w:name w:val="List Continue"/>
    <w:basedOn w:val="a1"/>
    <w:uiPriority w:val="99"/>
    <w:unhideWhenUsed/>
    <w:rsid w:val="00C03320"/>
    <w:pPr>
      <w:widowControl/>
      <w:spacing w:after="120" w:line="420" w:lineRule="auto"/>
      <w:ind w:left="360"/>
      <w:contextualSpacing/>
      <w:jc w:val="left"/>
    </w:pPr>
    <w:rPr>
      <w:rFonts w:ascii="宋体" w:hAnsi="宋体" w:cstheme="minorBidi"/>
      <w:kern w:val="0"/>
      <w:sz w:val="22"/>
      <w:szCs w:val="22"/>
      <w:lang w:eastAsia="en-US"/>
    </w:rPr>
  </w:style>
  <w:style w:type="paragraph" w:styleId="26">
    <w:name w:val="List Continue 2"/>
    <w:basedOn w:val="a1"/>
    <w:uiPriority w:val="99"/>
    <w:unhideWhenUsed/>
    <w:rsid w:val="00C03320"/>
    <w:pPr>
      <w:widowControl/>
      <w:spacing w:after="120" w:line="420" w:lineRule="auto"/>
      <w:ind w:left="720"/>
      <w:contextualSpacing/>
      <w:jc w:val="left"/>
    </w:pPr>
    <w:rPr>
      <w:rFonts w:ascii="宋体" w:hAnsi="宋体" w:cstheme="minorBidi"/>
      <w:kern w:val="0"/>
      <w:sz w:val="22"/>
      <w:szCs w:val="22"/>
      <w:lang w:eastAsia="en-US"/>
    </w:rPr>
  </w:style>
  <w:style w:type="paragraph" w:styleId="36">
    <w:name w:val="List Continue 3"/>
    <w:basedOn w:val="a1"/>
    <w:uiPriority w:val="99"/>
    <w:unhideWhenUsed/>
    <w:rsid w:val="00C03320"/>
    <w:pPr>
      <w:widowControl/>
      <w:spacing w:after="120" w:line="420" w:lineRule="auto"/>
      <w:ind w:left="1080"/>
      <w:contextualSpacing/>
      <w:jc w:val="left"/>
    </w:pPr>
    <w:rPr>
      <w:rFonts w:ascii="宋体" w:hAnsi="宋体" w:cstheme="minorBidi"/>
      <w:kern w:val="0"/>
      <w:sz w:val="22"/>
      <w:szCs w:val="22"/>
      <w:lang w:eastAsia="en-US"/>
    </w:rPr>
  </w:style>
  <w:style w:type="paragraph" w:styleId="af7">
    <w:name w:val="macro"/>
    <w:link w:val="af8"/>
    <w:uiPriority w:val="99"/>
    <w:unhideWhenUsed/>
    <w:rsid w:val="00C0332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af8">
    <w:name w:val="宏文本 字符"/>
    <w:basedOn w:val="a2"/>
    <w:link w:val="af7"/>
    <w:uiPriority w:val="99"/>
    <w:rsid w:val="00C03320"/>
    <w:rPr>
      <w:rFonts w:ascii="Courier" w:eastAsiaTheme="minorEastAsia" w:hAnsi="Courier" w:cstheme="minorBidi"/>
      <w:lang w:eastAsia="en-US"/>
    </w:rPr>
  </w:style>
  <w:style w:type="paragraph" w:styleId="af9">
    <w:name w:val="Quote"/>
    <w:basedOn w:val="a1"/>
    <w:next w:val="a1"/>
    <w:link w:val="afa"/>
    <w:uiPriority w:val="29"/>
    <w:qFormat/>
    <w:rsid w:val="00C03320"/>
    <w:pPr>
      <w:widowControl/>
      <w:spacing w:after="200" w:line="420" w:lineRule="auto"/>
      <w:jc w:val="left"/>
    </w:pPr>
    <w:rPr>
      <w:rFonts w:ascii="宋体" w:hAnsi="宋体" w:cstheme="minorBidi"/>
      <w:i/>
      <w:iCs/>
      <w:color w:val="000000" w:themeColor="text1"/>
      <w:kern w:val="0"/>
      <w:sz w:val="22"/>
      <w:szCs w:val="22"/>
      <w:lang w:eastAsia="en-US"/>
    </w:rPr>
  </w:style>
  <w:style w:type="character" w:customStyle="1" w:styleId="afa">
    <w:name w:val="引用 字符"/>
    <w:basedOn w:val="a2"/>
    <w:link w:val="af9"/>
    <w:uiPriority w:val="29"/>
    <w:rsid w:val="00C03320"/>
    <w:rPr>
      <w:rFonts w:ascii="宋体" w:hAnsi="宋体" w:cstheme="minorBidi"/>
      <w:i/>
      <w:iCs/>
      <w:color w:val="000000" w:themeColor="text1"/>
      <w:sz w:val="22"/>
      <w:szCs w:val="22"/>
      <w:lang w:eastAsia="en-US"/>
    </w:rPr>
  </w:style>
  <w:style w:type="paragraph" w:styleId="afb">
    <w:name w:val="caption"/>
    <w:basedOn w:val="a1"/>
    <w:next w:val="a1"/>
    <w:uiPriority w:val="35"/>
    <w:semiHidden/>
    <w:unhideWhenUsed/>
    <w:qFormat/>
    <w:rsid w:val="00C03320"/>
    <w:pPr>
      <w:widowControl/>
      <w:spacing w:after="200"/>
      <w:jc w:val="left"/>
    </w:pPr>
    <w:rPr>
      <w:rFonts w:ascii="宋体" w:hAnsi="宋体" w:cstheme="minorBidi"/>
      <w:b/>
      <w:bCs/>
      <w:color w:val="5B9BD5" w:themeColor="accent1"/>
      <w:kern w:val="0"/>
      <w:sz w:val="18"/>
      <w:szCs w:val="18"/>
      <w:lang w:eastAsia="en-US"/>
    </w:rPr>
  </w:style>
  <w:style w:type="character" w:styleId="afc">
    <w:name w:val="Strong"/>
    <w:basedOn w:val="a2"/>
    <w:uiPriority w:val="22"/>
    <w:qFormat/>
    <w:rsid w:val="00C03320"/>
    <w:rPr>
      <w:b/>
      <w:bCs/>
    </w:rPr>
  </w:style>
  <w:style w:type="character" w:styleId="afd">
    <w:name w:val="Emphasis"/>
    <w:basedOn w:val="a2"/>
    <w:uiPriority w:val="20"/>
    <w:qFormat/>
    <w:rsid w:val="00C03320"/>
    <w:rPr>
      <w:i/>
      <w:iCs/>
    </w:rPr>
  </w:style>
  <w:style w:type="paragraph" w:styleId="afe">
    <w:name w:val="Intense Quote"/>
    <w:basedOn w:val="a1"/>
    <w:next w:val="a1"/>
    <w:link w:val="aff"/>
    <w:uiPriority w:val="30"/>
    <w:qFormat/>
    <w:rsid w:val="00C03320"/>
    <w:pPr>
      <w:widowControl/>
      <w:pBdr>
        <w:bottom w:val="single" w:sz="4" w:space="4" w:color="5B9BD5" w:themeColor="accent1"/>
      </w:pBdr>
      <w:spacing w:before="200" w:after="280" w:line="420" w:lineRule="auto"/>
      <w:ind w:left="936" w:right="936"/>
      <w:jc w:val="left"/>
    </w:pPr>
    <w:rPr>
      <w:rFonts w:ascii="宋体" w:hAnsi="宋体" w:cstheme="minorBidi"/>
      <w:b/>
      <w:bCs/>
      <w:i/>
      <w:iCs/>
      <w:color w:val="5B9BD5" w:themeColor="accent1"/>
      <w:kern w:val="0"/>
      <w:sz w:val="22"/>
      <w:szCs w:val="22"/>
      <w:lang w:eastAsia="en-US"/>
    </w:rPr>
  </w:style>
  <w:style w:type="character" w:customStyle="1" w:styleId="aff">
    <w:name w:val="明显引用 字符"/>
    <w:basedOn w:val="a2"/>
    <w:link w:val="afe"/>
    <w:uiPriority w:val="30"/>
    <w:rsid w:val="00C03320"/>
    <w:rPr>
      <w:rFonts w:ascii="宋体" w:hAnsi="宋体" w:cstheme="minorBidi"/>
      <w:b/>
      <w:bCs/>
      <w:i/>
      <w:iCs/>
      <w:color w:val="5B9BD5" w:themeColor="accent1"/>
      <w:sz w:val="22"/>
      <w:szCs w:val="22"/>
      <w:lang w:eastAsia="en-US"/>
    </w:rPr>
  </w:style>
  <w:style w:type="character" w:styleId="aff0">
    <w:name w:val="Subtle Emphasis"/>
    <w:basedOn w:val="a2"/>
    <w:uiPriority w:val="19"/>
    <w:qFormat/>
    <w:rsid w:val="00C03320"/>
    <w:rPr>
      <w:i/>
      <w:iCs/>
      <w:color w:val="808080" w:themeColor="text1" w:themeTint="7F"/>
    </w:rPr>
  </w:style>
  <w:style w:type="character" w:styleId="aff1">
    <w:name w:val="Intense Emphasis"/>
    <w:basedOn w:val="a2"/>
    <w:uiPriority w:val="21"/>
    <w:qFormat/>
    <w:rsid w:val="00C03320"/>
    <w:rPr>
      <w:b/>
      <w:bCs/>
      <w:i/>
      <w:iCs/>
      <w:color w:val="5B9BD5" w:themeColor="accent1"/>
    </w:rPr>
  </w:style>
  <w:style w:type="character" w:styleId="aff2">
    <w:name w:val="Subtle Reference"/>
    <w:basedOn w:val="a2"/>
    <w:uiPriority w:val="31"/>
    <w:qFormat/>
    <w:rsid w:val="00C03320"/>
    <w:rPr>
      <w:smallCaps/>
      <w:color w:val="ED7D31" w:themeColor="accent2"/>
      <w:u w:val="single"/>
    </w:rPr>
  </w:style>
  <w:style w:type="character" w:styleId="aff3">
    <w:name w:val="Intense Reference"/>
    <w:basedOn w:val="a2"/>
    <w:uiPriority w:val="32"/>
    <w:qFormat/>
    <w:rsid w:val="00C03320"/>
    <w:rPr>
      <w:b/>
      <w:bCs/>
      <w:smallCaps/>
      <w:color w:val="ED7D31" w:themeColor="accent2"/>
      <w:spacing w:val="5"/>
      <w:u w:val="single"/>
    </w:rPr>
  </w:style>
  <w:style w:type="character" w:styleId="aff4">
    <w:name w:val="Book Title"/>
    <w:basedOn w:val="a2"/>
    <w:uiPriority w:val="33"/>
    <w:qFormat/>
    <w:rsid w:val="00C03320"/>
    <w:rPr>
      <w:b/>
      <w:bCs/>
      <w:smallCaps/>
      <w:spacing w:val="5"/>
    </w:rPr>
  </w:style>
  <w:style w:type="paragraph" w:styleId="TOC">
    <w:name w:val="TOC Heading"/>
    <w:basedOn w:val="1"/>
    <w:next w:val="a1"/>
    <w:uiPriority w:val="39"/>
    <w:semiHidden/>
    <w:unhideWhenUsed/>
    <w:qFormat/>
    <w:rsid w:val="00C03320"/>
    <w:pPr>
      <w:outlineLvl w:val="9"/>
    </w:pPr>
  </w:style>
  <w:style w:type="table" w:styleId="aff5">
    <w:name w:val="Light Shading"/>
    <w:basedOn w:val="a3"/>
    <w:uiPriority w:val="60"/>
    <w:rsid w:val="00C03320"/>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C03320"/>
    <w:rPr>
      <w:rFonts w:asciiTheme="minorHAnsi" w:eastAsiaTheme="minorEastAsia" w:hAnsiTheme="minorHAnsi" w:cstheme="minorBidi"/>
      <w:color w:val="2E74B5" w:themeColor="accent1" w:themeShade="BF"/>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C03320"/>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C03320"/>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C03320"/>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C03320"/>
    <w:rPr>
      <w:rFonts w:asciiTheme="minorHAnsi" w:eastAsiaTheme="minorEastAsia" w:hAnsiTheme="minorHAnsi" w:cstheme="minorBidi"/>
      <w:color w:val="2F5496" w:themeColor="accent5" w:themeShade="BF"/>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C03320"/>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6">
    <w:name w:val="Light List"/>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7">
    <w:name w:val="Light Grid"/>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3"/>
    <w:uiPriority w:val="62"/>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03320"/>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03320"/>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3"/>
    <w:uiPriority w:val="69"/>
    <w:rsid w:val="00C03320"/>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8">
    <w:name w:val="Dark List"/>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C03320"/>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9">
    <w:name w:val="Colorful Shading"/>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C03320"/>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b">
    <w:name w:val="Colorful Grid"/>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C03320"/>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7029">
      <w:bodyDiv w:val="1"/>
      <w:marLeft w:val="0"/>
      <w:marRight w:val="0"/>
      <w:marTop w:val="0"/>
      <w:marBottom w:val="0"/>
      <w:divBdr>
        <w:top w:val="none" w:sz="0" w:space="0" w:color="auto"/>
        <w:left w:val="none" w:sz="0" w:space="0" w:color="auto"/>
        <w:bottom w:val="none" w:sz="0" w:space="0" w:color="auto"/>
        <w:right w:val="none" w:sz="0" w:space="0" w:color="auto"/>
      </w:divBdr>
    </w:div>
    <w:div w:id="24184325">
      <w:bodyDiv w:val="1"/>
      <w:marLeft w:val="0"/>
      <w:marRight w:val="0"/>
      <w:marTop w:val="0"/>
      <w:marBottom w:val="0"/>
      <w:divBdr>
        <w:top w:val="none" w:sz="0" w:space="0" w:color="auto"/>
        <w:left w:val="none" w:sz="0" w:space="0" w:color="auto"/>
        <w:bottom w:val="none" w:sz="0" w:space="0" w:color="auto"/>
        <w:right w:val="none" w:sz="0" w:space="0" w:color="auto"/>
      </w:divBdr>
    </w:div>
    <w:div w:id="25058326">
      <w:bodyDiv w:val="1"/>
      <w:marLeft w:val="0"/>
      <w:marRight w:val="0"/>
      <w:marTop w:val="0"/>
      <w:marBottom w:val="0"/>
      <w:divBdr>
        <w:top w:val="none" w:sz="0" w:space="0" w:color="auto"/>
        <w:left w:val="none" w:sz="0" w:space="0" w:color="auto"/>
        <w:bottom w:val="none" w:sz="0" w:space="0" w:color="auto"/>
        <w:right w:val="none" w:sz="0" w:space="0" w:color="auto"/>
      </w:divBdr>
    </w:div>
    <w:div w:id="37317343">
      <w:bodyDiv w:val="1"/>
      <w:marLeft w:val="0"/>
      <w:marRight w:val="0"/>
      <w:marTop w:val="0"/>
      <w:marBottom w:val="0"/>
      <w:divBdr>
        <w:top w:val="none" w:sz="0" w:space="0" w:color="auto"/>
        <w:left w:val="none" w:sz="0" w:space="0" w:color="auto"/>
        <w:bottom w:val="none" w:sz="0" w:space="0" w:color="auto"/>
        <w:right w:val="none" w:sz="0" w:space="0" w:color="auto"/>
      </w:divBdr>
    </w:div>
    <w:div w:id="70780125">
      <w:bodyDiv w:val="1"/>
      <w:marLeft w:val="0"/>
      <w:marRight w:val="0"/>
      <w:marTop w:val="0"/>
      <w:marBottom w:val="0"/>
      <w:divBdr>
        <w:top w:val="none" w:sz="0" w:space="0" w:color="auto"/>
        <w:left w:val="none" w:sz="0" w:space="0" w:color="auto"/>
        <w:bottom w:val="none" w:sz="0" w:space="0" w:color="auto"/>
        <w:right w:val="none" w:sz="0" w:space="0" w:color="auto"/>
      </w:divBdr>
    </w:div>
    <w:div w:id="196116148">
      <w:bodyDiv w:val="1"/>
      <w:marLeft w:val="0"/>
      <w:marRight w:val="0"/>
      <w:marTop w:val="0"/>
      <w:marBottom w:val="0"/>
      <w:divBdr>
        <w:top w:val="none" w:sz="0" w:space="0" w:color="auto"/>
        <w:left w:val="none" w:sz="0" w:space="0" w:color="auto"/>
        <w:bottom w:val="none" w:sz="0" w:space="0" w:color="auto"/>
        <w:right w:val="none" w:sz="0" w:space="0" w:color="auto"/>
      </w:divBdr>
    </w:div>
    <w:div w:id="199633923">
      <w:bodyDiv w:val="1"/>
      <w:marLeft w:val="0"/>
      <w:marRight w:val="0"/>
      <w:marTop w:val="0"/>
      <w:marBottom w:val="0"/>
      <w:divBdr>
        <w:top w:val="none" w:sz="0" w:space="0" w:color="auto"/>
        <w:left w:val="none" w:sz="0" w:space="0" w:color="auto"/>
        <w:bottom w:val="none" w:sz="0" w:space="0" w:color="auto"/>
        <w:right w:val="none" w:sz="0" w:space="0" w:color="auto"/>
      </w:divBdr>
    </w:div>
    <w:div w:id="225380225">
      <w:bodyDiv w:val="1"/>
      <w:marLeft w:val="0"/>
      <w:marRight w:val="0"/>
      <w:marTop w:val="0"/>
      <w:marBottom w:val="0"/>
      <w:divBdr>
        <w:top w:val="none" w:sz="0" w:space="0" w:color="auto"/>
        <w:left w:val="none" w:sz="0" w:space="0" w:color="auto"/>
        <w:bottom w:val="none" w:sz="0" w:space="0" w:color="auto"/>
        <w:right w:val="none" w:sz="0" w:space="0" w:color="auto"/>
      </w:divBdr>
    </w:div>
    <w:div w:id="229122779">
      <w:bodyDiv w:val="1"/>
      <w:marLeft w:val="0"/>
      <w:marRight w:val="0"/>
      <w:marTop w:val="0"/>
      <w:marBottom w:val="0"/>
      <w:divBdr>
        <w:top w:val="none" w:sz="0" w:space="0" w:color="auto"/>
        <w:left w:val="none" w:sz="0" w:space="0" w:color="auto"/>
        <w:bottom w:val="none" w:sz="0" w:space="0" w:color="auto"/>
        <w:right w:val="none" w:sz="0" w:space="0" w:color="auto"/>
      </w:divBdr>
    </w:div>
    <w:div w:id="272440606">
      <w:bodyDiv w:val="1"/>
      <w:marLeft w:val="0"/>
      <w:marRight w:val="0"/>
      <w:marTop w:val="0"/>
      <w:marBottom w:val="0"/>
      <w:divBdr>
        <w:top w:val="none" w:sz="0" w:space="0" w:color="auto"/>
        <w:left w:val="none" w:sz="0" w:space="0" w:color="auto"/>
        <w:bottom w:val="none" w:sz="0" w:space="0" w:color="auto"/>
        <w:right w:val="none" w:sz="0" w:space="0" w:color="auto"/>
      </w:divBdr>
      <w:divsChild>
        <w:div w:id="2006130827">
          <w:marLeft w:val="0"/>
          <w:marRight w:val="0"/>
          <w:marTop w:val="0"/>
          <w:marBottom w:val="0"/>
          <w:divBdr>
            <w:top w:val="none" w:sz="0" w:space="0" w:color="auto"/>
            <w:left w:val="none" w:sz="0" w:space="0" w:color="auto"/>
            <w:bottom w:val="none" w:sz="0" w:space="0" w:color="auto"/>
            <w:right w:val="none" w:sz="0" w:space="0" w:color="auto"/>
          </w:divBdr>
          <w:divsChild>
            <w:div w:id="68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4837">
      <w:bodyDiv w:val="1"/>
      <w:marLeft w:val="0"/>
      <w:marRight w:val="0"/>
      <w:marTop w:val="0"/>
      <w:marBottom w:val="0"/>
      <w:divBdr>
        <w:top w:val="none" w:sz="0" w:space="0" w:color="auto"/>
        <w:left w:val="none" w:sz="0" w:space="0" w:color="auto"/>
        <w:bottom w:val="none" w:sz="0" w:space="0" w:color="auto"/>
        <w:right w:val="none" w:sz="0" w:space="0" w:color="auto"/>
      </w:divBdr>
    </w:div>
    <w:div w:id="453717202">
      <w:bodyDiv w:val="1"/>
      <w:marLeft w:val="0"/>
      <w:marRight w:val="0"/>
      <w:marTop w:val="0"/>
      <w:marBottom w:val="0"/>
      <w:divBdr>
        <w:top w:val="none" w:sz="0" w:space="0" w:color="auto"/>
        <w:left w:val="none" w:sz="0" w:space="0" w:color="auto"/>
        <w:bottom w:val="none" w:sz="0" w:space="0" w:color="auto"/>
        <w:right w:val="none" w:sz="0" w:space="0" w:color="auto"/>
      </w:divBdr>
      <w:divsChild>
        <w:div w:id="565838525">
          <w:marLeft w:val="0"/>
          <w:marRight w:val="0"/>
          <w:marTop w:val="0"/>
          <w:marBottom w:val="0"/>
          <w:divBdr>
            <w:top w:val="none" w:sz="0" w:space="0" w:color="auto"/>
            <w:left w:val="none" w:sz="0" w:space="0" w:color="auto"/>
            <w:bottom w:val="none" w:sz="0" w:space="0" w:color="auto"/>
            <w:right w:val="none" w:sz="0" w:space="0" w:color="auto"/>
          </w:divBdr>
          <w:divsChild>
            <w:div w:id="892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4452">
      <w:bodyDiv w:val="1"/>
      <w:marLeft w:val="0"/>
      <w:marRight w:val="0"/>
      <w:marTop w:val="0"/>
      <w:marBottom w:val="0"/>
      <w:divBdr>
        <w:top w:val="none" w:sz="0" w:space="0" w:color="auto"/>
        <w:left w:val="none" w:sz="0" w:space="0" w:color="auto"/>
        <w:bottom w:val="none" w:sz="0" w:space="0" w:color="auto"/>
        <w:right w:val="none" w:sz="0" w:space="0" w:color="auto"/>
      </w:divBdr>
    </w:div>
    <w:div w:id="531575318">
      <w:bodyDiv w:val="1"/>
      <w:marLeft w:val="0"/>
      <w:marRight w:val="0"/>
      <w:marTop w:val="0"/>
      <w:marBottom w:val="0"/>
      <w:divBdr>
        <w:top w:val="none" w:sz="0" w:space="0" w:color="auto"/>
        <w:left w:val="none" w:sz="0" w:space="0" w:color="auto"/>
        <w:bottom w:val="none" w:sz="0" w:space="0" w:color="auto"/>
        <w:right w:val="none" w:sz="0" w:space="0" w:color="auto"/>
      </w:divBdr>
    </w:div>
    <w:div w:id="546181716">
      <w:bodyDiv w:val="1"/>
      <w:marLeft w:val="0"/>
      <w:marRight w:val="0"/>
      <w:marTop w:val="0"/>
      <w:marBottom w:val="0"/>
      <w:divBdr>
        <w:top w:val="none" w:sz="0" w:space="0" w:color="auto"/>
        <w:left w:val="none" w:sz="0" w:space="0" w:color="auto"/>
        <w:bottom w:val="none" w:sz="0" w:space="0" w:color="auto"/>
        <w:right w:val="none" w:sz="0" w:space="0" w:color="auto"/>
      </w:divBdr>
    </w:div>
    <w:div w:id="587351061">
      <w:bodyDiv w:val="1"/>
      <w:marLeft w:val="0"/>
      <w:marRight w:val="0"/>
      <w:marTop w:val="0"/>
      <w:marBottom w:val="0"/>
      <w:divBdr>
        <w:top w:val="none" w:sz="0" w:space="0" w:color="auto"/>
        <w:left w:val="none" w:sz="0" w:space="0" w:color="auto"/>
        <w:bottom w:val="none" w:sz="0" w:space="0" w:color="auto"/>
        <w:right w:val="none" w:sz="0" w:space="0" w:color="auto"/>
      </w:divBdr>
    </w:div>
    <w:div w:id="595136929">
      <w:bodyDiv w:val="1"/>
      <w:marLeft w:val="0"/>
      <w:marRight w:val="0"/>
      <w:marTop w:val="0"/>
      <w:marBottom w:val="0"/>
      <w:divBdr>
        <w:top w:val="none" w:sz="0" w:space="0" w:color="auto"/>
        <w:left w:val="none" w:sz="0" w:space="0" w:color="auto"/>
        <w:bottom w:val="none" w:sz="0" w:space="0" w:color="auto"/>
        <w:right w:val="none" w:sz="0" w:space="0" w:color="auto"/>
      </w:divBdr>
    </w:div>
    <w:div w:id="624116038">
      <w:bodyDiv w:val="1"/>
      <w:marLeft w:val="0"/>
      <w:marRight w:val="0"/>
      <w:marTop w:val="0"/>
      <w:marBottom w:val="0"/>
      <w:divBdr>
        <w:top w:val="none" w:sz="0" w:space="0" w:color="auto"/>
        <w:left w:val="none" w:sz="0" w:space="0" w:color="auto"/>
        <w:bottom w:val="none" w:sz="0" w:space="0" w:color="auto"/>
        <w:right w:val="none" w:sz="0" w:space="0" w:color="auto"/>
      </w:divBdr>
    </w:div>
    <w:div w:id="713232341">
      <w:bodyDiv w:val="1"/>
      <w:marLeft w:val="0"/>
      <w:marRight w:val="0"/>
      <w:marTop w:val="0"/>
      <w:marBottom w:val="0"/>
      <w:divBdr>
        <w:top w:val="none" w:sz="0" w:space="0" w:color="auto"/>
        <w:left w:val="none" w:sz="0" w:space="0" w:color="auto"/>
        <w:bottom w:val="none" w:sz="0" w:space="0" w:color="auto"/>
        <w:right w:val="none" w:sz="0" w:space="0" w:color="auto"/>
      </w:divBdr>
    </w:div>
    <w:div w:id="734280416">
      <w:bodyDiv w:val="1"/>
      <w:marLeft w:val="0"/>
      <w:marRight w:val="0"/>
      <w:marTop w:val="0"/>
      <w:marBottom w:val="0"/>
      <w:divBdr>
        <w:top w:val="none" w:sz="0" w:space="0" w:color="auto"/>
        <w:left w:val="none" w:sz="0" w:space="0" w:color="auto"/>
        <w:bottom w:val="none" w:sz="0" w:space="0" w:color="auto"/>
        <w:right w:val="none" w:sz="0" w:space="0" w:color="auto"/>
      </w:divBdr>
    </w:div>
    <w:div w:id="827016735">
      <w:bodyDiv w:val="1"/>
      <w:marLeft w:val="0"/>
      <w:marRight w:val="0"/>
      <w:marTop w:val="0"/>
      <w:marBottom w:val="0"/>
      <w:divBdr>
        <w:top w:val="none" w:sz="0" w:space="0" w:color="auto"/>
        <w:left w:val="none" w:sz="0" w:space="0" w:color="auto"/>
        <w:bottom w:val="none" w:sz="0" w:space="0" w:color="auto"/>
        <w:right w:val="none" w:sz="0" w:space="0" w:color="auto"/>
      </w:divBdr>
    </w:div>
    <w:div w:id="872960839">
      <w:bodyDiv w:val="1"/>
      <w:marLeft w:val="0"/>
      <w:marRight w:val="0"/>
      <w:marTop w:val="0"/>
      <w:marBottom w:val="0"/>
      <w:divBdr>
        <w:top w:val="none" w:sz="0" w:space="0" w:color="auto"/>
        <w:left w:val="none" w:sz="0" w:space="0" w:color="auto"/>
        <w:bottom w:val="none" w:sz="0" w:space="0" w:color="auto"/>
        <w:right w:val="none" w:sz="0" w:space="0" w:color="auto"/>
      </w:divBdr>
    </w:div>
    <w:div w:id="875309043">
      <w:bodyDiv w:val="1"/>
      <w:marLeft w:val="0"/>
      <w:marRight w:val="0"/>
      <w:marTop w:val="0"/>
      <w:marBottom w:val="0"/>
      <w:divBdr>
        <w:top w:val="none" w:sz="0" w:space="0" w:color="auto"/>
        <w:left w:val="none" w:sz="0" w:space="0" w:color="auto"/>
        <w:bottom w:val="none" w:sz="0" w:space="0" w:color="auto"/>
        <w:right w:val="none" w:sz="0" w:space="0" w:color="auto"/>
      </w:divBdr>
    </w:div>
    <w:div w:id="911234583">
      <w:bodyDiv w:val="1"/>
      <w:marLeft w:val="0"/>
      <w:marRight w:val="0"/>
      <w:marTop w:val="0"/>
      <w:marBottom w:val="0"/>
      <w:divBdr>
        <w:top w:val="none" w:sz="0" w:space="0" w:color="auto"/>
        <w:left w:val="none" w:sz="0" w:space="0" w:color="auto"/>
        <w:bottom w:val="none" w:sz="0" w:space="0" w:color="auto"/>
        <w:right w:val="none" w:sz="0" w:space="0" w:color="auto"/>
      </w:divBdr>
    </w:div>
    <w:div w:id="1047872185">
      <w:bodyDiv w:val="1"/>
      <w:marLeft w:val="0"/>
      <w:marRight w:val="0"/>
      <w:marTop w:val="0"/>
      <w:marBottom w:val="0"/>
      <w:divBdr>
        <w:top w:val="none" w:sz="0" w:space="0" w:color="auto"/>
        <w:left w:val="none" w:sz="0" w:space="0" w:color="auto"/>
        <w:bottom w:val="none" w:sz="0" w:space="0" w:color="auto"/>
        <w:right w:val="none" w:sz="0" w:space="0" w:color="auto"/>
      </w:divBdr>
    </w:div>
    <w:div w:id="1064255234">
      <w:bodyDiv w:val="1"/>
      <w:marLeft w:val="0"/>
      <w:marRight w:val="0"/>
      <w:marTop w:val="0"/>
      <w:marBottom w:val="0"/>
      <w:divBdr>
        <w:top w:val="none" w:sz="0" w:space="0" w:color="auto"/>
        <w:left w:val="none" w:sz="0" w:space="0" w:color="auto"/>
        <w:bottom w:val="none" w:sz="0" w:space="0" w:color="auto"/>
        <w:right w:val="none" w:sz="0" w:space="0" w:color="auto"/>
      </w:divBdr>
    </w:div>
    <w:div w:id="1087069846">
      <w:bodyDiv w:val="1"/>
      <w:marLeft w:val="0"/>
      <w:marRight w:val="0"/>
      <w:marTop w:val="0"/>
      <w:marBottom w:val="0"/>
      <w:divBdr>
        <w:top w:val="none" w:sz="0" w:space="0" w:color="auto"/>
        <w:left w:val="none" w:sz="0" w:space="0" w:color="auto"/>
        <w:bottom w:val="none" w:sz="0" w:space="0" w:color="auto"/>
        <w:right w:val="none" w:sz="0" w:space="0" w:color="auto"/>
      </w:divBdr>
    </w:div>
    <w:div w:id="1143083958">
      <w:bodyDiv w:val="1"/>
      <w:marLeft w:val="0"/>
      <w:marRight w:val="0"/>
      <w:marTop w:val="0"/>
      <w:marBottom w:val="0"/>
      <w:divBdr>
        <w:top w:val="none" w:sz="0" w:space="0" w:color="auto"/>
        <w:left w:val="none" w:sz="0" w:space="0" w:color="auto"/>
        <w:bottom w:val="none" w:sz="0" w:space="0" w:color="auto"/>
        <w:right w:val="none" w:sz="0" w:space="0" w:color="auto"/>
      </w:divBdr>
    </w:div>
    <w:div w:id="1168789285">
      <w:bodyDiv w:val="1"/>
      <w:marLeft w:val="0"/>
      <w:marRight w:val="0"/>
      <w:marTop w:val="0"/>
      <w:marBottom w:val="0"/>
      <w:divBdr>
        <w:top w:val="none" w:sz="0" w:space="0" w:color="auto"/>
        <w:left w:val="none" w:sz="0" w:space="0" w:color="auto"/>
        <w:bottom w:val="none" w:sz="0" w:space="0" w:color="auto"/>
        <w:right w:val="none" w:sz="0" w:space="0" w:color="auto"/>
      </w:divBdr>
    </w:div>
    <w:div w:id="1202747499">
      <w:bodyDiv w:val="1"/>
      <w:marLeft w:val="0"/>
      <w:marRight w:val="0"/>
      <w:marTop w:val="0"/>
      <w:marBottom w:val="0"/>
      <w:divBdr>
        <w:top w:val="none" w:sz="0" w:space="0" w:color="auto"/>
        <w:left w:val="none" w:sz="0" w:space="0" w:color="auto"/>
        <w:bottom w:val="none" w:sz="0" w:space="0" w:color="auto"/>
        <w:right w:val="none" w:sz="0" w:space="0" w:color="auto"/>
      </w:divBdr>
    </w:div>
    <w:div w:id="1254779377">
      <w:bodyDiv w:val="1"/>
      <w:marLeft w:val="0"/>
      <w:marRight w:val="0"/>
      <w:marTop w:val="0"/>
      <w:marBottom w:val="0"/>
      <w:divBdr>
        <w:top w:val="none" w:sz="0" w:space="0" w:color="auto"/>
        <w:left w:val="none" w:sz="0" w:space="0" w:color="auto"/>
        <w:bottom w:val="none" w:sz="0" w:space="0" w:color="auto"/>
        <w:right w:val="none" w:sz="0" w:space="0" w:color="auto"/>
      </w:divBdr>
    </w:div>
    <w:div w:id="1275594998">
      <w:bodyDiv w:val="1"/>
      <w:marLeft w:val="0"/>
      <w:marRight w:val="0"/>
      <w:marTop w:val="0"/>
      <w:marBottom w:val="0"/>
      <w:divBdr>
        <w:top w:val="none" w:sz="0" w:space="0" w:color="auto"/>
        <w:left w:val="none" w:sz="0" w:space="0" w:color="auto"/>
        <w:bottom w:val="none" w:sz="0" w:space="0" w:color="auto"/>
        <w:right w:val="none" w:sz="0" w:space="0" w:color="auto"/>
      </w:divBdr>
    </w:div>
    <w:div w:id="1292395265">
      <w:bodyDiv w:val="1"/>
      <w:marLeft w:val="0"/>
      <w:marRight w:val="0"/>
      <w:marTop w:val="0"/>
      <w:marBottom w:val="0"/>
      <w:divBdr>
        <w:top w:val="none" w:sz="0" w:space="0" w:color="auto"/>
        <w:left w:val="none" w:sz="0" w:space="0" w:color="auto"/>
        <w:bottom w:val="none" w:sz="0" w:space="0" w:color="auto"/>
        <w:right w:val="none" w:sz="0" w:space="0" w:color="auto"/>
      </w:divBdr>
    </w:div>
    <w:div w:id="1320420005">
      <w:bodyDiv w:val="1"/>
      <w:marLeft w:val="0"/>
      <w:marRight w:val="0"/>
      <w:marTop w:val="0"/>
      <w:marBottom w:val="0"/>
      <w:divBdr>
        <w:top w:val="none" w:sz="0" w:space="0" w:color="auto"/>
        <w:left w:val="none" w:sz="0" w:space="0" w:color="auto"/>
        <w:bottom w:val="none" w:sz="0" w:space="0" w:color="auto"/>
        <w:right w:val="none" w:sz="0" w:space="0" w:color="auto"/>
      </w:divBdr>
    </w:div>
    <w:div w:id="1331759623">
      <w:bodyDiv w:val="1"/>
      <w:marLeft w:val="0"/>
      <w:marRight w:val="0"/>
      <w:marTop w:val="0"/>
      <w:marBottom w:val="0"/>
      <w:divBdr>
        <w:top w:val="none" w:sz="0" w:space="0" w:color="auto"/>
        <w:left w:val="none" w:sz="0" w:space="0" w:color="auto"/>
        <w:bottom w:val="none" w:sz="0" w:space="0" w:color="auto"/>
        <w:right w:val="none" w:sz="0" w:space="0" w:color="auto"/>
      </w:divBdr>
      <w:divsChild>
        <w:div w:id="456410656">
          <w:marLeft w:val="0"/>
          <w:marRight w:val="0"/>
          <w:marTop w:val="0"/>
          <w:marBottom w:val="0"/>
          <w:divBdr>
            <w:top w:val="none" w:sz="0" w:space="0" w:color="auto"/>
            <w:left w:val="none" w:sz="0" w:space="0" w:color="auto"/>
            <w:bottom w:val="none" w:sz="0" w:space="0" w:color="auto"/>
            <w:right w:val="none" w:sz="0" w:space="0" w:color="auto"/>
          </w:divBdr>
          <w:divsChild>
            <w:div w:id="15491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6999">
      <w:bodyDiv w:val="1"/>
      <w:marLeft w:val="0"/>
      <w:marRight w:val="0"/>
      <w:marTop w:val="0"/>
      <w:marBottom w:val="0"/>
      <w:divBdr>
        <w:top w:val="none" w:sz="0" w:space="0" w:color="auto"/>
        <w:left w:val="none" w:sz="0" w:space="0" w:color="auto"/>
        <w:bottom w:val="none" w:sz="0" w:space="0" w:color="auto"/>
        <w:right w:val="none" w:sz="0" w:space="0" w:color="auto"/>
      </w:divBdr>
    </w:div>
    <w:div w:id="1353846271">
      <w:bodyDiv w:val="1"/>
      <w:marLeft w:val="0"/>
      <w:marRight w:val="0"/>
      <w:marTop w:val="0"/>
      <w:marBottom w:val="0"/>
      <w:divBdr>
        <w:top w:val="none" w:sz="0" w:space="0" w:color="auto"/>
        <w:left w:val="none" w:sz="0" w:space="0" w:color="auto"/>
        <w:bottom w:val="none" w:sz="0" w:space="0" w:color="auto"/>
        <w:right w:val="none" w:sz="0" w:space="0" w:color="auto"/>
      </w:divBdr>
    </w:div>
    <w:div w:id="1395545127">
      <w:bodyDiv w:val="1"/>
      <w:marLeft w:val="0"/>
      <w:marRight w:val="0"/>
      <w:marTop w:val="0"/>
      <w:marBottom w:val="0"/>
      <w:divBdr>
        <w:top w:val="none" w:sz="0" w:space="0" w:color="auto"/>
        <w:left w:val="none" w:sz="0" w:space="0" w:color="auto"/>
        <w:bottom w:val="none" w:sz="0" w:space="0" w:color="auto"/>
        <w:right w:val="none" w:sz="0" w:space="0" w:color="auto"/>
      </w:divBdr>
    </w:div>
    <w:div w:id="1419868912">
      <w:bodyDiv w:val="1"/>
      <w:marLeft w:val="0"/>
      <w:marRight w:val="0"/>
      <w:marTop w:val="0"/>
      <w:marBottom w:val="0"/>
      <w:divBdr>
        <w:top w:val="none" w:sz="0" w:space="0" w:color="auto"/>
        <w:left w:val="none" w:sz="0" w:space="0" w:color="auto"/>
        <w:bottom w:val="none" w:sz="0" w:space="0" w:color="auto"/>
        <w:right w:val="none" w:sz="0" w:space="0" w:color="auto"/>
      </w:divBdr>
    </w:div>
    <w:div w:id="1430734057">
      <w:bodyDiv w:val="1"/>
      <w:marLeft w:val="0"/>
      <w:marRight w:val="0"/>
      <w:marTop w:val="0"/>
      <w:marBottom w:val="0"/>
      <w:divBdr>
        <w:top w:val="none" w:sz="0" w:space="0" w:color="auto"/>
        <w:left w:val="none" w:sz="0" w:space="0" w:color="auto"/>
        <w:bottom w:val="none" w:sz="0" w:space="0" w:color="auto"/>
        <w:right w:val="none" w:sz="0" w:space="0" w:color="auto"/>
      </w:divBdr>
    </w:div>
    <w:div w:id="1482425337">
      <w:bodyDiv w:val="1"/>
      <w:marLeft w:val="0"/>
      <w:marRight w:val="0"/>
      <w:marTop w:val="0"/>
      <w:marBottom w:val="0"/>
      <w:divBdr>
        <w:top w:val="none" w:sz="0" w:space="0" w:color="auto"/>
        <w:left w:val="none" w:sz="0" w:space="0" w:color="auto"/>
        <w:bottom w:val="none" w:sz="0" w:space="0" w:color="auto"/>
        <w:right w:val="none" w:sz="0" w:space="0" w:color="auto"/>
      </w:divBdr>
    </w:div>
    <w:div w:id="1487473519">
      <w:bodyDiv w:val="1"/>
      <w:marLeft w:val="0"/>
      <w:marRight w:val="0"/>
      <w:marTop w:val="0"/>
      <w:marBottom w:val="0"/>
      <w:divBdr>
        <w:top w:val="none" w:sz="0" w:space="0" w:color="auto"/>
        <w:left w:val="none" w:sz="0" w:space="0" w:color="auto"/>
        <w:bottom w:val="none" w:sz="0" w:space="0" w:color="auto"/>
        <w:right w:val="none" w:sz="0" w:space="0" w:color="auto"/>
      </w:divBdr>
    </w:div>
    <w:div w:id="1513295812">
      <w:bodyDiv w:val="1"/>
      <w:marLeft w:val="0"/>
      <w:marRight w:val="0"/>
      <w:marTop w:val="0"/>
      <w:marBottom w:val="0"/>
      <w:divBdr>
        <w:top w:val="none" w:sz="0" w:space="0" w:color="auto"/>
        <w:left w:val="none" w:sz="0" w:space="0" w:color="auto"/>
        <w:bottom w:val="none" w:sz="0" w:space="0" w:color="auto"/>
        <w:right w:val="none" w:sz="0" w:space="0" w:color="auto"/>
      </w:divBdr>
    </w:div>
    <w:div w:id="1520043438">
      <w:bodyDiv w:val="1"/>
      <w:marLeft w:val="0"/>
      <w:marRight w:val="0"/>
      <w:marTop w:val="0"/>
      <w:marBottom w:val="0"/>
      <w:divBdr>
        <w:top w:val="none" w:sz="0" w:space="0" w:color="auto"/>
        <w:left w:val="none" w:sz="0" w:space="0" w:color="auto"/>
        <w:bottom w:val="none" w:sz="0" w:space="0" w:color="auto"/>
        <w:right w:val="none" w:sz="0" w:space="0" w:color="auto"/>
      </w:divBdr>
    </w:div>
    <w:div w:id="1547990125">
      <w:bodyDiv w:val="1"/>
      <w:marLeft w:val="0"/>
      <w:marRight w:val="0"/>
      <w:marTop w:val="0"/>
      <w:marBottom w:val="0"/>
      <w:divBdr>
        <w:top w:val="none" w:sz="0" w:space="0" w:color="auto"/>
        <w:left w:val="none" w:sz="0" w:space="0" w:color="auto"/>
        <w:bottom w:val="none" w:sz="0" w:space="0" w:color="auto"/>
        <w:right w:val="none" w:sz="0" w:space="0" w:color="auto"/>
      </w:divBdr>
    </w:div>
    <w:div w:id="1548028545">
      <w:bodyDiv w:val="1"/>
      <w:marLeft w:val="0"/>
      <w:marRight w:val="0"/>
      <w:marTop w:val="0"/>
      <w:marBottom w:val="0"/>
      <w:divBdr>
        <w:top w:val="none" w:sz="0" w:space="0" w:color="auto"/>
        <w:left w:val="none" w:sz="0" w:space="0" w:color="auto"/>
        <w:bottom w:val="none" w:sz="0" w:space="0" w:color="auto"/>
        <w:right w:val="none" w:sz="0" w:space="0" w:color="auto"/>
      </w:divBdr>
    </w:div>
    <w:div w:id="1682000718">
      <w:bodyDiv w:val="1"/>
      <w:marLeft w:val="0"/>
      <w:marRight w:val="0"/>
      <w:marTop w:val="0"/>
      <w:marBottom w:val="0"/>
      <w:divBdr>
        <w:top w:val="none" w:sz="0" w:space="0" w:color="auto"/>
        <w:left w:val="none" w:sz="0" w:space="0" w:color="auto"/>
        <w:bottom w:val="none" w:sz="0" w:space="0" w:color="auto"/>
        <w:right w:val="none" w:sz="0" w:space="0" w:color="auto"/>
      </w:divBdr>
    </w:div>
    <w:div w:id="1731925810">
      <w:bodyDiv w:val="1"/>
      <w:marLeft w:val="0"/>
      <w:marRight w:val="0"/>
      <w:marTop w:val="0"/>
      <w:marBottom w:val="0"/>
      <w:divBdr>
        <w:top w:val="none" w:sz="0" w:space="0" w:color="auto"/>
        <w:left w:val="none" w:sz="0" w:space="0" w:color="auto"/>
        <w:bottom w:val="none" w:sz="0" w:space="0" w:color="auto"/>
        <w:right w:val="none" w:sz="0" w:space="0" w:color="auto"/>
      </w:divBdr>
    </w:div>
    <w:div w:id="1801798600">
      <w:bodyDiv w:val="1"/>
      <w:marLeft w:val="0"/>
      <w:marRight w:val="0"/>
      <w:marTop w:val="0"/>
      <w:marBottom w:val="0"/>
      <w:divBdr>
        <w:top w:val="none" w:sz="0" w:space="0" w:color="auto"/>
        <w:left w:val="none" w:sz="0" w:space="0" w:color="auto"/>
        <w:bottom w:val="none" w:sz="0" w:space="0" w:color="auto"/>
        <w:right w:val="none" w:sz="0" w:space="0" w:color="auto"/>
      </w:divBdr>
      <w:divsChild>
        <w:div w:id="812792495">
          <w:marLeft w:val="0"/>
          <w:marRight w:val="0"/>
          <w:marTop w:val="0"/>
          <w:marBottom w:val="0"/>
          <w:divBdr>
            <w:top w:val="none" w:sz="0" w:space="0" w:color="auto"/>
            <w:left w:val="none" w:sz="0" w:space="0" w:color="auto"/>
            <w:bottom w:val="none" w:sz="0" w:space="0" w:color="auto"/>
            <w:right w:val="none" w:sz="0" w:space="0" w:color="auto"/>
          </w:divBdr>
          <w:divsChild>
            <w:div w:id="20273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984">
      <w:bodyDiv w:val="1"/>
      <w:marLeft w:val="0"/>
      <w:marRight w:val="0"/>
      <w:marTop w:val="0"/>
      <w:marBottom w:val="0"/>
      <w:divBdr>
        <w:top w:val="none" w:sz="0" w:space="0" w:color="auto"/>
        <w:left w:val="none" w:sz="0" w:space="0" w:color="auto"/>
        <w:bottom w:val="none" w:sz="0" w:space="0" w:color="auto"/>
        <w:right w:val="none" w:sz="0" w:space="0" w:color="auto"/>
      </w:divBdr>
    </w:div>
    <w:div w:id="1862161348">
      <w:bodyDiv w:val="1"/>
      <w:marLeft w:val="0"/>
      <w:marRight w:val="0"/>
      <w:marTop w:val="0"/>
      <w:marBottom w:val="0"/>
      <w:divBdr>
        <w:top w:val="none" w:sz="0" w:space="0" w:color="auto"/>
        <w:left w:val="none" w:sz="0" w:space="0" w:color="auto"/>
        <w:bottom w:val="none" w:sz="0" w:space="0" w:color="auto"/>
        <w:right w:val="none" w:sz="0" w:space="0" w:color="auto"/>
      </w:divBdr>
    </w:div>
    <w:div w:id="1876965014">
      <w:bodyDiv w:val="1"/>
      <w:marLeft w:val="0"/>
      <w:marRight w:val="0"/>
      <w:marTop w:val="0"/>
      <w:marBottom w:val="0"/>
      <w:divBdr>
        <w:top w:val="none" w:sz="0" w:space="0" w:color="auto"/>
        <w:left w:val="none" w:sz="0" w:space="0" w:color="auto"/>
        <w:bottom w:val="none" w:sz="0" w:space="0" w:color="auto"/>
        <w:right w:val="none" w:sz="0" w:space="0" w:color="auto"/>
      </w:divBdr>
    </w:div>
    <w:div w:id="1963655535">
      <w:bodyDiv w:val="1"/>
      <w:marLeft w:val="0"/>
      <w:marRight w:val="0"/>
      <w:marTop w:val="0"/>
      <w:marBottom w:val="0"/>
      <w:divBdr>
        <w:top w:val="none" w:sz="0" w:space="0" w:color="auto"/>
        <w:left w:val="none" w:sz="0" w:space="0" w:color="auto"/>
        <w:bottom w:val="none" w:sz="0" w:space="0" w:color="auto"/>
        <w:right w:val="none" w:sz="0" w:space="0" w:color="auto"/>
      </w:divBdr>
    </w:div>
    <w:div w:id="1971665386">
      <w:bodyDiv w:val="1"/>
      <w:marLeft w:val="0"/>
      <w:marRight w:val="0"/>
      <w:marTop w:val="0"/>
      <w:marBottom w:val="0"/>
      <w:divBdr>
        <w:top w:val="none" w:sz="0" w:space="0" w:color="auto"/>
        <w:left w:val="none" w:sz="0" w:space="0" w:color="auto"/>
        <w:bottom w:val="none" w:sz="0" w:space="0" w:color="auto"/>
        <w:right w:val="none" w:sz="0" w:space="0" w:color="auto"/>
      </w:divBdr>
    </w:div>
    <w:div w:id="1992951331">
      <w:bodyDiv w:val="1"/>
      <w:marLeft w:val="0"/>
      <w:marRight w:val="0"/>
      <w:marTop w:val="0"/>
      <w:marBottom w:val="0"/>
      <w:divBdr>
        <w:top w:val="none" w:sz="0" w:space="0" w:color="auto"/>
        <w:left w:val="none" w:sz="0" w:space="0" w:color="auto"/>
        <w:bottom w:val="none" w:sz="0" w:space="0" w:color="auto"/>
        <w:right w:val="none" w:sz="0" w:space="0" w:color="auto"/>
      </w:divBdr>
    </w:div>
    <w:div w:id="2020739814">
      <w:bodyDiv w:val="1"/>
      <w:marLeft w:val="0"/>
      <w:marRight w:val="0"/>
      <w:marTop w:val="0"/>
      <w:marBottom w:val="0"/>
      <w:divBdr>
        <w:top w:val="none" w:sz="0" w:space="0" w:color="auto"/>
        <w:left w:val="none" w:sz="0" w:space="0" w:color="auto"/>
        <w:bottom w:val="none" w:sz="0" w:space="0" w:color="auto"/>
        <w:right w:val="none" w:sz="0" w:space="0" w:color="auto"/>
      </w:divBdr>
    </w:div>
    <w:div w:id="202947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87F4D-E361-453D-9119-9769A108E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33</Pages>
  <Words>4244</Words>
  <Characters>24193</Characters>
  <Application>Microsoft Office Word</Application>
  <DocSecurity>0</DocSecurity>
  <Lines>201</Lines>
  <Paragraphs>56</Paragraphs>
  <ScaleCrop>false</ScaleCrop>
  <Company>uestc</Company>
  <LinksUpToDate>false</LinksUpToDate>
  <CharactersWithSpaces>28381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cp:keywords/>
  <cp:lastModifiedBy>威 王</cp:lastModifiedBy>
  <cp:revision>5</cp:revision>
  <cp:lastPrinted>2018-10-19T09:04:00Z</cp:lastPrinted>
  <dcterms:created xsi:type="dcterms:W3CDTF">2026-07-21T07:30:00Z</dcterms:created>
  <dcterms:modified xsi:type="dcterms:W3CDTF">2026-07-21T09:32:00Z</dcterms:modified>
</cp:coreProperties>
</file>