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A8F52" w14:textId="6112AEDF" w:rsidR="00CF6E21" w:rsidRPr="00CF6E21" w:rsidRDefault="00CF6E21" w:rsidP="00CF6E21">
      <w:pPr>
        <w:outlineLvl w:val="0"/>
        <w:rPr>
          <w:rFonts w:ascii="新細明體" w:hAnsi="新細明體"/>
          <w:b/>
          <w:bCs/>
          <w:color w:val="000000"/>
          <w:kern w:val="36"/>
          <w:sz w:val="48"/>
          <w:szCs w:val="48"/>
        </w:rPr>
      </w:pPr>
      <w:r w:rsidRPr="00CF6E21">
        <w:rPr>
          <w:rFonts w:ascii="新細明體" w:hAnsi="新細明體"/>
          <w:b/>
          <w:bCs/>
          <w:color w:val="000000"/>
          <w:kern w:val="36"/>
          <w:sz w:val="48"/>
          <w:szCs w:val="48"/>
        </w:rPr>
        <w:t>數位行銷課程筆記</w:t>
      </w:r>
    </w:p>
    <w:p w14:paraId="73A8F1C3" w14:textId="77777777" w:rsidR="00CF6E21" w:rsidRPr="00CF6E21" w:rsidRDefault="00CF6E21" w:rsidP="00CF6E21">
      <w:pPr>
        <w:outlineLvl w:val="1"/>
        <w:rPr>
          <w:rFonts w:ascii="新細明體" w:hAnsi="新細明體"/>
          <w:b/>
          <w:bCs/>
          <w:color w:val="000000"/>
          <w:sz w:val="36"/>
          <w:szCs w:val="36"/>
        </w:rPr>
      </w:pPr>
      <w:r w:rsidRPr="00CF6E21">
        <w:rPr>
          <w:rFonts w:ascii="新細明體" w:hAnsi="新細明體"/>
          <w:b/>
          <w:bCs/>
          <w:color w:val="000000"/>
          <w:sz w:val="36"/>
          <w:szCs w:val="36"/>
        </w:rPr>
        <w:t>Week 1: 數位行銷概論與趨勢</w:t>
      </w:r>
    </w:p>
    <w:p w14:paraId="334FAFCA" w14:textId="77777777" w:rsidR="00CF6E21" w:rsidRPr="00CF6E21" w:rsidRDefault="00CF6E21" w:rsidP="00CF6E21">
      <w:pPr>
        <w:numPr>
          <w:ilvl w:val="0"/>
          <w:numId w:val="1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核心概念</w:t>
      </w:r>
      <w:r w:rsidRPr="00CF6E21">
        <w:rPr>
          <w:rFonts w:ascii="新細明體" w:hAnsi="新細明體"/>
          <w:color w:val="000000"/>
        </w:rPr>
        <w:t>：定義數位行銷的核心範疇，包含付費、自有與贏得媒體（Paid, Owned, Earned Media）。</w:t>
      </w:r>
    </w:p>
    <w:p w14:paraId="1317AC15" w14:textId="77777777" w:rsidR="00CF6E21" w:rsidRPr="00CF6E21" w:rsidRDefault="00CF6E21" w:rsidP="00CF6E21">
      <w:pPr>
        <w:numPr>
          <w:ilvl w:val="0"/>
          <w:numId w:val="1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發展趨勢</w:t>
      </w:r>
      <w:r w:rsidRPr="00CF6E21">
        <w:rPr>
          <w:rFonts w:ascii="新細明體" w:hAnsi="新細明體"/>
          <w:color w:val="000000"/>
        </w:rPr>
        <w:t>：探討 MarTech 整合、個人化與超個人化、語音搜尋、AR/VR 等新興技術對行銷的影響。</w:t>
      </w:r>
    </w:p>
    <w:p w14:paraId="14FCA599" w14:textId="4DAF6E7C" w:rsidR="00CF6E21" w:rsidRPr="00CF6E21" w:rsidRDefault="00CF6E21" w:rsidP="00CF6E21">
      <w:pPr>
        <w:numPr>
          <w:ilvl w:val="0"/>
          <w:numId w:val="1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入門工具</w:t>
      </w:r>
      <w:r w:rsidRPr="00CF6E21">
        <w:rPr>
          <w:rFonts w:ascii="新細明體" w:hAnsi="新細明體"/>
          <w:color w:val="000000"/>
        </w:rPr>
        <w:t>：介紹 Google Search Console、Google Trends 等基礎工具，協助理解市場與使用者行為。</w:t>
      </w:r>
    </w:p>
    <w:p w14:paraId="3B698E16" w14:textId="77777777" w:rsidR="00CF6E21" w:rsidRPr="00CF6E21" w:rsidRDefault="00CF6E21" w:rsidP="00CF6E21">
      <w:pPr>
        <w:outlineLvl w:val="1"/>
        <w:rPr>
          <w:rFonts w:ascii="新細明體" w:hAnsi="新細明體"/>
          <w:b/>
          <w:bCs/>
          <w:color w:val="000000"/>
          <w:sz w:val="36"/>
          <w:szCs w:val="36"/>
        </w:rPr>
      </w:pPr>
      <w:r w:rsidRPr="00CF6E21">
        <w:rPr>
          <w:rFonts w:ascii="新細明體" w:hAnsi="新細明體"/>
          <w:b/>
          <w:bCs/>
          <w:color w:val="000000"/>
          <w:sz w:val="36"/>
          <w:szCs w:val="36"/>
        </w:rPr>
        <w:t>Week 2: 消費者網路行為分析</w:t>
      </w:r>
    </w:p>
    <w:p w14:paraId="5B7CC1F9" w14:textId="77777777" w:rsidR="00CF6E21" w:rsidRPr="00CF6E21" w:rsidRDefault="00CF6E21" w:rsidP="00CF6E21">
      <w:pPr>
        <w:numPr>
          <w:ilvl w:val="0"/>
          <w:numId w:val="2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行為模型</w:t>
      </w:r>
      <w:r w:rsidRPr="00CF6E21">
        <w:rPr>
          <w:rFonts w:ascii="新細明體" w:hAnsi="新細明體"/>
          <w:color w:val="000000"/>
        </w:rPr>
        <w:t>：解構消費者在數位旅程中的決策模型，例如：</w:t>
      </w:r>
      <w:r w:rsidRPr="00CF6E21">
        <w:rPr>
          <w:rFonts w:ascii="新細明體" w:hAnsi="新細明體"/>
          <w:b/>
          <w:bCs/>
          <w:color w:val="000000"/>
        </w:rPr>
        <w:t>ZMOT（零類時刻）</w:t>
      </w:r>
      <w:r w:rsidRPr="00CF6E21">
        <w:rPr>
          <w:rFonts w:ascii="新細明體" w:hAnsi="新細明體"/>
          <w:color w:val="000000"/>
        </w:rPr>
        <w:t>、</w:t>
      </w:r>
      <w:r w:rsidRPr="00CF6E21">
        <w:rPr>
          <w:rFonts w:ascii="新細明體" w:hAnsi="新細明體"/>
          <w:b/>
          <w:bCs/>
          <w:color w:val="000000"/>
        </w:rPr>
        <w:t>AARRR（海盜指標）</w:t>
      </w:r>
      <w:r w:rsidRPr="00CF6E21">
        <w:rPr>
          <w:rFonts w:ascii="新細明體" w:hAnsi="新細明體"/>
          <w:color w:val="000000"/>
        </w:rPr>
        <w:t>。</w:t>
      </w:r>
    </w:p>
    <w:p w14:paraId="5C2A6172" w14:textId="77777777" w:rsidR="00CF6E21" w:rsidRPr="00CF6E21" w:rsidRDefault="00CF6E21" w:rsidP="00CF6E21">
      <w:pPr>
        <w:numPr>
          <w:ilvl w:val="0"/>
          <w:numId w:val="2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資料來源</w:t>
      </w:r>
      <w:r w:rsidRPr="00CF6E21">
        <w:rPr>
          <w:rFonts w:ascii="新細明體" w:hAnsi="新細明體"/>
          <w:color w:val="000000"/>
        </w:rPr>
        <w:t>：如何利用社群聆聽工具、網站分析數據與問卷，來描繪目標客群的線上行為輪廓。</w:t>
      </w:r>
    </w:p>
    <w:p w14:paraId="6D5BFF62" w14:textId="6DFB1F57" w:rsidR="00CF6E21" w:rsidRPr="00CF6E21" w:rsidRDefault="00CF6E21" w:rsidP="00CF6E21">
      <w:pPr>
        <w:numPr>
          <w:ilvl w:val="0"/>
          <w:numId w:val="2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買家角色（Buyer Persona）</w:t>
      </w:r>
      <w:r w:rsidRPr="00CF6E21">
        <w:rPr>
          <w:rFonts w:ascii="新細明體" w:hAnsi="新細明體"/>
          <w:color w:val="000000"/>
        </w:rPr>
        <w:t>：建立具體的虛擬人物，以利後續的內容與廣告投放策略規劃。</w:t>
      </w:r>
    </w:p>
    <w:p w14:paraId="7D6156D9" w14:textId="77777777" w:rsidR="00CF6E21" w:rsidRPr="00CF6E21" w:rsidRDefault="00CF6E21" w:rsidP="00CF6E21">
      <w:pPr>
        <w:outlineLvl w:val="1"/>
        <w:rPr>
          <w:rFonts w:ascii="新細明體" w:hAnsi="新細明體"/>
          <w:b/>
          <w:bCs/>
          <w:color w:val="000000"/>
          <w:sz w:val="36"/>
          <w:szCs w:val="36"/>
        </w:rPr>
      </w:pPr>
      <w:r w:rsidRPr="00CF6E21">
        <w:rPr>
          <w:rFonts w:ascii="新細明體" w:hAnsi="新細明體"/>
          <w:b/>
          <w:bCs/>
          <w:color w:val="000000"/>
          <w:sz w:val="36"/>
          <w:szCs w:val="36"/>
        </w:rPr>
        <w:t>Week 3: 網站架構與 SEO 實作</w:t>
      </w:r>
    </w:p>
    <w:p w14:paraId="1A4DB39A" w14:textId="77777777" w:rsidR="00CF6E21" w:rsidRPr="00CF6E21" w:rsidRDefault="00CF6E21" w:rsidP="00CF6E21">
      <w:pPr>
        <w:numPr>
          <w:ilvl w:val="0"/>
          <w:numId w:val="3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SEO 基礎</w:t>
      </w:r>
      <w:r w:rsidRPr="00CF6E21">
        <w:rPr>
          <w:rFonts w:ascii="新細明體" w:hAnsi="新細明體"/>
          <w:color w:val="000000"/>
        </w:rPr>
        <w:t>：介紹**搜尋引擎最佳化（SEO）**的核心原則，包含 On-page、Off-page 與技術性 SEO。</w:t>
      </w:r>
    </w:p>
    <w:p w14:paraId="31EFDCA9" w14:textId="77777777" w:rsidR="00CF6E21" w:rsidRPr="00CF6E21" w:rsidRDefault="00CF6E21" w:rsidP="00CF6E21">
      <w:pPr>
        <w:numPr>
          <w:ilvl w:val="0"/>
          <w:numId w:val="3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關鍵字研究</w:t>
      </w:r>
      <w:r w:rsidRPr="00CF6E21">
        <w:rPr>
          <w:rFonts w:ascii="新細明體" w:hAnsi="新細明體"/>
          <w:color w:val="000000"/>
        </w:rPr>
        <w:t>：學習使用工具（如：Google Keyword Planner）進行關鍵字規劃，並分析使用者搜尋意圖。</w:t>
      </w:r>
    </w:p>
    <w:p w14:paraId="0D59F2E6" w14:textId="004B550D" w:rsidR="00CF6E21" w:rsidRPr="00CF6E21" w:rsidRDefault="00CF6E21" w:rsidP="00CF6E21">
      <w:pPr>
        <w:numPr>
          <w:ilvl w:val="0"/>
          <w:numId w:val="3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內容與連結</w:t>
      </w:r>
      <w:r w:rsidRPr="00CF6E21">
        <w:rPr>
          <w:rFonts w:ascii="新細明體" w:hAnsi="新細明體"/>
          <w:color w:val="000000"/>
        </w:rPr>
        <w:t>：探討高品質內容的撰寫技巧與外部連結（Backlinks）的建立策略。</w:t>
      </w:r>
    </w:p>
    <w:p w14:paraId="4EC82A3C" w14:textId="77777777" w:rsidR="00CF6E21" w:rsidRPr="00CF6E21" w:rsidRDefault="00CF6E21" w:rsidP="00CF6E21">
      <w:pPr>
        <w:outlineLvl w:val="1"/>
        <w:rPr>
          <w:rFonts w:ascii="新細明體" w:hAnsi="新細明體"/>
          <w:b/>
          <w:bCs/>
          <w:color w:val="000000"/>
          <w:sz w:val="36"/>
          <w:szCs w:val="36"/>
        </w:rPr>
      </w:pPr>
      <w:r w:rsidRPr="00CF6E21">
        <w:rPr>
          <w:rFonts w:ascii="新細明體" w:hAnsi="新細明體"/>
          <w:b/>
          <w:bCs/>
          <w:color w:val="000000"/>
          <w:sz w:val="36"/>
          <w:szCs w:val="36"/>
        </w:rPr>
        <w:t>Week 4: Google Analytics 與網站流量分析</w:t>
      </w:r>
    </w:p>
    <w:p w14:paraId="700920FA" w14:textId="77777777" w:rsidR="00CF6E21" w:rsidRPr="00CF6E21" w:rsidRDefault="00CF6E21" w:rsidP="00CF6E21">
      <w:pPr>
        <w:numPr>
          <w:ilvl w:val="0"/>
          <w:numId w:val="4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GA4 介紹</w:t>
      </w:r>
      <w:r w:rsidRPr="00CF6E21">
        <w:rPr>
          <w:rFonts w:ascii="新細明體" w:hAnsi="新細明體"/>
          <w:color w:val="000000"/>
        </w:rPr>
        <w:t>：介紹新版 Google Analytics 4 的核心概念，如事件（Events）與使用者（Users）導向的數據模型。</w:t>
      </w:r>
    </w:p>
    <w:p w14:paraId="29430737" w14:textId="77777777" w:rsidR="00CF6E21" w:rsidRPr="00CF6E21" w:rsidRDefault="00CF6E21" w:rsidP="00CF6E21">
      <w:pPr>
        <w:numPr>
          <w:ilvl w:val="0"/>
          <w:numId w:val="4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數據解讀</w:t>
      </w:r>
      <w:r w:rsidRPr="00CF6E21">
        <w:rPr>
          <w:rFonts w:ascii="新細明體" w:hAnsi="新細明體"/>
          <w:color w:val="000000"/>
        </w:rPr>
        <w:t>：學習解讀流量來源、使用者行為路徑、跳出率等關鍵指標，並找出網站優化機會。</w:t>
      </w:r>
    </w:p>
    <w:p w14:paraId="2AF1C7A8" w14:textId="38A65179" w:rsidR="00CF6E21" w:rsidRPr="00CF6E21" w:rsidRDefault="00CF6E21" w:rsidP="00CF6E21">
      <w:pPr>
        <w:numPr>
          <w:ilvl w:val="0"/>
          <w:numId w:val="4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lastRenderedPageBreak/>
        <w:t>目標設定</w:t>
      </w:r>
      <w:r w:rsidRPr="00CF6E21">
        <w:rPr>
          <w:rFonts w:ascii="新細明體" w:hAnsi="新細明體"/>
          <w:color w:val="000000"/>
        </w:rPr>
        <w:t>：設定網站目標與轉換路徑，追蹤使用者完成特定行為（如購買或下載）的成效。</w:t>
      </w:r>
    </w:p>
    <w:p w14:paraId="188543F0" w14:textId="77777777" w:rsidR="00CF6E21" w:rsidRPr="00CF6E21" w:rsidRDefault="00CF6E21" w:rsidP="00CF6E21">
      <w:pPr>
        <w:outlineLvl w:val="1"/>
        <w:rPr>
          <w:rFonts w:ascii="新細明體" w:hAnsi="新細明體"/>
          <w:b/>
          <w:bCs/>
          <w:color w:val="000000"/>
          <w:sz w:val="36"/>
          <w:szCs w:val="36"/>
        </w:rPr>
      </w:pPr>
      <w:r w:rsidRPr="00CF6E21">
        <w:rPr>
          <w:rFonts w:ascii="新細明體" w:hAnsi="新細明體"/>
          <w:b/>
          <w:bCs/>
          <w:color w:val="000000"/>
          <w:sz w:val="36"/>
          <w:szCs w:val="36"/>
        </w:rPr>
        <w:t>Week 5: 內容行銷策略設計</w:t>
      </w:r>
    </w:p>
    <w:p w14:paraId="4B8C01BD" w14:textId="77777777" w:rsidR="00CF6E21" w:rsidRPr="00CF6E21" w:rsidRDefault="00CF6E21" w:rsidP="00CF6E21">
      <w:pPr>
        <w:numPr>
          <w:ilvl w:val="0"/>
          <w:numId w:val="5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內容類型</w:t>
      </w:r>
      <w:r w:rsidRPr="00CF6E21">
        <w:rPr>
          <w:rFonts w:ascii="新細明體" w:hAnsi="新細明體"/>
          <w:color w:val="000000"/>
        </w:rPr>
        <w:t>：比較不同內容形式（部落格文章、影音、資訊圖表、Podcast）的優劣與適用場景。</w:t>
      </w:r>
    </w:p>
    <w:p w14:paraId="552B884D" w14:textId="77777777" w:rsidR="00CF6E21" w:rsidRPr="00CF6E21" w:rsidRDefault="00CF6E21" w:rsidP="00CF6E21">
      <w:pPr>
        <w:numPr>
          <w:ilvl w:val="0"/>
          <w:numId w:val="5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內容規劃</w:t>
      </w:r>
      <w:r w:rsidRPr="00CF6E21">
        <w:rPr>
          <w:rFonts w:ascii="新細明體" w:hAnsi="新細明體"/>
          <w:color w:val="000000"/>
        </w:rPr>
        <w:t>：建立</w:t>
      </w:r>
      <w:r w:rsidRPr="00CF6E21">
        <w:rPr>
          <w:rFonts w:ascii="新細明體" w:hAnsi="新細明體"/>
          <w:b/>
          <w:bCs/>
          <w:color w:val="000000"/>
        </w:rPr>
        <w:t>內容行事曆（Content Calendar）</w:t>
      </w:r>
      <w:r w:rsidRPr="00CF6E21">
        <w:rPr>
          <w:rFonts w:ascii="新細明體" w:hAnsi="新細明體"/>
          <w:color w:val="000000"/>
        </w:rPr>
        <w:t>，確保內容產出的穩定性與主題一致性。</w:t>
      </w:r>
    </w:p>
    <w:p w14:paraId="0BA06420" w14:textId="01B0D76C" w:rsidR="00CF6E21" w:rsidRPr="00CF6E21" w:rsidRDefault="00CF6E21" w:rsidP="00CF6E21">
      <w:pPr>
        <w:numPr>
          <w:ilvl w:val="0"/>
          <w:numId w:val="5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品牌故事</w:t>
      </w:r>
      <w:r w:rsidRPr="00CF6E21">
        <w:rPr>
          <w:rFonts w:ascii="新細明體" w:hAnsi="新細明體"/>
          <w:color w:val="000000"/>
        </w:rPr>
        <w:t>：透過敘事技巧建立品牌情感連結，從而提升品牌忠誠度與消費者參與度。</w:t>
      </w:r>
    </w:p>
    <w:p w14:paraId="232DE7DC" w14:textId="77777777" w:rsidR="00CF6E21" w:rsidRPr="00CF6E21" w:rsidRDefault="00CF6E21" w:rsidP="00CF6E21">
      <w:pPr>
        <w:outlineLvl w:val="1"/>
        <w:rPr>
          <w:rFonts w:ascii="新細明體" w:hAnsi="新細明體"/>
          <w:b/>
          <w:bCs/>
          <w:color w:val="000000"/>
          <w:sz w:val="36"/>
          <w:szCs w:val="36"/>
        </w:rPr>
      </w:pPr>
      <w:r w:rsidRPr="00CF6E21">
        <w:rPr>
          <w:rFonts w:ascii="新細明體" w:hAnsi="新細明體"/>
          <w:b/>
          <w:bCs/>
          <w:color w:val="000000"/>
          <w:sz w:val="36"/>
          <w:szCs w:val="36"/>
        </w:rPr>
        <w:t>Week 6: 社群平台比較與操作（FB/IG/X/LinkedIn）</w:t>
      </w:r>
    </w:p>
    <w:p w14:paraId="3324B14A" w14:textId="77777777" w:rsidR="00CF6E21" w:rsidRPr="00CF6E21" w:rsidRDefault="00CF6E21" w:rsidP="00CF6E21">
      <w:pPr>
        <w:numPr>
          <w:ilvl w:val="0"/>
          <w:numId w:val="6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平台特性</w:t>
      </w:r>
      <w:r w:rsidRPr="00CF6E21">
        <w:rPr>
          <w:rFonts w:ascii="新細明體" w:hAnsi="新細明體"/>
          <w:color w:val="000000"/>
        </w:rPr>
        <w:t>：分析 Facebook、Instagram、X（原 Twitter）、LinkedIn 等主流社群平台的受眾與內容特性。</w:t>
      </w:r>
    </w:p>
    <w:p w14:paraId="21B22E54" w14:textId="77777777" w:rsidR="00CF6E21" w:rsidRPr="00CF6E21" w:rsidRDefault="00CF6E21" w:rsidP="00CF6E21">
      <w:pPr>
        <w:numPr>
          <w:ilvl w:val="0"/>
          <w:numId w:val="6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社群策略</w:t>
      </w:r>
      <w:r w:rsidRPr="00CF6E21">
        <w:rPr>
          <w:rFonts w:ascii="新細明體" w:hAnsi="新細明體"/>
          <w:color w:val="000000"/>
        </w:rPr>
        <w:t>：學習制定社群內容主題、互動手法與發文頻率，並利用</w:t>
      </w:r>
      <w:r w:rsidRPr="00CF6E21">
        <w:rPr>
          <w:rFonts w:ascii="新細明體" w:hAnsi="新細明體"/>
          <w:b/>
          <w:bCs/>
          <w:color w:val="000000"/>
        </w:rPr>
        <w:t>社群聆聽</w:t>
      </w:r>
      <w:r w:rsidRPr="00CF6E21">
        <w:rPr>
          <w:rFonts w:ascii="新細明體" w:hAnsi="新細明體"/>
          <w:color w:val="000000"/>
        </w:rPr>
        <w:t>找出熱門話題。</w:t>
      </w:r>
    </w:p>
    <w:p w14:paraId="06D9979A" w14:textId="6D1208FB" w:rsidR="00CF6E21" w:rsidRPr="00CF6E21" w:rsidRDefault="00CF6E21" w:rsidP="00CF6E21">
      <w:pPr>
        <w:numPr>
          <w:ilvl w:val="0"/>
          <w:numId w:val="6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案例分析</w:t>
      </w:r>
      <w:r w:rsidRPr="00CF6E21">
        <w:rPr>
          <w:rFonts w:ascii="新細明體" w:hAnsi="新細明體"/>
          <w:color w:val="000000"/>
        </w:rPr>
        <w:t>：解析成功社群帳號的經營模式，並探討品牌如何與粉絲建立長期關係。</w:t>
      </w:r>
    </w:p>
    <w:p w14:paraId="64999695" w14:textId="77777777" w:rsidR="00CF6E21" w:rsidRPr="00CF6E21" w:rsidRDefault="00CF6E21" w:rsidP="00CF6E21">
      <w:pPr>
        <w:outlineLvl w:val="1"/>
        <w:rPr>
          <w:rFonts w:ascii="新細明體" w:hAnsi="新細明體"/>
          <w:b/>
          <w:bCs/>
          <w:color w:val="000000"/>
          <w:sz w:val="36"/>
          <w:szCs w:val="36"/>
        </w:rPr>
      </w:pPr>
      <w:r w:rsidRPr="00CF6E21">
        <w:rPr>
          <w:rFonts w:ascii="新細明體" w:hAnsi="新細明體"/>
          <w:b/>
          <w:bCs/>
          <w:color w:val="000000"/>
          <w:sz w:val="36"/>
          <w:szCs w:val="36"/>
        </w:rPr>
        <w:t>Week 7: Meta Ads 與關鍵字廣告</w:t>
      </w:r>
    </w:p>
    <w:p w14:paraId="7332AF56" w14:textId="77777777" w:rsidR="00CF6E21" w:rsidRPr="00CF6E21" w:rsidRDefault="00CF6E21" w:rsidP="00CF6E21">
      <w:pPr>
        <w:numPr>
          <w:ilvl w:val="0"/>
          <w:numId w:val="7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廣告生態系</w:t>
      </w:r>
      <w:r w:rsidRPr="00CF6E21">
        <w:rPr>
          <w:rFonts w:ascii="新細明體" w:hAnsi="新細明體"/>
          <w:color w:val="000000"/>
        </w:rPr>
        <w:t>：介紹 Meta（Facebook、Instagram）與 Google Ads 的廣告投放機制與競價原理。</w:t>
      </w:r>
    </w:p>
    <w:p w14:paraId="7A7D74F1" w14:textId="77777777" w:rsidR="00CF6E21" w:rsidRPr="00CF6E21" w:rsidRDefault="00CF6E21" w:rsidP="00CF6E21">
      <w:pPr>
        <w:numPr>
          <w:ilvl w:val="0"/>
          <w:numId w:val="7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受眾設定</w:t>
      </w:r>
      <w:r w:rsidRPr="00CF6E21">
        <w:rPr>
          <w:rFonts w:ascii="新細明體" w:hAnsi="新細明體"/>
          <w:color w:val="000000"/>
        </w:rPr>
        <w:t>：學習精準鎖定目標受眾，包含興趣、行為與自訂受眾的應用。</w:t>
      </w:r>
    </w:p>
    <w:p w14:paraId="1E595084" w14:textId="64CE91A6" w:rsidR="00CF6E21" w:rsidRPr="00CF6E21" w:rsidRDefault="00CF6E21" w:rsidP="00CF6E21">
      <w:pPr>
        <w:numPr>
          <w:ilvl w:val="0"/>
          <w:numId w:val="7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廣告文案</w:t>
      </w:r>
      <w:r w:rsidRPr="00CF6E21">
        <w:rPr>
          <w:rFonts w:ascii="新細明體" w:hAnsi="新細明體"/>
          <w:color w:val="000000"/>
        </w:rPr>
        <w:t>：撰寫吸引人的廣告標題與內文，並測試不同素材的成效。</w:t>
      </w:r>
    </w:p>
    <w:p w14:paraId="6372A188" w14:textId="77777777" w:rsidR="00CF6E21" w:rsidRPr="00CF6E21" w:rsidRDefault="00CF6E21" w:rsidP="00CF6E21">
      <w:pPr>
        <w:outlineLvl w:val="1"/>
        <w:rPr>
          <w:rFonts w:ascii="新細明體" w:hAnsi="新細明體"/>
          <w:b/>
          <w:bCs/>
          <w:color w:val="000000"/>
          <w:sz w:val="36"/>
          <w:szCs w:val="36"/>
        </w:rPr>
      </w:pPr>
      <w:r w:rsidRPr="00CF6E21">
        <w:rPr>
          <w:rFonts w:ascii="新細明體" w:hAnsi="新細明體"/>
          <w:b/>
          <w:bCs/>
          <w:color w:val="000000"/>
          <w:sz w:val="36"/>
          <w:szCs w:val="36"/>
        </w:rPr>
        <w:t>Week 8: KOL 與影響者行銷</w:t>
      </w:r>
    </w:p>
    <w:p w14:paraId="3FABC67B" w14:textId="77777777" w:rsidR="00CF6E21" w:rsidRPr="00CF6E21" w:rsidRDefault="00CF6E21" w:rsidP="00CF6E21">
      <w:pPr>
        <w:numPr>
          <w:ilvl w:val="0"/>
          <w:numId w:val="8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合作模式</w:t>
      </w:r>
      <w:r w:rsidRPr="00CF6E21">
        <w:rPr>
          <w:rFonts w:ascii="新細明體" w:hAnsi="新細明體"/>
          <w:color w:val="000000"/>
        </w:rPr>
        <w:t>：介紹與網紅（KOL/KOC）合作的不同模式，如業配文、品牌大使與聯盟行銷。</w:t>
      </w:r>
    </w:p>
    <w:p w14:paraId="3BEA41FD" w14:textId="77777777" w:rsidR="00CF6E21" w:rsidRPr="00CF6E21" w:rsidRDefault="00CF6E21" w:rsidP="00CF6E21">
      <w:pPr>
        <w:numPr>
          <w:ilvl w:val="0"/>
          <w:numId w:val="8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評估指標</w:t>
      </w:r>
      <w:r w:rsidRPr="00CF6E21">
        <w:rPr>
          <w:rFonts w:ascii="新細明體" w:hAnsi="新細明體"/>
          <w:color w:val="000000"/>
        </w:rPr>
        <w:t>：如何評估 KOL 的影響力、粉絲真實性與互動率，並選擇合適的合作對象。</w:t>
      </w:r>
    </w:p>
    <w:p w14:paraId="7F09935A" w14:textId="004EDB3D" w:rsidR="00CF6E21" w:rsidRPr="00CF6E21" w:rsidRDefault="00CF6E21" w:rsidP="00CF6E21">
      <w:pPr>
        <w:numPr>
          <w:ilvl w:val="0"/>
          <w:numId w:val="8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lastRenderedPageBreak/>
        <w:t>倫理與合約</w:t>
      </w:r>
      <w:r w:rsidRPr="00CF6E21">
        <w:rPr>
          <w:rFonts w:ascii="新細明體" w:hAnsi="新細明體"/>
          <w:color w:val="000000"/>
        </w:rPr>
        <w:t>：探討與 KOL 合作的法律與倫理議題，包含</w:t>
      </w:r>
      <w:r w:rsidRPr="00CF6E21">
        <w:rPr>
          <w:rFonts w:ascii="新細明體" w:hAnsi="新細明體"/>
          <w:b/>
          <w:bCs/>
          <w:color w:val="000000"/>
        </w:rPr>
        <w:t>揭露</w:t>
      </w:r>
      <w:r w:rsidRPr="00CF6E21">
        <w:rPr>
          <w:rFonts w:ascii="新細明體" w:hAnsi="新細明體"/>
          <w:color w:val="000000"/>
        </w:rPr>
        <w:t>義務與合約細節。</w:t>
      </w:r>
    </w:p>
    <w:p w14:paraId="2D66EB3E" w14:textId="77777777" w:rsidR="00CF6E21" w:rsidRPr="00CF6E21" w:rsidRDefault="00CF6E21" w:rsidP="00CF6E21">
      <w:pPr>
        <w:outlineLvl w:val="1"/>
        <w:rPr>
          <w:rFonts w:ascii="新細明體" w:hAnsi="新細明體"/>
          <w:b/>
          <w:bCs/>
          <w:color w:val="000000"/>
          <w:sz w:val="36"/>
          <w:szCs w:val="36"/>
        </w:rPr>
      </w:pPr>
      <w:r w:rsidRPr="00CF6E21">
        <w:rPr>
          <w:rFonts w:ascii="新細明體" w:hAnsi="新細明體"/>
          <w:b/>
          <w:bCs/>
          <w:color w:val="000000"/>
          <w:sz w:val="36"/>
          <w:szCs w:val="36"/>
        </w:rPr>
        <w:t>Week 9: 電子郵件與自動化行銷工具</w:t>
      </w:r>
    </w:p>
    <w:p w14:paraId="605B73A0" w14:textId="77777777" w:rsidR="00CF6E21" w:rsidRPr="00CF6E21" w:rsidRDefault="00CF6E21" w:rsidP="00CF6E21">
      <w:pPr>
        <w:numPr>
          <w:ilvl w:val="0"/>
          <w:numId w:val="9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電子報設計</w:t>
      </w:r>
      <w:r w:rsidRPr="00CF6E21">
        <w:rPr>
          <w:rFonts w:ascii="新細明體" w:hAnsi="新細明體"/>
          <w:color w:val="000000"/>
        </w:rPr>
        <w:t>：介紹電子報行銷的優勢，並學習設計高開啟率與點擊率的信件內容。</w:t>
      </w:r>
    </w:p>
    <w:p w14:paraId="2F6FB39E" w14:textId="77777777" w:rsidR="00CF6E21" w:rsidRPr="00CF6E21" w:rsidRDefault="00CF6E21" w:rsidP="00CF6E21">
      <w:pPr>
        <w:numPr>
          <w:ilvl w:val="0"/>
          <w:numId w:val="9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自動化流程</w:t>
      </w:r>
      <w:r w:rsidRPr="00CF6E21">
        <w:rPr>
          <w:rFonts w:ascii="新細明體" w:hAnsi="新細明體"/>
          <w:color w:val="000000"/>
        </w:rPr>
        <w:t>：設定自動化行銷流程，如歡迎信、購物車未結提醒、生日祝福等，實現</w:t>
      </w:r>
      <w:r w:rsidRPr="00CF6E21">
        <w:rPr>
          <w:rFonts w:ascii="新細明體" w:hAnsi="新細明體"/>
          <w:b/>
          <w:bCs/>
          <w:color w:val="000000"/>
        </w:rPr>
        <w:t>分眾行銷</w:t>
      </w:r>
      <w:r w:rsidRPr="00CF6E21">
        <w:rPr>
          <w:rFonts w:ascii="新細明體" w:hAnsi="新細明體"/>
          <w:color w:val="000000"/>
        </w:rPr>
        <w:t>。</w:t>
      </w:r>
    </w:p>
    <w:p w14:paraId="23A4A9D6" w14:textId="2755CB38" w:rsidR="00CF6E21" w:rsidRPr="00CF6E21" w:rsidRDefault="00CF6E21" w:rsidP="00CF6E21">
      <w:pPr>
        <w:numPr>
          <w:ilvl w:val="0"/>
          <w:numId w:val="9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工具應用</w:t>
      </w:r>
      <w:r w:rsidRPr="00CF6E21">
        <w:rPr>
          <w:rFonts w:ascii="新細明體" w:hAnsi="新細明體"/>
          <w:color w:val="000000"/>
        </w:rPr>
        <w:t>：簡介 Mailchimp、ActiveCampaign 等常見的電子郵件行銷服務。</w:t>
      </w:r>
    </w:p>
    <w:p w14:paraId="7F144D22" w14:textId="77777777" w:rsidR="00CF6E21" w:rsidRPr="00CF6E21" w:rsidRDefault="00CF6E21" w:rsidP="00CF6E21">
      <w:pPr>
        <w:outlineLvl w:val="1"/>
        <w:rPr>
          <w:rFonts w:ascii="新細明體" w:hAnsi="新細明體"/>
          <w:b/>
          <w:bCs/>
          <w:color w:val="000000"/>
          <w:sz w:val="36"/>
          <w:szCs w:val="36"/>
        </w:rPr>
      </w:pPr>
      <w:r w:rsidRPr="00CF6E21">
        <w:rPr>
          <w:rFonts w:ascii="新細明體" w:hAnsi="新細明體"/>
          <w:b/>
          <w:bCs/>
          <w:color w:val="000000"/>
          <w:sz w:val="36"/>
          <w:szCs w:val="36"/>
        </w:rPr>
        <w:t>Week 10: 轉換率優化與漏斗設計</w:t>
      </w:r>
    </w:p>
    <w:p w14:paraId="48DFFBC0" w14:textId="77777777" w:rsidR="00CF6E21" w:rsidRPr="00CF6E21" w:rsidRDefault="00CF6E21" w:rsidP="00CF6E21">
      <w:pPr>
        <w:numPr>
          <w:ilvl w:val="0"/>
          <w:numId w:val="10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優化（CRO）</w:t>
      </w:r>
      <w:r w:rsidRPr="00CF6E21">
        <w:rPr>
          <w:rFonts w:ascii="新細明體" w:hAnsi="新細明體"/>
          <w:color w:val="000000"/>
        </w:rPr>
        <w:t>：定義**轉換率優化（CRO）**的核心，如何讓更多網站訪客完成預期動作。</w:t>
      </w:r>
    </w:p>
    <w:p w14:paraId="53C9CBE4" w14:textId="77777777" w:rsidR="00CF6E21" w:rsidRPr="00CF6E21" w:rsidRDefault="00CF6E21" w:rsidP="00CF6E21">
      <w:pPr>
        <w:numPr>
          <w:ilvl w:val="0"/>
          <w:numId w:val="10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行銷漏斗</w:t>
      </w:r>
      <w:r w:rsidRPr="00CF6E21">
        <w:rPr>
          <w:rFonts w:ascii="新細明體" w:hAnsi="新細明體"/>
          <w:color w:val="000000"/>
        </w:rPr>
        <w:t>：設計並分析行銷漏斗（如 AIDA 模型），找出使用者在哪個階段流失。</w:t>
      </w:r>
    </w:p>
    <w:p w14:paraId="308F585F" w14:textId="374ECD4B" w:rsidR="00CF6E21" w:rsidRPr="00CF6E21" w:rsidRDefault="00CF6E21" w:rsidP="00CF6E21">
      <w:pPr>
        <w:numPr>
          <w:ilvl w:val="0"/>
          <w:numId w:val="10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網站分析</w:t>
      </w:r>
      <w:r w:rsidRPr="00CF6E21">
        <w:rPr>
          <w:rFonts w:ascii="新細明體" w:hAnsi="新細明體"/>
          <w:color w:val="000000"/>
        </w:rPr>
        <w:t>：利用</w:t>
      </w:r>
      <w:r w:rsidRPr="00CF6E21">
        <w:rPr>
          <w:rFonts w:ascii="新細明體" w:hAnsi="新細明體"/>
          <w:b/>
          <w:bCs/>
          <w:color w:val="000000"/>
        </w:rPr>
        <w:t>熱點圖（Heatmap）</w:t>
      </w:r>
      <w:r w:rsidRPr="00CF6E21">
        <w:rPr>
          <w:rFonts w:ascii="新細明體" w:hAnsi="新細明體"/>
          <w:color w:val="000000"/>
        </w:rPr>
        <w:t>、錄影回放等工具，了解使用者在網站上的行為細節。</w:t>
      </w:r>
    </w:p>
    <w:p w14:paraId="063DF554" w14:textId="77777777" w:rsidR="00CF6E21" w:rsidRPr="00CF6E21" w:rsidRDefault="00CF6E21" w:rsidP="00CF6E21">
      <w:pPr>
        <w:outlineLvl w:val="1"/>
        <w:rPr>
          <w:rFonts w:ascii="新細明體" w:hAnsi="新細明體"/>
          <w:b/>
          <w:bCs/>
          <w:color w:val="000000"/>
          <w:sz w:val="36"/>
          <w:szCs w:val="36"/>
        </w:rPr>
      </w:pPr>
      <w:r w:rsidRPr="00CF6E21">
        <w:rPr>
          <w:rFonts w:ascii="新細明體" w:hAnsi="新細明體"/>
          <w:b/>
          <w:bCs/>
          <w:color w:val="000000"/>
          <w:sz w:val="36"/>
          <w:szCs w:val="36"/>
        </w:rPr>
        <w:t>Week 11: A/B 測試與實驗設計</w:t>
      </w:r>
    </w:p>
    <w:p w14:paraId="11F94F91" w14:textId="77777777" w:rsidR="00CF6E21" w:rsidRPr="00CF6E21" w:rsidRDefault="00CF6E21" w:rsidP="00CF6E21">
      <w:pPr>
        <w:numPr>
          <w:ilvl w:val="0"/>
          <w:numId w:val="11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A/B 測試</w:t>
      </w:r>
      <w:r w:rsidRPr="00CF6E21">
        <w:rPr>
          <w:rFonts w:ascii="新細明體" w:hAnsi="新細明體"/>
          <w:color w:val="000000"/>
        </w:rPr>
        <w:t>：介紹 A/B 測試的原理與實作流程，學習如何科學化地優化網頁元素。</w:t>
      </w:r>
    </w:p>
    <w:p w14:paraId="246E1C0F" w14:textId="77777777" w:rsidR="00CF6E21" w:rsidRPr="00CF6E21" w:rsidRDefault="00CF6E21" w:rsidP="00CF6E21">
      <w:pPr>
        <w:numPr>
          <w:ilvl w:val="0"/>
          <w:numId w:val="11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實驗變因</w:t>
      </w:r>
      <w:r w:rsidRPr="00CF6E21">
        <w:rPr>
          <w:rFonts w:ascii="新細明體" w:hAnsi="新細明體"/>
          <w:color w:val="000000"/>
        </w:rPr>
        <w:t>：如何設計有效的實驗，確保每次只測試一個變因（如按鈕顏色、文案、圖片）。</w:t>
      </w:r>
    </w:p>
    <w:p w14:paraId="732B3EED" w14:textId="02781351" w:rsidR="00CF6E21" w:rsidRPr="00CF6E21" w:rsidRDefault="00CF6E21" w:rsidP="00CF6E21">
      <w:pPr>
        <w:numPr>
          <w:ilvl w:val="0"/>
          <w:numId w:val="11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數據解讀</w:t>
      </w:r>
      <w:r w:rsidRPr="00CF6E21">
        <w:rPr>
          <w:rFonts w:ascii="新細明體" w:hAnsi="新細明體"/>
          <w:color w:val="000000"/>
        </w:rPr>
        <w:t>：學習解讀實驗結果，並判斷數據是否具有統計顯著性。</w:t>
      </w:r>
    </w:p>
    <w:p w14:paraId="5D1A0B93" w14:textId="77777777" w:rsidR="00CF6E21" w:rsidRPr="00CF6E21" w:rsidRDefault="00CF6E21" w:rsidP="00CF6E21">
      <w:pPr>
        <w:outlineLvl w:val="1"/>
        <w:rPr>
          <w:rFonts w:ascii="新細明體" w:hAnsi="新細明體"/>
          <w:b/>
          <w:bCs/>
          <w:color w:val="000000"/>
          <w:sz w:val="36"/>
          <w:szCs w:val="36"/>
        </w:rPr>
      </w:pPr>
      <w:r w:rsidRPr="00CF6E21">
        <w:rPr>
          <w:rFonts w:ascii="新細明體" w:hAnsi="新細明體"/>
          <w:b/>
          <w:bCs/>
          <w:color w:val="000000"/>
          <w:sz w:val="36"/>
          <w:szCs w:val="36"/>
        </w:rPr>
        <w:t>Week 12: 成效追蹤與 ROI 評估</w:t>
      </w:r>
    </w:p>
    <w:p w14:paraId="4B3ADB72" w14:textId="77777777" w:rsidR="00CF6E21" w:rsidRPr="00CF6E21" w:rsidRDefault="00CF6E21" w:rsidP="00CF6E21">
      <w:pPr>
        <w:numPr>
          <w:ilvl w:val="0"/>
          <w:numId w:val="12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關鍵指標（KPI）</w:t>
      </w:r>
      <w:r w:rsidRPr="00CF6E21">
        <w:rPr>
          <w:rFonts w:ascii="新細明體" w:hAnsi="新細明體"/>
          <w:color w:val="000000"/>
        </w:rPr>
        <w:t>：設定與業務目標相關的數位行銷 KPI，如</w:t>
      </w:r>
      <w:r w:rsidRPr="00CF6E21">
        <w:rPr>
          <w:rFonts w:ascii="新細明體" w:hAnsi="新細明體"/>
          <w:b/>
          <w:bCs/>
          <w:color w:val="000000"/>
        </w:rPr>
        <w:t>投資回報率（ROI）</w:t>
      </w:r>
      <w:r w:rsidRPr="00CF6E21">
        <w:rPr>
          <w:rFonts w:ascii="新細明體" w:hAnsi="新細明體"/>
          <w:color w:val="000000"/>
        </w:rPr>
        <w:t>、</w:t>
      </w:r>
      <w:r w:rsidRPr="00CF6E21">
        <w:rPr>
          <w:rFonts w:ascii="新細明體" w:hAnsi="新細明體"/>
          <w:b/>
          <w:bCs/>
          <w:color w:val="000000"/>
        </w:rPr>
        <w:t>單次獲客成本（CAC）</w:t>
      </w:r>
      <w:r w:rsidRPr="00CF6E21">
        <w:rPr>
          <w:rFonts w:ascii="新細明體" w:hAnsi="新細明體"/>
          <w:color w:val="000000"/>
        </w:rPr>
        <w:t>。</w:t>
      </w:r>
    </w:p>
    <w:p w14:paraId="2C018479" w14:textId="77777777" w:rsidR="00CF6E21" w:rsidRPr="00CF6E21" w:rsidRDefault="00CF6E21" w:rsidP="00CF6E21">
      <w:pPr>
        <w:numPr>
          <w:ilvl w:val="0"/>
          <w:numId w:val="12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歸因模型</w:t>
      </w:r>
      <w:r w:rsidRPr="00CF6E21">
        <w:rPr>
          <w:rFonts w:ascii="新細明體" w:hAnsi="新細明體"/>
          <w:color w:val="000000"/>
        </w:rPr>
        <w:t>：介紹不同的</w:t>
      </w:r>
      <w:r w:rsidRPr="00CF6E21">
        <w:rPr>
          <w:rFonts w:ascii="新細明體" w:hAnsi="新細明體"/>
          <w:b/>
          <w:bCs/>
          <w:color w:val="000000"/>
        </w:rPr>
        <w:t>行銷歸因模型</w:t>
      </w:r>
      <w:r w:rsidRPr="00CF6E21">
        <w:rPr>
          <w:rFonts w:ascii="新細明體" w:hAnsi="新細明體"/>
          <w:color w:val="000000"/>
        </w:rPr>
        <w:t>（如最後點擊、線性、時間衰減），並選擇合適的評估方式。</w:t>
      </w:r>
    </w:p>
    <w:p w14:paraId="3589FFD6" w14:textId="5F9EC300" w:rsidR="00CF6E21" w:rsidRPr="00CF6E21" w:rsidRDefault="00CF6E21" w:rsidP="00CF6E21">
      <w:pPr>
        <w:numPr>
          <w:ilvl w:val="0"/>
          <w:numId w:val="12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lastRenderedPageBreak/>
        <w:t>報表製作</w:t>
      </w:r>
      <w:r w:rsidRPr="00CF6E21">
        <w:rPr>
          <w:rFonts w:ascii="新細明體" w:hAnsi="新細明體"/>
          <w:color w:val="000000"/>
        </w:rPr>
        <w:t>：學習利用數據儀表板（Dashboard）製作視覺化報表，有效傳達行銷成效。</w:t>
      </w:r>
    </w:p>
    <w:p w14:paraId="0A287BB4" w14:textId="77777777" w:rsidR="00CF6E21" w:rsidRPr="00CF6E21" w:rsidRDefault="00CF6E21" w:rsidP="00CF6E21">
      <w:pPr>
        <w:outlineLvl w:val="1"/>
        <w:rPr>
          <w:rFonts w:ascii="新細明體" w:hAnsi="新細明體"/>
          <w:b/>
          <w:bCs/>
          <w:color w:val="000000"/>
          <w:sz w:val="36"/>
          <w:szCs w:val="36"/>
        </w:rPr>
      </w:pPr>
      <w:r w:rsidRPr="00CF6E21">
        <w:rPr>
          <w:rFonts w:ascii="新細明體" w:hAnsi="新細明體"/>
          <w:b/>
          <w:bCs/>
          <w:color w:val="000000"/>
          <w:sz w:val="36"/>
          <w:szCs w:val="36"/>
        </w:rPr>
        <w:t>Week 13: 品牌在數位環境的經營</w:t>
      </w:r>
    </w:p>
    <w:p w14:paraId="4E1E5C64" w14:textId="77777777" w:rsidR="00CF6E21" w:rsidRPr="00CF6E21" w:rsidRDefault="00CF6E21" w:rsidP="00CF6E21">
      <w:pPr>
        <w:numPr>
          <w:ilvl w:val="0"/>
          <w:numId w:val="13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品牌識別</w:t>
      </w:r>
      <w:r w:rsidRPr="00CF6E21">
        <w:rPr>
          <w:rFonts w:ascii="新細明體" w:hAnsi="新細明體"/>
          <w:color w:val="000000"/>
        </w:rPr>
        <w:t>：如何在數位平台建立一致的品牌語調與視覺風格。</w:t>
      </w:r>
    </w:p>
    <w:p w14:paraId="7DCB4469" w14:textId="77777777" w:rsidR="00CF6E21" w:rsidRPr="00CF6E21" w:rsidRDefault="00CF6E21" w:rsidP="00CF6E21">
      <w:pPr>
        <w:numPr>
          <w:ilvl w:val="0"/>
          <w:numId w:val="13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危機處理</w:t>
      </w:r>
      <w:r w:rsidRPr="00CF6E21">
        <w:rPr>
          <w:rFonts w:ascii="新細明體" w:hAnsi="新細明體"/>
          <w:color w:val="000000"/>
        </w:rPr>
        <w:t>：探討社群媒體上的</w:t>
      </w:r>
      <w:r w:rsidRPr="00CF6E21">
        <w:rPr>
          <w:rFonts w:ascii="新細明體" w:hAnsi="新細明體"/>
          <w:b/>
          <w:bCs/>
          <w:color w:val="000000"/>
        </w:rPr>
        <w:t>公關危機處理</w:t>
      </w:r>
      <w:r w:rsidRPr="00CF6E21">
        <w:rPr>
          <w:rFonts w:ascii="新細明體" w:hAnsi="新細明體"/>
          <w:color w:val="000000"/>
        </w:rPr>
        <w:t>流程與最佳實務。</w:t>
      </w:r>
    </w:p>
    <w:p w14:paraId="4B9AA85B" w14:textId="1BE98350" w:rsidR="00CF6E21" w:rsidRPr="00CF6E21" w:rsidRDefault="00CF6E21" w:rsidP="00CF6E21">
      <w:pPr>
        <w:numPr>
          <w:ilvl w:val="0"/>
          <w:numId w:val="13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口碑管理</w:t>
      </w:r>
      <w:r w:rsidRPr="00CF6E21">
        <w:rPr>
          <w:rFonts w:ascii="新細明體" w:hAnsi="新細明體"/>
          <w:color w:val="000000"/>
        </w:rPr>
        <w:t>：主動監測與回應線上評論，積極塑造品牌正面形象。</w:t>
      </w:r>
    </w:p>
    <w:p w14:paraId="0739849A" w14:textId="77777777" w:rsidR="00CF6E21" w:rsidRPr="00CF6E21" w:rsidRDefault="00CF6E21" w:rsidP="00CF6E21">
      <w:pPr>
        <w:outlineLvl w:val="1"/>
        <w:rPr>
          <w:rFonts w:ascii="新細明體" w:hAnsi="新細明體"/>
          <w:b/>
          <w:bCs/>
          <w:color w:val="000000"/>
          <w:sz w:val="36"/>
          <w:szCs w:val="36"/>
        </w:rPr>
      </w:pPr>
      <w:r w:rsidRPr="00CF6E21">
        <w:rPr>
          <w:rFonts w:ascii="新細明體" w:hAnsi="新細明體"/>
          <w:b/>
          <w:bCs/>
          <w:color w:val="000000"/>
          <w:sz w:val="36"/>
          <w:szCs w:val="36"/>
        </w:rPr>
        <w:t>Week 14: 數位行銷倫理與資料隱私</w:t>
      </w:r>
    </w:p>
    <w:p w14:paraId="44A0BDBE" w14:textId="77777777" w:rsidR="00CF6E21" w:rsidRPr="00CF6E21" w:rsidRDefault="00CF6E21" w:rsidP="00CF6E21">
      <w:pPr>
        <w:numPr>
          <w:ilvl w:val="0"/>
          <w:numId w:val="14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法規遵循</w:t>
      </w:r>
      <w:r w:rsidRPr="00CF6E21">
        <w:rPr>
          <w:rFonts w:ascii="新細明體" w:hAnsi="新細明體"/>
          <w:color w:val="000000"/>
        </w:rPr>
        <w:t>：介紹</w:t>
      </w:r>
      <w:r w:rsidRPr="00CF6E21">
        <w:rPr>
          <w:rFonts w:ascii="新細明體" w:hAnsi="新細明體"/>
          <w:b/>
          <w:bCs/>
          <w:color w:val="000000"/>
        </w:rPr>
        <w:t>GDPR</w:t>
      </w:r>
      <w:r w:rsidRPr="00CF6E21">
        <w:rPr>
          <w:rFonts w:ascii="新細明體" w:hAnsi="新細明體"/>
          <w:color w:val="000000"/>
        </w:rPr>
        <w:t>與其他相關個資保護法規對數位行銷的影響。</w:t>
      </w:r>
    </w:p>
    <w:p w14:paraId="659C0BE5" w14:textId="77777777" w:rsidR="00CF6E21" w:rsidRPr="00CF6E21" w:rsidRDefault="00CF6E21" w:rsidP="00CF6E21">
      <w:pPr>
        <w:numPr>
          <w:ilvl w:val="0"/>
          <w:numId w:val="14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廣告透明度</w:t>
      </w:r>
      <w:r w:rsidRPr="00CF6E21">
        <w:rPr>
          <w:rFonts w:ascii="新細明體" w:hAnsi="新細明體"/>
          <w:color w:val="000000"/>
        </w:rPr>
        <w:t>：確保廣告內容真實性，避免誤導性行銷與不實承諾。</w:t>
      </w:r>
    </w:p>
    <w:p w14:paraId="2FFEFAFF" w14:textId="44E3E26A" w:rsidR="00CF6E21" w:rsidRPr="00CF6E21" w:rsidRDefault="00CF6E21" w:rsidP="00CF6E21">
      <w:pPr>
        <w:numPr>
          <w:ilvl w:val="0"/>
          <w:numId w:val="14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社會責任</w:t>
      </w:r>
      <w:r w:rsidRPr="00CF6E21">
        <w:rPr>
          <w:rFonts w:ascii="新細明體" w:hAnsi="新細明體"/>
          <w:color w:val="000000"/>
        </w:rPr>
        <w:t>：探討企業在數位行銷中應承擔的社會責任，例如減少數位落差。</w:t>
      </w:r>
    </w:p>
    <w:p w14:paraId="63EFDA4F" w14:textId="77777777" w:rsidR="00CF6E21" w:rsidRPr="00CF6E21" w:rsidRDefault="00CF6E21" w:rsidP="00CF6E21">
      <w:pPr>
        <w:outlineLvl w:val="1"/>
        <w:rPr>
          <w:rFonts w:ascii="新細明體" w:hAnsi="新細明體"/>
          <w:b/>
          <w:bCs/>
          <w:color w:val="000000"/>
          <w:sz w:val="36"/>
          <w:szCs w:val="36"/>
        </w:rPr>
      </w:pPr>
      <w:r w:rsidRPr="00CF6E21">
        <w:rPr>
          <w:rFonts w:ascii="新細明體" w:hAnsi="新細明體"/>
          <w:b/>
          <w:bCs/>
          <w:color w:val="000000"/>
          <w:sz w:val="36"/>
          <w:szCs w:val="36"/>
        </w:rPr>
        <w:t>Week 15: 行銷科技工具整合（MarTech）</w:t>
      </w:r>
    </w:p>
    <w:p w14:paraId="0396E218" w14:textId="77777777" w:rsidR="00CF6E21" w:rsidRPr="00CF6E21" w:rsidRDefault="00CF6E21" w:rsidP="00CF6E21">
      <w:pPr>
        <w:numPr>
          <w:ilvl w:val="0"/>
          <w:numId w:val="15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工具生態</w:t>
      </w:r>
      <w:r w:rsidRPr="00CF6E21">
        <w:rPr>
          <w:rFonts w:ascii="新細明體" w:hAnsi="新細明體"/>
          <w:color w:val="000000"/>
        </w:rPr>
        <w:t>：介紹各種 MarTech 工具的分類與功能，如 CRM、行銷自動化、數據分析平台。</w:t>
      </w:r>
    </w:p>
    <w:p w14:paraId="4E6C5A94" w14:textId="77777777" w:rsidR="00CF6E21" w:rsidRPr="00CF6E21" w:rsidRDefault="00CF6E21" w:rsidP="00CF6E21">
      <w:pPr>
        <w:numPr>
          <w:ilvl w:val="0"/>
          <w:numId w:val="15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整合效益</w:t>
      </w:r>
      <w:r w:rsidRPr="00CF6E21">
        <w:rPr>
          <w:rFonts w:ascii="新細明體" w:hAnsi="新細明體"/>
          <w:color w:val="000000"/>
        </w:rPr>
        <w:t>：探討如何將不同工具整合，建立自動化與個人化的行銷工作流。</w:t>
      </w:r>
    </w:p>
    <w:p w14:paraId="650F9714" w14:textId="30FE3A7D" w:rsidR="00CF6E21" w:rsidRPr="00CF6E21" w:rsidRDefault="00CF6E21" w:rsidP="00CF6E21">
      <w:pPr>
        <w:numPr>
          <w:ilvl w:val="0"/>
          <w:numId w:val="15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趨勢觀察</w:t>
      </w:r>
      <w:r w:rsidRPr="00CF6E21">
        <w:rPr>
          <w:rFonts w:ascii="新細明體" w:hAnsi="新細明體"/>
          <w:color w:val="000000"/>
        </w:rPr>
        <w:t>：關注 AI、機器學習在 MarTech 領域的應用與未來趨勢。</w:t>
      </w:r>
    </w:p>
    <w:p w14:paraId="2223BB26" w14:textId="77777777" w:rsidR="00CF6E21" w:rsidRPr="00CF6E21" w:rsidRDefault="00CF6E21" w:rsidP="00CF6E21">
      <w:pPr>
        <w:outlineLvl w:val="1"/>
        <w:rPr>
          <w:rFonts w:ascii="新細明體" w:hAnsi="新細明體"/>
          <w:b/>
          <w:bCs/>
          <w:color w:val="000000"/>
          <w:sz w:val="36"/>
          <w:szCs w:val="36"/>
        </w:rPr>
      </w:pPr>
      <w:r w:rsidRPr="00CF6E21">
        <w:rPr>
          <w:rFonts w:ascii="新細明體" w:hAnsi="新細明體"/>
          <w:b/>
          <w:bCs/>
          <w:color w:val="000000"/>
          <w:sz w:val="36"/>
          <w:szCs w:val="36"/>
        </w:rPr>
        <w:t>Week 16: 個人行銷專案簡報與評論</w:t>
      </w:r>
    </w:p>
    <w:p w14:paraId="4FCF7553" w14:textId="77777777" w:rsidR="00CF6E21" w:rsidRPr="00CF6E21" w:rsidRDefault="00CF6E21" w:rsidP="00CF6E21">
      <w:pPr>
        <w:numPr>
          <w:ilvl w:val="0"/>
          <w:numId w:val="16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專案實作</w:t>
      </w:r>
      <w:r w:rsidRPr="00CF6E21">
        <w:rPr>
          <w:rFonts w:ascii="新細明體" w:hAnsi="新細明體"/>
          <w:color w:val="000000"/>
        </w:rPr>
        <w:t>：學生分組或個人執行一個完整的數位行銷專案。</w:t>
      </w:r>
    </w:p>
    <w:p w14:paraId="64D4C6CB" w14:textId="77777777" w:rsidR="00CF6E21" w:rsidRPr="00CF6E21" w:rsidRDefault="00CF6E21" w:rsidP="00CF6E21">
      <w:pPr>
        <w:numPr>
          <w:ilvl w:val="0"/>
          <w:numId w:val="16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成果發表</w:t>
      </w:r>
      <w:r w:rsidRPr="00CF6E21">
        <w:rPr>
          <w:rFonts w:ascii="新細明體" w:hAnsi="新細明體"/>
          <w:color w:val="000000"/>
        </w:rPr>
        <w:t>：簡報專案目標、執行過程、數據分析與成效評估。</w:t>
      </w:r>
    </w:p>
    <w:p w14:paraId="51DB4B30" w14:textId="77777777" w:rsidR="00CF6E21" w:rsidRPr="00CF6E21" w:rsidRDefault="00CF6E21" w:rsidP="00CF6E21">
      <w:pPr>
        <w:numPr>
          <w:ilvl w:val="0"/>
          <w:numId w:val="16"/>
        </w:numPr>
        <w:rPr>
          <w:rFonts w:ascii="新細明體" w:hAnsi="新細明體"/>
          <w:color w:val="000000"/>
        </w:rPr>
      </w:pPr>
      <w:r w:rsidRPr="00CF6E21">
        <w:rPr>
          <w:rFonts w:ascii="新細明體" w:hAnsi="新細明體"/>
          <w:b/>
          <w:bCs/>
          <w:color w:val="000000"/>
        </w:rPr>
        <w:t>總結回饋</w:t>
      </w:r>
      <w:r w:rsidRPr="00CF6E21">
        <w:rPr>
          <w:rFonts w:ascii="新細明體" w:hAnsi="新細明體"/>
          <w:color w:val="000000"/>
        </w:rPr>
        <w:t>：講師與業界導師提供專業回饋，總結整個課程所學。</w:t>
      </w:r>
    </w:p>
    <w:p w14:paraId="06F22F10" w14:textId="77777777" w:rsidR="004C4A36" w:rsidRDefault="004C4A36"/>
    <w:sectPr w:rsidR="004C4A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2883"/>
    <w:multiLevelType w:val="multilevel"/>
    <w:tmpl w:val="ADC8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C24C7"/>
    <w:multiLevelType w:val="multilevel"/>
    <w:tmpl w:val="2790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C68C7"/>
    <w:multiLevelType w:val="multilevel"/>
    <w:tmpl w:val="F448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11388"/>
    <w:multiLevelType w:val="multilevel"/>
    <w:tmpl w:val="F18E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C03AF"/>
    <w:multiLevelType w:val="multilevel"/>
    <w:tmpl w:val="00D0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975C4"/>
    <w:multiLevelType w:val="multilevel"/>
    <w:tmpl w:val="446C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E0F5A"/>
    <w:multiLevelType w:val="multilevel"/>
    <w:tmpl w:val="3480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B223F"/>
    <w:multiLevelType w:val="multilevel"/>
    <w:tmpl w:val="168C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41343"/>
    <w:multiLevelType w:val="multilevel"/>
    <w:tmpl w:val="3298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66C9A"/>
    <w:multiLevelType w:val="multilevel"/>
    <w:tmpl w:val="372C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61A97"/>
    <w:multiLevelType w:val="multilevel"/>
    <w:tmpl w:val="A9A4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67CFE"/>
    <w:multiLevelType w:val="multilevel"/>
    <w:tmpl w:val="E708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2788C"/>
    <w:multiLevelType w:val="multilevel"/>
    <w:tmpl w:val="DA18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C924F7"/>
    <w:multiLevelType w:val="multilevel"/>
    <w:tmpl w:val="9D4E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63321"/>
    <w:multiLevelType w:val="multilevel"/>
    <w:tmpl w:val="8FFA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F7AEE"/>
    <w:multiLevelType w:val="multilevel"/>
    <w:tmpl w:val="BEB0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245311">
    <w:abstractNumId w:val="9"/>
  </w:num>
  <w:num w:numId="2" w16cid:durableId="1210651962">
    <w:abstractNumId w:val="2"/>
  </w:num>
  <w:num w:numId="3" w16cid:durableId="1190952083">
    <w:abstractNumId w:val="1"/>
  </w:num>
  <w:num w:numId="4" w16cid:durableId="1048266478">
    <w:abstractNumId w:val="11"/>
  </w:num>
  <w:num w:numId="5" w16cid:durableId="2032760585">
    <w:abstractNumId w:val="8"/>
  </w:num>
  <w:num w:numId="6" w16cid:durableId="1886067662">
    <w:abstractNumId w:val="12"/>
  </w:num>
  <w:num w:numId="7" w16cid:durableId="2145586026">
    <w:abstractNumId w:val="14"/>
  </w:num>
  <w:num w:numId="8" w16cid:durableId="170219886">
    <w:abstractNumId w:val="0"/>
  </w:num>
  <w:num w:numId="9" w16cid:durableId="131871812">
    <w:abstractNumId w:val="4"/>
  </w:num>
  <w:num w:numId="10" w16cid:durableId="2072654942">
    <w:abstractNumId w:val="10"/>
  </w:num>
  <w:num w:numId="11" w16cid:durableId="2007127910">
    <w:abstractNumId w:val="6"/>
  </w:num>
  <w:num w:numId="12" w16cid:durableId="1492942682">
    <w:abstractNumId w:val="7"/>
  </w:num>
  <w:num w:numId="13" w16cid:durableId="532501950">
    <w:abstractNumId w:val="15"/>
  </w:num>
  <w:num w:numId="14" w16cid:durableId="679431106">
    <w:abstractNumId w:val="5"/>
  </w:num>
  <w:num w:numId="15" w16cid:durableId="985624418">
    <w:abstractNumId w:val="3"/>
  </w:num>
  <w:num w:numId="16" w16cid:durableId="16588497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21"/>
    <w:rsid w:val="000436E3"/>
    <w:rsid w:val="000A0EC5"/>
    <w:rsid w:val="000B07E4"/>
    <w:rsid w:val="000C1B12"/>
    <w:rsid w:val="000C33F2"/>
    <w:rsid w:val="001434FE"/>
    <w:rsid w:val="00150391"/>
    <w:rsid w:val="001A085A"/>
    <w:rsid w:val="001A6AC9"/>
    <w:rsid w:val="001B08F1"/>
    <w:rsid w:val="001C4E2F"/>
    <w:rsid w:val="001D683A"/>
    <w:rsid w:val="001F6E9B"/>
    <w:rsid w:val="00207B43"/>
    <w:rsid w:val="00220145"/>
    <w:rsid w:val="00220DE9"/>
    <w:rsid w:val="0023145A"/>
    <w:rsid w:val="002464E2"/>
    <w:rsid w:val="00274F68"/>
    <w:rsid w:val="0029379B"/>
    <w:rsid w:val="002B17B3"/>
    <w:rsid w:val="002C1F03"/>
    <w:rsid w:val="002C6F9F"/>
    <w:rsid w:val="002D03EF"/>
    <w:rsid w:val="002F4AE1"/>
    <w:rsid w:val="002F5B7C"/>
    <w:rsid w:val="00322E72"/>
    <w:rsid w:val="00334472"/>
    <w:rsid w:val="00343D83"/>
    <w:rsid w:val="00383008"/>
    <w:rsid w:val="00385024"/>
    <w:rsid w:val="00391C2A"/>
    <w:rsid w:val="00394D56"/>
    <w:rsid w:val="00456775"/>
    <w:rsid w:val="00473451"/>
    <w:rsid w:val="004C4A36"/>
    <w:rsid w:val="004F5FB7"/>
    <w:rsid w:val="00540637"/>
    <w:rsid w:val="00547714"/>
    <w:rsid w:val="0055613D"/>
    <w:rsid w:val="005726BA"/>
    <w:rsid w:val="00574261"/>
    <w:rsid w:val="005A6A55"/>
    <w:rsid w:val="005C3301"/>
    <w:rsid w:val="005D4498"/>
    <w:rsid w:val="00630760"/>
    <w:rsid w:val="006357EA"/>
    <w:rsid w:val="00674DE4"/>
    <w:rsid w:val="00693AF8"/>
    <w:rsid w:val="006B72CD"/>
    <w:rsid w:val="006D6C88"/>
    <w:rsid w:val="00717502"/>
    <w:rsid w:val="007223C0"/>
    <w:rsid w:val="007446F3"/>
    <w:rsid w:val="00773A0F"/>
    <w:rsid w:val="007747E5"/>
    <w:rsid w:val="00797977"/>
    <w:rsid w:val="007A5815"/>
    <w:rsid w:val="007A7D23"/>
    <w:rsid w:val="007B32FB"/>
    <w:rsid w:val="007B7159"/>
    <w:rsid w:val="007C5676"/>
    <w:rsid w:val="00847B7E"/>
    <w:rsid w:val="0085057F"/>
    <w:rsid w:val="008536AA"/>
    <w:rsid w:val="008550D2"/>
    <w:rsid w:val="0089088D"/>
    <w:rsid w:val="008C713D"/>
    <w:rsid w:val="008C7D12"/>
    <w:rsid w:val="008D30BC"/>
    <w:rsid w:val="008E3DD1"/>
    <w:rsid w:val="008F7020"/>
    <w:rsid w:val="009007D0"/>
    <w:rsid w:val="009031A9"/>
    <w:rsid w:val="00915274"/>
    <w:rsid w:val="009179F3"/>
    <w:rsid w:val="009331A2"/>
    <w:rsid w:val="00944FCD"/>
    <w:rsid w:val="0095522D"/>
    <w:rsid w:val="00A07443"/>
    <w:rsid w:val="00A46632"/>
    <w:rsid w:val="00A57DF1"/>
    <w:rsid w:val="00AA3ACC"/>
    <w:rsid w:val="00AF10CC"/>
    <w:rsid w:val="00B52181"/>
    <w:rsid w:val="00B63883"/>
    <w:rsid w:val="00BB32FA"/>
    <w:rsid w:val="00C25D0F"/>
    <w:rsid w:val="00C37EA2"/>
    <w:rsid w:val="00C47F49"/>
    <w:rsid w:val="00C751D2"/>
    <w:rsid w:val="00C76418"/>
    <w:rsid w:val="00CA7D8F"/>
    <w:rsid w:val="00CC5040"/>
    <w:rsid w:val="00CF6E21"/>
    <w:rsid w:val="00D563C9"/>
    <w:rsid w:val="00D863DE"/>
    <w:rsid w:val="00D95D85"/>
    <w:rsid w:val="00DA2326"/>
    <w:rsid w:val="00DE0473"/>
    <w:rsid w:val="00DE3887"/>
    <w:rsid w:val="00E2562D"/>
    <w:rsid w:val="00E52E62"/>
    <w:rsid w:val="00E52ED5"/>
    <w:rsid w:val="00E536B0"/>
    <w:rsid w:val="00EA227E"/>
    <w:rsid w:val="00EB505F"/>
    <w:rsid w:val="00F43FF6"/>
    <w:rsid w:val="00F72FBB"/>
    <w:rsid w:val="00FD3220"/>
    <w:rsid w:val="00FE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C56F"/>
  <w15:chartTrackingRefBased/>
  <w15:docId w15:val="{9DE34D10-C098-2E41-9836-6506FC64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7D0"/>
    <w:pPr>
      <w:spacing w:before="100" w:beforeAutospacing="1" w:after="100" w:afterAutospacing="1" w:line="240" w:lineRule="auto"/>
    </w:pPr>
    <w:rPr>
      <w:rFonts w:ascii="Times New Roman" w:eastAsia="新細明體" w:hAnsi="Times New Roman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F6E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F6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6E21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6E21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6E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6E2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6E21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6E21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6E21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6E21"/>
    <w:rPr>
      <w:rFonts w:asciiTheme="majorHAnsi" w:eastAsiaTheme="majorEastAsia" w:hAnsiTheme="majorHAnsi" w:cstheme="majorBidi"/>
      <w:color w:val="0F4761" w:themeColor="accent1" w:themeShade="BF"/>
      <w:kern w:val="0"/>
      <w:sz w:val="48"/>
      <w:szCs w:val="48"/>
      <w14:ligatures w14:val="none"/>
    </w:rPr>
  </w:style>
  <w:style w:type="character" w:customStyle="1" w:styleId="20">
    <w:name w:val="標題 2 字元"/>
    <w:basedOn w:val="a0"/>
    <w:link w:val="2"/>
    <w:uiPriority w:val="9"/>
    <w:rsid w:val="00CF6E2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30">
    <w:name w:val="標題 3 字元"/>
    <w:basedOn w:val="a0"/>
    <w:link w:val="3"/>
    <w:uiPriority w:val="9"/>
    <w:semiHidden/>
    <w:rsid w:val="00CF6E21"/>
    <w:rPr>
      <w:rFonts w:eastAsiaTheme="majorEastAsia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40">
    <w:name w:val="標題 4 字元"/>
    <w:basedOn w:val="a0"/>
    <w:link w:val="4"/>
    <w:uiPriority w:val="9"/>
    <w:semiHidden/>
    <w:rsid w:val="00CF6E2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50">
    <w:name w:val="標題 5 字元"/>
    <w:basedOn w:val="a0"/>
    <w:link w:val="5"/>
    <w:uiPriority w:val="9"/>
    <w:semiHidden/>
    <w:rsid w:val="00CF6E21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60">
    <w:name w:val="標題 6 字元"/>
    <w:basedOn w:val="a0"/>
    <w:link w:val="6"/>
    <w:uiPriority w:val="9"/>
    <w:semiHidden/>
    <w:rsid w:val="00CF6E21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70">
    <w:name w:val="標題 7 字元"/>
    <w:basedOn w:val="a0"/>
    <w:link w:val="7"/>
    <w:uiPriority w:val="9"/>
    <w:semiHidden/>
    <w:rsid w:val="00CF6E21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80">
    <w:name w:val="標題 8 字元"/>
    <w:basedOn w:val="a0"/>
    <w:link w:val="8"/>
    <w:uiPriority w:val="9"/>
    <w:semiHidden/>
    <w:rsid w:val="00CF6E21"/>
    <w:rPr>
      <w:rFonts w:eastAsiaTheme="majorEastAsia" w:cstheme="majorBidi"/>
      <w:color w:val="272727" w:themeColor="text1" w:themeTint="D8"/>
      <w:kern w:val="0"/>
      <w14:ligatures w14:val="none"/>
    </w:rPr>
  </w:style>
  <w:style w:type="character" w:customStyle="1" w:styleId="90">
    <w:name w:val="標題 9 字元"/>
    <w:basedOn w:val="a0"/>
    <w:link w:val="9"/>
    <w:uiPriority w:val="9"/>
    <w:semiHidden/>
    <w:rsid w:val="00CF6E21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CF6E21"/>
    <w:pPr>
      <w:spacing w:before="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F6E2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CF6E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F6E21"/>
    <w:rPr>
      <w:rFonts w:asciiTheme="majorHAnsi" w:eastAsiaTheme="majorEastAsia" w:hAnsiTheme="maj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CF6E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F6E21"/>
    <w:rPr>
      <w:rFonts w:ascii="Times New Roman" w:eastAsia="新細明體" w:hAnsi="Times New Roman" w:cs="新細明體"/>
      <w:i/>
      <w:iCs/>
      <w:color w:val="404040" w:themeColor="text1" w:themeTint="BF"/>
      <w:kern w:val="0"/>
      <w14:ligatures w14:val="none"/>
    </w:rPr>
  </w:style>
  <w:style w:type="paragraph" w:styleId="a9">
    <w:name w:val="List Paragraph"/>
    <w:basedOn w:val="a"/>
    <w:uiPriority w:val="34"/>
    <w:qFormat/>
    <w:rsid w:val="00CF6E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6E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6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F6E21"/>
    <w:rPr>
      <w:rFonts w:ascii="Times New Roman" w:eastAsia="新細明體" w:hAnsi="Times New Roman" w:cs="新細明體"/>
      <w:i/>
      <w:iCs/>
      <w:color w:val="0F4761" w:themeColor="accent1" w:themeShade="BF"/>
      <w:kern w:val="0"/>
      <w14:ligatures w14:val="none"/>
    </w:rPr>
  </w:style>
  <w:style w:type="character" w:styleId="ad">
    <w:name w:val="Intense Reference"/>
    <w:basedOn w:val="a0"/>
    <w:uiPriority w:val="32"/>
    <w:qFormat/>
    <w:rsid w:val="00CF6E21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CF6E21"/>
    <w:rPr>
      <w:rFonts w:ascii="新細明體" w:hAnsi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fullmoon</dc:creator>
  <cp:keywords/>
  <dc:description/>
  <cp:lastModifiedBy>. fullmoon</cp:lastModifiedBy>
  <cp:revision>2</cp:revision>
  <dcterms:created xsi:type="dcterms:W3CDTF">2025-08-01T09:43:00Z</dcterms:created>
  <dcterms:modified xsi:type="dcterms:W3CDTF">2025-08-01T17:17:00Z</dcterms:modified>
</cp:coreProperties>
</file>