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Cambria" w:cs="Cambria" w:eastAsia="Cambria" w:hAnsi="Cambria"/>
          <w:sz w:val="42"/>
          <w:szCs w:val="42"/>
        </w:rPr>
      </w:pPr>
      <w:r w:rsidDel="00000000" w:rsidR="00000000" w:rsidRPr="00000000">
        <w:rPr>
          <w:rFonts w:ascii="Cambria" w:cs="Cambria" w:eastAsia="Cambria" w:hAnsi="Cambria"/>
          <w:sz w:val="42"/>
          <w:szCs w:val="42"/>
          <w:rtl w:val="0"/>
        </w:rPr>
        <w:t xml:space="preserve">National Economics University</w:t>
      </w:r>
    </w:p>
    <w:p w:rsidR="00000000" w:rsidDel="00000000" w:rsidP="00000000" w:rsidRDefault="00000000" w:rsidRPr="00000000" w14:paraId="00000002">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03">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383774" cy="1343938"/>
            <wp:effectExtent b="0" l="0" r="0" t="0"/>
            <wp:docPr descr="A blue and red logo&#10;&#10;Description automatically generated" id="1993446299" name="image10.png"/>
            <a:graphic>
              <a:graphicData uri="http://schemas.openxmlformats.org/drawingml/2006/picture">
                <pic:pic>
                  <pic:nvPicPr>
                    <pic:cNvPr descr="A blue and red logo&#10;&#10;Description automatically generated" id="0" name="image10.png"/>
                    <pic:cNvPicPr preferRelativeResize="0"/>
                  </pic:nvPicPr>
                  <pic:blipFill>
                    <a:blip r:embed="rId9"/>
                    <a:srcRect b="0" l="0" r="0" t="0"/>
                    <a:stretch>
                      <a:fillRect/>
                    </a:stretch>
                  </pic:blipFill>
                  <pic:spPr>
                    <a:xfrm>
                      <a:off x="0" y="0"/>
                      <a:ext cx="1383774" cy="13439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Cambria" w:cs="Cambria" w:eastAsia="Cambria" w:hAnsi="Cambria"/>
          <w:sz w:val="50"/>
          <w:szCs w:val="50"/>
        </w:rPr>
      </w:pPr>
      <w:r w:rsidDel="00000000" w:rsidR="00000000" w:rsidRPr="00000000">
        <w:rPr>
          <w:rFonts w:ascii="Cambria" w:cs="Cambria" w:eastAsia="Cambria" w:hAnsi="Cambria"/>
          <w:sz w:val="50"/>
          <w:szCs w:val="50"/>
          <w:rtl w:val="0"/>
        </w:rPr>
        <w:t xml:space="preserve">Bachelor of Financial Technology Program</w:t>
      </w:r>
    </w:p>
    <w:p w:rsidR="00000000" w:rsidDel="00000000" w:rsidP="00000000" w:rsidRDefault="00000000" w:rsidRPr="00000000" w14:paraId="00000005">
      <w:pPr>
        <w:spacing w:line="240" w:lineRule="auto"/>
        <w:jc w:val="center"/>
        <w:rPr>
          <w:rFonts w:ascii="Cambria" w:cs="Cambria" w:eastAsia="Cambria" w:hAnsi="Cambria"/>
          <w:sz w:val="50"/>
          <w:szCs w:val="50"/>
        </w:rPr>
      </w:pPr>
      <w:r w:rsidDel="00000000" w:rsidR="00000000" w:rsidRPr="00000000">
        <w:rPr>
          <w:rFonts w:ascii="Cambria" w:cs="Cambria" w:eastAsia="Cambria" w:hAnsi="Cambria"/>
          <w:sz w:val="50"/>
          <w:szCs w:val="50"/>
          <w:rtl w:val="0"/>
        </w:rPr>
        <w:t xml:space="preserve">Intake 62</w:t>
      </w:r>
    </w:p>
    <w:p w:rsidR="00000000" w:rsidDel="00000000" w:rsidP="00000000" w:rsidRDefault="00000000" w:rsidRPr="00000000" w14:paraId="00000006">
      <w:pPr>
        <w:spacing w:line="36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Cambria" w:cs="Cambria" w:eastAsia="Cambria" w:hAnsi="Cambria"/>
          <w:sz w:val="46"/>
          <w:szCs w:val="46"/>
        </w:rPr>
      </w:pPr>
      <w:r w:rsidDel="00000000" w:rsidR="00000000" w:rsidRPr="00000000">
        <w:rPr>
          <w:rFonts w:ascii="Cambria" w:cs="Cambria" w:eastAsia="Cambria" w:hAnsi="Cambria"/>
          <w:sz w:val="46"/>
          <w:szCs w:val="46"/>
          <w:rtl w:val="0"/>
        </w:rPr>
        <w:t xml:space="preserve">Topics in Portfolio Management</w:t>
      </w:r>
    </w:p>
    <w:p w:rsidR="00000000" w:rsidDel="00000000" w:rsidP="00000000" w:rsidRDefault="00000000" w:rsidRPr="00000000" w14:paraId="00000008">
      <w:pPr>
        <w:spacing w:line="360" w:lineRule="auto"/>
        <w:jc w:val="center"/>
        <w:rPr>
          <w:rFonts w:ascii="Cambria" w:cs="Cambria" w:eastAsia="Cambria" w:hAnsi="Cambria"/>
          <w:color w:val="38761d"/>
          <w:sz w:val="46"/>
          <w:szCs w:val="46"/>
        </w:rPr>
      </w:pPr>
      <w:r w:rsidDel="00000000" w:rsidR="00000000" w:rsidRPr="00000000">
        <w:rPr>
          <w:rFonts w:ascii="Cambria" w:cs="Cambria" w:eastAsia="Cambria" w:hAnsi="Cambria"/>
          <w:sz w:val="46"/>
          <w:szCs w:val="46"/>
          <w:rtl w:val="0"/>
        </w:rPr>
        <w:t xml:space="preserve">Overview of VCBF-BCF</w:t>
      </w:r>
      <w:r w:rsidDel="00000000" w:rsidR="00000000" w:rsidRPr="00000000">
        <w:rPr>
          <w:rtl w:val="0"/>
        </w:rPr>
      </w:r>
    </w:p>
    <w:tbl>
      <w:tblPr>
        <w:tblStyle w:val="Table1"/>
        <w:tblW w:w="779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9"/>
        <w:gridCol w:w="3288"/>
        <w:tblGridChange w:id="0">
          <w:tblGrid>
            <w:gridCol w:w="4509"/>
            <w:gridCol w:w="3288"/>
          </w:tblGrid>
        </w:tblGridChange>
      </w:tblGrid>
      <w:tr>
        <w:trPr>
          <w:cantSplit w:val="0"/>
          <w:tblHeader w:val="0"/>
        </w:trPr>
        <w:tc>
          <w:tcPr>
            <w:gridSpan w:val="2"/>
            <w:vAlign w:val="center"/>
          </w:tcPr>
          <w:p w:rsidR="00000000" w:rsidDel="00000000" w:rsidP="00000000" w:rsidRDefault="00000000" w:rsidRPr="00000000" w14:paraId="00000009">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1</w:t>
            </w:r>
          </w:p>
        </w:tc>
      </w:tr>
      <w:tr>
        <w:trPr>
          <w:cantSplit w:val="0"/>
          <w:tblHeader w:val="0"/>
        </w:trPr>
        <w:tc>
          <w:tcPr>
            <w:vAlign w:val="center"/>
          </w:tcPr>
          <w:p w:rsidR="00000000" w:rsidDel="00000000" w:rsidP="00000000" w:rsidRDefault="00000000" w:rsidRPr="00000000" w14:paraId="0000000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Nguyễn Quỳnh Anh</w:t>
            </w:r>
          </w:p>
        </w:tc>
        <w:tc>
          <w:tcPr>
            <w:vAlign w:val="center"/>
          </w:tcPr>
          <w:p w:rsidR="00000000" w:rsidDel="00000000" w:rsidP="00000000" w:rsidRDefault="00000000" w:rsidRPr="00000000" w14:paraId="0000000C">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11200253</w:t>
            </w:r>
          </w:p>
        </w:tc>
      </w:tr>
      <w:tr>
        <w:trPr>
          <w:cantSplit w:val="0"/>
          <w:tblHeader w:val="0"/>
        </w:trPr>
        <w:tc>
          <w:tcPr>
            <w:vAlign w:val="center"/>
          </w:tcPr>
          <w:p w:rsidR="00000000" w:rsidDel="00000000" w:rsidP="00000000" w:rsidRDefault="00000000" w:rsidRPr="00000000" w14:paraId="0000000D">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Vũ Thùy Dương</w:t>
            </w:r>
          </w:p>
        </w:tc>
        <w:tc>
          <w:tcPr>
            <w:vAlign w:val="center"/>
          </w:tcPr>
          <w:p w:rsidR="00000000" w:rsidDel="00000000" w:rsidP="00000000" w:rsidRDefault="00000000" w:rsidRPr="00000000" w14:paraId="0000000E">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11204959</w:t>
            </w:r>
          </w:p>
        </w:tc>
      </w:tr>
      <w:tr>
        <w:trPr>
          <w:cantSplit w:val="0"/>
          <w:tblHeader w:val="0"/>
        </w:trPr>
        <w:tc>
          <w:tcPr>
            <w:vAlign w:val="center"/>
          </w:tcPr>
          <w:p w:rsidR="00000000" w:rsidDel="00000000" w:rsidP="00000000" w:rsidRDefault="00000000" w:rsidRPr="00000000" w14:paraId="0000000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Trần Văn Hưng</w:t>
            </w:r>
          </w:p>
        </w:tc>
        <w:tc>
          <w:tcPr>
            <w:vAlign w:val="center"/>
          </w:tcPr>
          <w:p w:rsidR="00000000" w:rsidDel="00000000" w:rsidP="00000000" w:rsidRDefault="00000000" w:rsidRPr="00000000" w14:paraId="00000010">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11201698</w:t>
            </w:r>
          </w:p>
        </w:tc>
      </w:tr>
      <w:tr>
        <w:trPr>
          <w:cantSplit w:val="0"/>
          <w:tblHeader w:val="0"/>
        </w:trPr>
        <w:tc>
          <w:tcPr>
            <w:vAlign w:val="center"/>
          </w:tcPr>
          <w:p w:rsidR="00000000" w:rsidDel="00000000" w:rsidP="00000000" w:rsidRDefault="00000000" w:rsidRPr="00000000" w14:paraId="00000011">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Hoàng Ngọc </w:t>
            </w:r>
            <w:r w:rsidDel="00000000" w:rsidR="00000000" w:rsidRPr="00000000">
              <w:rPr>
                <w:rFonts w:ascii="Cambria" w:cs="Cambria" w:eastAsia="Cambria" w:hAnsi="Cambria"/>
                <w:sz w:val="24"/>
                <w:szCs w:val="24"/>
                <w:rtl w:val="0"/>
              </w:rPr>
              <w:t xml:space="preserve">Huynh</w:t>
            </w:r>
            <w:r w:rsidDel="00000000" w:rsidR="00000000" w:rsidRPr="00000000">
              <w:rPr>
                <w:rtl w:val="0"/>
              </w:rPr>
            </w:r>
          </w:p>
        </w:tc>
        <w:tc>
          <w:tcPr>
            <w:vAlign w:val="center"/>
          </w:tcPr>
          <w:p w:rsidR="00000000" w:rsidDel="00000000" w:rsidP="00000000" w:rsidRDefault="00000000" w:rsidRPr="00000000" w14:paraId="00000012">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11201915</w:t>
            </w:r>
          </w:p>
        </w:tc>
      </w:tr>
      <w:tr>
        <w:trPr>
          <w:cantSplit w:val="0"/>
          <w:tblHeader w:val="0"/>
        </w:trPr>
        <w:tc>
          <w:tcPr>
            <w:vAlign w:val="center"/>
          </w:tcPr>
          <w:p w:rsidR="00000000" w:rsidDel="00000000" w:rsidP="00000000" w:rsidRDefault="00000000" w:rsidRPr="00000000" w14:paraId="0000001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Nguyễn Đức Long</w:t>
            </w:r>
          </w:p>
        </w:tc>
        <w:tc>
          <w:tcPr>
            <w:vAlign w:val="center"/>
          </w:tcPr>
          <w:p w:rsidR="00000000" w:rsidDel="00000000" w:rsidP="00000000" w:rsidRDefault="00000000" w:rsidRPr="00000000" w14:paraId="00000014">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11202350</w:t>
            </w:r>
          </w:p>
        </w:tc>
      </w:tr>
      <w:tr>
        <w:trPr>
          <w:cantSplit w:val="0"/>
          <w:tblHeader w:val="0"/>
        </w:trPr>
        <w:tc>
          <w:tcPr>
            <w:vAlign w:val="center"/>
          </w:tcPr>
          <w:p w:rsidR="00000000" w:rsidDel="00000000" w:rsidP="00000000" w:rsidRDefault="00000000" w:rsidRPr="00000000" w14:paraId="0000001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Nguyễn Đức Trung</w:t>
            </w:r>
          </w:p>
        </w:tc>
        <w:tc>
          <w:tcPr>
            <w:vAlign w:val="center"/>
          </w:tcPr>
          <w:p w:rsidR="00000000" w:rsidDel="00000000" w:rsidP="00000000" w:rsidRDefault="00000000" w:rsidRPr="00000000" w14:paraId="00000016">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11208232</w:t>
            </w:r>
          </w:p>
        </w:tc>
      </w:tr>
      <w:tr>
        <w:trPr>
          <w:cantSplit w:val="0"/>
          <w:tblHeader w:val="0"/>
        </w:trPr>
        <w:tc>
          <w:tcPr>
            <w:vAlign w:val="center"/>
          </w:tcPr>
          <w:p w:rsidR="00000000" w:rsidDel="00000000" w:rsidP="00000000" w:rsidRDefault="00000000" w:rsidRPr="00000000" w14:paraId="0000001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Nguyễn Đăng Quang</w:t>
            </w:r>
          </w:p>
        </w:tc>
        <w:tc>
          <w:tcPr>
            <w:vAlign w:val="center"/>
          </w:tcPr>
          <w:p w:rsidR="00000000" w:rsidDel="00000000" w:rsidP="00000000" w:rsidRDefault="00000000" w:rsidRPr="00000000" w14:paraId="00000018">
            <w:pPr>
              <w:spacing w:line="240" w:lineRule="auto"/>
              <w:jc w:val="righ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ID: 11206699</w:t>
            </w:r>
          </w:p>
        </w:tc>
      </w:tr>
    </w:tbl>
    <w:p w:rsidR="00000000" w:rsidDel="00000000" w:rsidP="00000000" w:rsidRDefault="00000000" w:rsidRPr="00000000" w14:paraId="00000019">
      <w:pPr>
        <w:spacing w:line="360" w:lineRule="auto"/>
        <w:jc w:val="both"/>
        <w:rPr>
          <w:rFonts w:ascii="Cambria" w:cs="Cambria" w:eastAsia="Cambria" w:hAnsi="Cambria"/>
          <w:sz w:val="24"/>
          <w:szCs w:val="24"/>
        </w:rPr>
      </w:pPr>
      <w:bookmarkStart w:colFirst="0" w:colLast="0" w:name="_heading=h.lbg2jt7safjp" w:id="0"/>
      <w:bookmarkEnd w:id="0"/>
      <w:r w:rsidDel="00000000" w:rsidR="00000000" w:rsidRPr="00000000">
        <w:rPr>
          <w:rtl w:val="0"/>
        </w:rPr>
      </w:r>
    </w:p>
    <w:p w:rsidR="00000000" w:rsidDel="00000000" w:rsidP="00000000" w:rsidRDefault="00000000" w:rsidRPr="00000000" w14:paraId="0000001A">
      <w:pPr>
        <w:spacing w:line="360" w:lineRule="auto"/>
        <w:jc w:val="both"/>
        <w:rPr>
          <w:rFonts w:ascii="Cambria" w:cs="Cambria" w:eastAsia="Cambria" w:hAnsi="Cambria"/>
          <w:sz w:val="24"/>
          <w:szCs w:val="24"/>
        </w:rPr>
      </w:pPr>
      <w:bookmarkStart w:colFirst="0" w:colLast="0" w:name="_heading=h.tu66mgamvq93" w:id="1"/>
      <w:bookmarkEnd w:id="1"/>
      <w:r w:rsidDel="00000000" w:rsidR="00000000" w:rsidRPr="00000000">
        <w:rPr>
          <w:rtl w:val="0"/>
        </w:rPr>
      </w:r>
    </w:p>
    <w:p w:rsidR="00000000" w:rsidDel="00000000" w:rsidP="00000000" w:rsidRDefault="00000000" w:rsidRPr="00000000" w14:paraId="0000001B">
      <w:pPr>
        <w:spacing w:line="360" w:lineRule="auto"/>
        <w:jc w:val="center"/>
        <w:rPr>
          <w:rFonts w:ascii="Cambria" w:cs="Cambria" w:eastAsia="Cambria" w:hAnsi="Cambria"/>
          <w:color w:val="366091"/>
          <w:sz w:val="24"/>
          <w:szCs w:val="24"/>
        </w:rPr>
      </w:pPr>
      <w:bookmarkStart w:colFirst="0" w:colLast="0" w:name="_heading=h.gjdgxs" w:id="2"/>
      <w:bookmarkEnd w:id="2"/>
      <w:r w:rsidDel="00000000" w:rsidR="00000000" w:rsidRPr="00000000">
        <w:rPr>
          <w:rFonts w:ascii="Cambria" w:cs="Cambria" w:eastAsia="Cambria" w:hAnsi="Cambria"/>
          <w:sz w:val="24"/>
          <w:szCs w:val="24"/>
          <w:rtl w:val="0"/>
        </w:rPr>
        <w:t xml:space="preserve">Hanoi, 9/2023</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keepNext w:val="1"/>
        <w:keepLines w:val="1"/>
        <w:spacing w:before="240" w:line="360" w:lineRule="auto"/>
        <w:jc w:val="both"/>
        <w:rPr>
          <w:vertAlign w:val="baseline"/>
        </w:rPr>
      </w:pPr>
      <w:bookmarkStart w:colFirst="0" w:colLast="0" w:name="_heading=h.x5wcia7ddg8" w:id="3"/>
      <w:bookmarkEnd w:id="3"/>
      <w:r w:rsidDel="00000000" w:rsidR="00000000" w:rsidRPr="00000000">
        <w:rP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5wcia7dd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pxe4f1g0y7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1: Vietcombank Fund Management Company Limited (VCBF)</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Development History</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Subsidiary Funds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2: VCBF-BCF Fund</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Basic Information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Fees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Investment Strategy</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Portfolio Allocation and Performance</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5uwz1hcvc46">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Chapter 3: Portfolio Optimization and Compare</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6akauoqbp8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Portfolio Theory</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xjjnmsspz6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Markowitz’s Portfolio Theory</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60cg4p9s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Capital Allocation Line</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n3lx5n59ke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Portfolio Performance Analysis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nzcrjihh2v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Stocks Selection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l4p3axbksy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Stocks Correlation</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y69ihhc7x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Portfolio Optimization (GMV, Optimal, Equal-weight)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jzjkqr1gwr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Equally-Weighted Portfolio</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2h62yrtgc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Global Minimum Variance Portfolio</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0hg8ev8lip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 Portfolio</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fth7hg1zet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Performance Analysis (Key Performance Indicators)</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yldbnjqrk5w">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Conclusion</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360" w:lineRule="auto"/>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360" w:lineRule="auto"/>
        <w:jc w:val="both"/>
        <w:rPr/>
      </w:pPr>
      <w:bookmarkStart w:colFirst="0" w:colLast="0" w:name="_heading=h.8pxe4f1g0y7q" w:id="4"/>
      <w:bookmarkEnd w:id="4"/>
      <w:r w:rsidDel="00000000" w:rsidR="00000000" w:rsidRPr="00000000">
        <w:rPr>
          <w:rtl w:val="0"/>
        </w:rPr>
        <w:t xml:space="preserve">Chapter 1: Vietcombank Fund Management Company Limited (VCBF)</w:t>
      </w:r>
    </w:p>
    <w:p w:rsidR="00000000" w:rsidDel="00000000" w:rsidP="00000000" w:rsidRDefault="00000000" w:rsidRPr="00000000" w14:paraId="0000003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Established on December 2, 2005, under license number 06/UBCK-GPHĐQLQ issued by the State Securities Commission, Vietcombank Securities Investment Fund Management Company Limited ("VCBF") is a joint venture between the Joint Stock Commercial Bank for Foreign Trade of Vietnam ("Vietcombank") and the multinational investment group Franklin Templeton Investments ("FTI"). Franklin Templeton Investments is a globally renowned financial investment group and a pioneer in investing in emerging markets. Together with Vietcombank, a leading financial institution in Vietnam, they formed this venture.</w:t>
      </w:r>
    </w:p>
    <w:p w:rsidR="00000000" w:rsidDel="00000000" w:rsidP="00000000" w:rsidRDefault="00000000" w:rsidRPr="00000000" w14:paraId="0000003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16 years of operations in Vietnam, VCBF has effectively managed assets for many major Vietnamese and foreign conglomerates. As one of the best-performing funds in Vietnam, VCBF manages total assets of over 190.3 million US dollars as of March 31, 2022.</w:t>
      </w:r>
    </w:p>
    <w:p w:rsidR="00000000" w:rsidDel="00000000" w:rsidP="00000000" w:rsidRDefault="00000000" w:rsidRPr="00000000" w14:paraId="00000037">
      <w:pPr>
        <w:pStyle w:val="Heading2"/>
        <w:rPr/>
      </w:pPr>
      <w:bookmarkStart w:colFirst="0" w:colLast="0" w:name="_heading=h.3znysh7" w:id="5"/>
      <w:bookmarkEnd w:id="5"/>
      <w:r w:rsidDel="00000000" w:rsidR="00000000" w:rsidRPr="00000000">
        <w:rPr>
          <w:rtl w:val="0"/>
        </w:rPr>
        <w:t xml:space="preserve">1. Development History</w:t>
      </w:r>
    </w:p>
    <w:p w:rsidR="00000000" w:rsidDel="00000000" w:rsidP="00000000" w:rsidRDefault="00000000" w:rsidRPr="00000000" w14:paraId="0000003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spacing w:line="360" w:lineRule="auto"/>
        <w:ind w:left="-566"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225800"/>
            <wp:effectExtent b="0" l="0" r="0" t="0"/>
            <wp:docPr id="199344630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its inception, Vietcombank Securities Investment Fund Management Company Limited, popularly known as VCBF, has charted a stellar trajectory in the investment fund management industry in Vietnam. Founded in December 2005 as a synergistic alliance between the Joint Stock Commercial Bank for Foreign Trade of Vietnam (Vietcombank) and Viet Capital Holdings, the inception of VCBF marked the birth of a new era in Vietnam's financial sector. The headquarters of this formidable joint venture was established in Hanoi.</w:t>
      </w:r>
    </w:p>
    <w:p w:rsidR="00000000" w:rsidDel="00000000" w:rsidP="00000000" w:rsidRDefault="00000000" w:rsidRPr="00000000" w14:paraId="0000003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rsidR="00000000" w:rsidDel="00000000" w:rsidP="00000000" w:rsidRDefault="00000000" w:rsidRPr="00000000" w14:paraId="0000003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rsidR="00000000" w:rsidDel="00000000" w:rsidP="00000000" w:rsidRDefault="00000000" w:rsidRPr="00000000" w14:paraId="0000003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August 2009, understanding the need for specialized expertise in asset management, VCBF instituted the Asset Management Department, which would later become instrumental in launching and managing numerous investment funds.</w:t>
      </w:r>
    </w:p>
    <w:p w:rsidR="00000000" w:rsidDel="00000000" w:rsidP="00000000" w:rsidRDefault="00000000" w:rsidRPr="00000000" w14:paraId="0000003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 December 2013, VCBF took a significant leap by receiving the registration certificate for its first Open Fund - the VCBF Strategic Balanced Investment Fund. This was closely followed by the establishment of the VCBF Leading Equity Investment Fund in August 2014.</w:t>
      </w:r>
    </w:p>
    <w:p w:rsidR="00000000" w:rsidDel="00000000" w:rsidP="00000000" w:rsidRDefault="00000000" w:rsidRPr="00000000" w14:paraId="0000003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rsidR="00000000" w:rsidDel="00000000" w:rsidP="00000000" w:rsidRDefault="00000000" w:rsidRPr="00000000" w14:paraId="0000004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company's dynamism and commitment to expanding its range of offerings continued to be evident as recently as December 2021, when it successfully received the establishment certificate for the VCBF Growth Equity Investment Fund (VCBF-MGF). The year 2022 began with a nod of recognition from the authorities when VCBF received the Certificate of Eligibility for the business of Voluntary Supplementary Pension Fund Management Services in March. Furthermore, understanding the significance of mobility and convenience in today's fast-paced world, VCBF launched its Mobile application in December 2022, ensuring that its services are just a tap away from its customers.</w:t>
      </w:r>
    </w:p>
    <w:p w:rsidR="00000000" w:rsidDel="00000000" w:rsidP="00000000" w:rsidRDefault="00000000" w:rsidRPr="00000000" w14:paraId="00000041">
      <w:pPr>
        <w:pStyle w:val="Heading2"/>
        <w:rPr/>
      </w:pPr>
      <w:bookmarkStart w:colFirst="0" w:colLast="0" w:name="_heading=h.2et92p0" w:id="6"/>
      <w:bookmarkEnd w:id="6"/>
      <w:r w:rsidDel="00000000" w:rsidR="00000000" w:rsidRPr="00000000">
        <w:rPr>
          <w:rtl w:val="0"/>
        </w:rPr>
        <w:t xml:space="preserve">2. Subsidiary Funds</w:t>
      </w:r>
    </w:p>
    <w:p w:rsidR="00000000" w:rsidDel="00000000" w:rsidP="00000000" w:rsidRDefault="00000000" w:rsidRPr="00000000" w14:paraId="0000004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 offers numerous favourable opportunities for investing in the Vietnamese market. This company manages four open funds: VCBF Strategic Balanced Investment Fund, VCBF Top Equity Investment Fund, VCBF Bond Investment Fund, and VCBF Growth Equity Investment Fund.</w:t>
      </w:r>
    </w:p>
    <w:p w:rsidR="00000000" w:rsidDel="00000000" w:rsidP="00000000" w:rsidRDefault="00000000" w:rsidRPr="00000000" w14:paraId="00000043">
      <w:pPr>
        <w:numPr>
          <w:ilvl w:val="0"/>
          <w:numId w:val="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rsidR="00000000" w:rsidDel="00000000" w:rsidP="00000000" w:rsidRDefault="00000000" w:rsidRPr="00000000" w14:paraId="00000044">
      <w:pPr>
        <w:numPr>
          <w:ilvl w:val="0"/>
          <w:numId w:val="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VCBF-BCF: VCBF Premier Equity Fund (“VCBF-BCF fund”) invests up to 100% of net asset value (NAV) in listed stocks, mainly in stocks with large market capitalization and good liquidity.</w:t>
      </w:r>
    </w:p>
    <w:p w:rsidR="00000000" w:rsidDel="00000000" w:rsidP="00000000" w:rsidRDefault="00000000" w:rsidRPr="00000000" w14:paraId="00000045">
      <w:pPr>
        <w:numPr>
          <w:ilvl w:val="0"/>
          <w:numId w:val="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VCBF-MGF: Assets of VCBF Growth Stock Fund (VCBF-MGF) are invested up to 100% in stocks of companies with medium-capitalization and high growth potential.</w:t>
      </w:r>
    </w:p>
    <w:p w:rsidR="00000000" w:rsidDel="00000000" w:rsidP="00000000" w:rsidRDefault="00000000" w:rsidRPr="00000000" w14:paraId="00000046">
      <w:pPr>
        <w:numPr>
          <w:ilvl w:val="0"/>
          <w:numId w:val="1"/>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VCBF-FIF: VCBF Bond Investment Fund ("VCBF-FIF Fund") is an open-end fund with 100% of the Fund's assets invested in bonds of good credit quality.</w:t>
      </w:r>
    </w:p>
    <w:p w:rsidR="00000000" w:rsidDel="00000000" w:rsidP="00000000" w:rsidRDefault="00000000" w:rsidRPr="00000000" w14:paraId="0000004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rsidR="00000000" w:rsidDel="00000000" w:rsidP="00000000" w:rsidRDefault="00000000" w:rsidRPr="00000000" w14:paraId="00000048">
      <w:pPr>
        <w:pStyle w:val="Heading1"/>
        <w:rPr/>
      </w:pPr>
      <w:bookmarkStart w:colFirst="0" w:colLast="0" w:name="_heading=h.tyjcwt" w:id="7"/>
      <w:bookmarkEnd w:id="7"/>
      <w:r w:rsidDel="00000000" w:rsidR="00000000" w:rsidRPr="00000000">
        <w:rPr>
          <w:rtl w:val="0"/>
        </w:rPr>
        <w:t xml:space="preserve">Chapter 2: VCBF-BCF Fund</w:t>
      </w:r>
    </w:p>
    <w:p w:rsidR="00000000" w:rsidDel="00000000" w:rsidP="00000000" w:rsidRDefault="00000000" w:rsidRPr="00000000" w14:paraId="00000049">
      <w:pPr>
        <w:pStyle w:val="Heading2"/>
        <w:rPr/>
      </w:pPr>
      <w:bookmarkStart w:colFirst="0" w:colLast="0" w:name="_heading=h.3dy6vkm" w:id="8"/>
      <w:bookmarkEnd w:id="8"/>
      <w:r w:rsidDel="00000000" w:rsidR="00000000" w:rsidRPr="00000000">
        <w:rPr>
          <w:rtl w:val="0"/>
        </w:rPr>
        <w:t xml:space="preserve">1. Basic Information</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305"/>
        <w:tblGridChange w:id="0">
          <w:tblGrid>
            <w:gridCol w:w="4560"/>
            <w:gridCol w:w="4305"/>
          </w:tblGrid>
        </w:tblGridChange>
      </w:tblGrid>
      <w:tr>
        <w:trPr>
          <w:cantSplit w:val="0"/>
          <w:trHeight w:val="315" w:hRule="atLeast"/>
          <w:tblHeader w:val="0"/>
        </w:trPr>
        <w:tc>
          <w:tcPr>
            <w:gridSpan w:val="2"/>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360" w:lineRule="auto"/>
              <w:jc w:val="center"/>
              <w:rPr>
                <w:rFonts w:ascii="Cambria" w:cs="Cambria" w:eastAsia="Cambria" w:hAnsi="Cambria"/>
                <w:color w:val="010101"/>
                <w:sz w:val="24"/>
                <w:szCs w:val="24"/>
              </w:rPr>
            </w:pPr>
            <w:r w:rsidDel="00000000" w:rsidR="00000000" w:rsidRPr="00000000">
              <w:rPr>
                <w:rFonts w:ascii="Cambria" w:cs="Cambria" w:eastAsia="Cambria" w:hAnsi="Cambria"/>
                <w:color w:val="010101"/>
                <w:sz w:val="24"/>
                <w:szCs w:val="24"/>
                <w:rtl w:val="0"/>
              </w:rPr>
              <w:t xml:space="preserve">Basic Information of VCBF-BCF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Abbreviation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VCBF-BCF</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Date of establishment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22/08/2013</w:t>
            </w:r>
            <w:r w:rsidDel="00000000" w:rsidR="00000000" w:rsidRPr="00000000">
              <w:rPr>
                <w:rtl w:val="0"/>
              </w:rPr>
            </w:r>
          </w:p>
        </w:tc>
      </w:tr>
      <w:tr>
        <w:trPr>
          <w:cantSplit w:val="0"/>
          <w:trHeight w:val="55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License no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13/GCN-UBCK</w:t>
            </w:r>
            <w:r w:rsidDel="00000000" w:rsidR="00000000" w:rsidRPr="00000000">
              <w:rPr>
                <w:rtl w:val="0"/>
              </w:rPr>
            </w:r>
          </w:p>
        </w:tc>
      </w:tr>
      <w:tr>
        <w:trPr>
          <w:cantSplit w:val="0"/>
          <w:trHeight w:val="79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Supervisory bank</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Standard Chartered Bank</w:t>
            </w:r>
            <w:r w:rsidDel="00000000" w:rsidR="00000000" w:rsidRPr="00000000">
              <w:rPr>
                <w:rtl w:val="0"/>
              </w:rPr>
            </w:r>
          </w:p>
        </w:tc>
      </w:tr>
      <w:tr>
        <w:trPr>
          <w:cantSplit w:val="0"/>
          <w:trHeight w:val="55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Audit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Ernst &amp; Young</w:t>
            </w:r>
            <w:r w:rsidDel="00000000" w:rsidR="00000000" w:rsidRPr="00000000">
              <w:rPr>
                <w:rtl w:val="0"/>
              </w:rPr>
            </w:r>
          </w:p>
        </w:tc>
      </w:tr>
      <w:tr>
        <w:trPr>
          <w:cantSplit w:val="0"/>
          <w:trHeight w:val="79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Distributor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VCBF, SSI, VCBS, FMARKET</w:t>
            </w:r>
            <w:r w:rsidDel="00000000" w:rsidR="00000000" w:rsidRPr="00000000">
              <w:rPr>
                <w:rtl w:val="0"/>
              </w:rPr>
            </w:r>
          </w:p>
        </w:tc>
      </w:tr>
    </w:tbl>
    <w:p w:rsidR="00000000" w:rsidDel="00000000" w:rsidP="00000000" w:rsidRDefault="00000000" w:rsidRPr="00000000" w14:paraId="0000005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of 2023, September 14, VCBF-BCF has the following financial information:</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305"/>
        <w:tblGridChange w:id="0">
          <w:tblGrid>
            <w:gridCol w:w="4560"/>
            <w:gridCol w:w="4305"/>
          </w:tblGrid>
        </w:tblGridChange>
      </w:tblGrid>
      <w:tr>
        <w:trPr>
          <w:cantSplit w:val="0"/>
          <w:trHeight w:val="55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Net asset value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406,422,236,659 VND</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Net asset value/ETF</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30,372.56</w:t>
            </w:r>
            <w:r w:rsidDel="00000000" w:rsidR="00000000" w:rsidRPr="00000000">
              <w:rPr>
                <w:rtl w:val="0"/>
              </w:rPr>
            </w:r>
          </w:p>
        </w:tc>
      </w:tr>
      <w:tr>
        <w:trPr>
          <w:cantSplit w:val="0"/>
          <w:trHeight w:val="55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Net asset value changed compared to the previous period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1.40%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Profit rate from the beginning of the year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25.87%</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Highest net asset value/ETF (52 weeks)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30,655.61</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Lowest net asset value/ETF (52 weeks)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21,439.31</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Number of fund certificates in circulation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13,381,229.02</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Ownership ratio of foreign investors *</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21.14%</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Operating expense ratio (%) *</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2.34%</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Category turnover rate (%) *</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38.54%</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Total category *</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color w:val="010101"/>
                <w:sz w:val="24"/>
                <w:szCs w:val="24"/>
                <w:rtl w:val="0"/>
              </w:rPr>
              <w:t xml:space="preserve">26 stocks</w:t>
            </w:r>
            <w:r w:rsidDel="00000000" w:rsidR="00000000" w:rsidRPr="00000000">
              <w:rPr>
                <w:rtl w:val="0"/>
              </w:rPr>
            </w:r>
          </w:p>
        </w:tc>
      </w:tr>
    </w:tbl>
    <w:p w:rsidR="00000000" w:rsidDel="00000000" w:rsidP="00000000" w:rsidRDefault="00000000" w:rsidRPr="00000000" w14:paraId="00000070">
      <w:pPr>
        <w:pStyle w:val="Heading2"/>
        <w:rPr/>
      </w:pPr>
      <w:r w:rsidDel="00000000" w:rsidR="00000000" w:rsidRPr="00000000">
        <w:rPr>
          <w:rtl w:val="0"/>
        </w:rPr>
        <w:t xml:space="preserve">2. Fees</w:t>
      </w:r>
    </w:p>
    <w:p w:rsidR="00000000" w:rsidDel="00000000" w:rsidP="00000000" w:rsidRDefault="00000000" w:rsidRPr="00000000" w14:paraId="0000007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VCBF-BCF Tactical Balanced Fund (VCBF‐BCF)</w:t>
      </w:r>
    </w:p>
    <w:p w:rsidR="00000000" w:rsidDel="00000000" w:rsidP="00000000" w:rsidRDefault="00000000" w:rsidRPr="00000000" w14:paraId="00000072">
      <w:pPr>
        <w:spacing w:line="360" w:lineRule="auto"/>
        <w:jc w:val="both"/>
        <w:rPr>
          <w:rFonts w:ascii="Cambria" w:cs="Cambria" w:eastAsia="Cambria" w:hAnsi="Cambria"/>
          <w:sz w:val="24"/>
          <w:szCs w:val="24"/>
        </w:rPr>
      </w:pPr>
      <w:r w:rsidDel="00000000" w:rsidR="00000000" w:rsidRPr="00000000">
        <w:rPr>
          <w:rtl w:val="0"/>
        </w:rPr>
      </w:r>
    </w:p>
    <w:tbl>
      <w:tblPr>
        <w:tblStyle w:val="Table4"/>
        <w:tblW w:w="958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4415"/>
        <w:gridCol w:w="4370"/>
        <w:tblGridChange w:id="0">
          <w:tblGrid>
            <w:gridCol w:w="795"/>
            <w:gridCol w:w="4415"/>
            <w:gridCol w:w="437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3">
            <w:pPr>
              <w:spacing w:before="80" w:line="360" w:lineRule="auto"/>
              <w:ind w:left="2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4">
            <w:pPr>
              <w:spacing w:before="80" w:line="360" w:lineRule="auto"/>
              <w:ind w:left="1133" w:right="18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Services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5">
            <w:pPr>
              <w:spacing w:before="80" w:line="360" w:lineRule="auto"/>
              <w:ind w:left="900" w:right="78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Fee</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6">
            <w:pPr>
              <w:spacing w:after="240" w:before="6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7">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Opening account</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8">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Free</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9">
            <w:pPr>
              <w:spacing w:after="240" w:before="6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A">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Online trading services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B">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Free</w:t>
            </w:r>
          </w:p>
        </w:tc>
      </w:tr>
      <w:tr>
        <w:trPr>
          <w:cantSplit w:val="0"/>
          <w:trHeight w:val="37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C">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D">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E">
            <w:pPr>
              <w:spacing w:after="240" w:before="1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7F">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Subscription orders: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80">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r>
      <w:tr>
        <w:trPr>
          <w:cantSplit w:val="0"/>
          <w:trHeight w:val="390" w:hRule="atLeast"/>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81">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2">
            <w:pPr>
              <w:spacing w:before="60" w:line="360" w:lineRule="auto"/>
              <w:ind w:left="425"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VND1,000,000 to VND1,000,000,000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3">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0.5%</w:t>
            </w:r>
          </w:p>
        </w:tc>
      </w:tr>
      <w:tr>
        <w:trPr>
          <w:cantSplit w:val="0"/>
          <w:trHeight w:val="645" w:hRule="atLeast"/>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84">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5">
            <w:pPr>
              <w:spacing w:before="60" w:line="360" w:lineRule="auto"/>
              <w:ind w:left="425" w:right="78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More than VND1,000,000,000 to VND5,000,000,000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6">
            <w:pPr>
              <w:spacing w:before="18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w:t>
            </w:r>
          </w:p>
        </w:tc>
      </w:tr>
      <w:tr>
        <w:trPr>
          <w:cantSplit w:val="0"/>
          <w:trHeight w:val="390" w:hRule="atLeast"/>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87">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8">
            <w:pPr>
              <w:spacing w:before="60" w:line="360" w:lineRule="auto"/>
              <w:ind w:left="425"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More than VND5,000,000,000</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9">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Free</w:t>
            </w:r>
          </w:p>
        </w:tc>
      </w:tr>
      <w:tr>
        <w:trPr>
          <w:cantSplit w:val="0"/>
          <w:trHeight w:val="37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A">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B">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C">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D">
            <w:pPr>
              <w:spacing w:after="240" w:before="1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E">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Redemption orders: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F">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tc>
      </w:tr>
      <w:tr>
        <w:trPr>
          <w:cantSplit w:val="0"/>
          <w:trHeight w:val="39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0">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1">
            <w:pPr>
              <w:spacing w:before="60" w:line="360" w:lineRule="auto"/>
              <w:ind w:left="56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Holding Period: 1 month or less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2">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w:t>
            </w:r>
          </w:p>
        </w:tc>
      </w:tr>
      <w:tr>
        <w:trPr>
          <w:cantSplit w:val="0"/>
          <w:trHeight w:val="64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3">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4">
            <w:pPr>
              <w:spacing w:before="60" w:line="360" w:lineRule="auto"/>
              <w:ind w:left="566" w:right="2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Holding Period: More than 1 month to 12 months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5">
            <w:pPr>
              <w:spacing w:before="20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(1.4% for SIP)**</w:t>
            </w:r>
          </w:p>
        </w:tc>
      </w:tr>
      <w:tr>
        <w:trPr>
          <w:cantSplit w:val="0"/>
          <w:trHeight w:val="64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6">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7">
            <w:pPr>
              <w:spacing w:before="60" w:line="360" w:lineRule="auto"/>
              <w:ind w:left="566" w:right="28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Holding Period: More than 12 months to 24 months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8">
            <w:pPr>
              <w:spacing w:before="20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0.5%</w:t>
            </w:r>
          </w:p>
        </w:tc>
      </w:tr>
      <w:tr>
        <w:trPr>
          <w:cantSplit w:val="0"/>
          <w:trHeight w:val="39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9">
            <w:pPr>
              <w:widowControl w:val="0"/>
              <w:spacing w:line="360" w:lineRule="auto"/>
              <w:jc w:val="both"/>
              <w:rPr>
                <w:rFonts w:ascii="Cambria" w:cs="Cambria" w:eastAsia="Cambria" w:hAnsi="Cambria"/>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A">
            <w:pPr>
              <w:spacing w:before="60" w:line="360" w:lineRule="auto"/>
              <w:ind w:left="56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Holding Period: More than 24 months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B">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Free</w:t>
            </w:r>
          </w:p>
        </w:tc>
      </w:tr>
      <w:tr>
        <w:trPr>
          <w:cantSplit w:val="0"/>
          <w:trHeight w:val="1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C">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D">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E">
            <w:pPr>
              <w:spacing w:after="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F">
            <w:pPr>
              <w:spacing w:after="240" w:before="24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0">
            <w:pPr>
              <w:spacing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1">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Switching orders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2">
            <w:pPr>
              <w:spacing w:before="60" w:line="360" w:lineRule="auto"/>
              <w:ind w:left="720" w:right="20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Switching Fee is the difference between the Subscription Fee of the destination Fund and the Subscription Fee of the leaving Fund at the time the switch is executed if this difference is higher than zero.</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3">
            <w:pPr>
              <w:spacing w:after="240" w:before="6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4">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Transfer orders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5">
            <w:pPr>
              <w:spacing w:before="6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VND300,000/transaction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6">
            <w:pPr>
              <w:spacing w:after="240" w:before="20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7">
            <w:pPr>
              <w:spacing w:after="240" w:before="80" w:line="360" w:lineRule="auto"/>
              <w:ind w:left="1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Subscription Fees applied for Systematic Investment Plans (SIP)</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8">
            <w:pPr>
              <w:spacing w:before="200" w:line="360" w:lineRule="auto"/>
              <w:ind w:left="720" w:right="78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Free</w:t>
            </w:r>
          </w:p>
        </w:tc>
      </w:tr>
    </w:tbl>
    <w:p w:rsidR="00000000" w:rsidDel="00000000" w:rsidP="00000000" w:rsidRDefault="00000000" w:rsidRPr="00000000" w14:paraId="000000A9">
      <w:pPr>
        <w:spacing w:line="360" w:lineRule="auto"/>
        <w:ind w:left="100" w:right="200" w:firstLine="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 Operating and administration expenses, including management fees, the supervisory bank fees, custody fees, fund administration fees, registrar and transfer agency services fees, auditor fees, allowance of the fund representative board, and other expenses, will be charged as expenses to the Fund</w:t>
      </w:r>
    </w:p>
    <w:p w:rsidR="00000000" w:rsidDel="00000000" w:rsidP="00000000" w:rsidRDefault="00000000" w:rsidRPr="00000000" w14:paraId="000000AA">
      <w:pPr>
        <w:spacing w:line="360" w:lineRule="auto"/>
        <w:ind w:left="100" w:right="200" w:firstLine="0"/>
        <w:jc w:val="both"/>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 A redemption fee of 1.4% is applied for aption order withholding period of more than 1 month to 12 months since the SIP inception.</w:t>
      </w:r>
      <w:r w:rsidDel="00000000" w:rsidR="00000000" w:rsidRPr="00000000">
        <w:rPr>
          <w:rtl w:val="0"/>
        </w:rPr>
      </w:r>
    </w:p>
    <w:p w:rsidR="00000000" w:rsidDel="00000000" w:rsidP="00000000" w:rsidRDefault="00000000" w:rsidRPr="00000000" w14:paraId="000000AB">
      <w:pPr>
        <w:spacing w:line="360" w:lineRule="auto"/>
        <w:ind w:left="100" w:right="200" w:firstLine="0"/>
        <w:jc w:val="both"/>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 SIP redem</w:t>
      </w:r>
      <w:r w:rsidDel="00000000" w:rsidR="00000000" w:rsidRPr="00000000">
        <w:rPr>
          <w:rtl w:val="0"/>
        </w:rPr>
      </w:r>
    </w:p>
    <w:p w:rsidR="00000000" w:rsidDel="00000000" w:rsidP="00000000" w:rsidRDefault="00000000" w:rsidRPr="00000000" w14:paraId="000000AC">
      <w:pPr>
        <w:pStyle w:val="Heading2"/>
        <w:rPr/>
      </w:pPr>
      <w:bookmarkStart w:colFirst="0" w:colLast="0" w:name="_heading=h.1t3h5sf" w:id="9"/>
      <w:bookmarkEnd w:id="9"/>
      <w:r w:rsidDel="00000000" w:rsidR="00000000" w:rsidRPr="00000000">
        <w:rPr>
          <w:rtl w:val="0"/>
        </w:rPr>
        <w:t xml:space="preserve">3. Investment Strategy</w:t>
      </w:r>
    </w:p>
    <w:p w:rsidR="00000000" w:rsidDel="00000000" w:rsidP="00000000" w:rsidRDefault="00000000" w:rsidRPr="00000000" w14:paraId="000000AD">
      <w:pPr>
        <w:spacing w:line="360" w:lineRule="auto"/>
        <w:jc w:val="both"/>
        <w:rPr>
          <w:rFonts w:ascii="Cambria" w:cs="Cambria" w:eastAsia="Cambria" w:hAnsi="Cambria"/>
          <w:color w:val="d1d5db"/>
          <w:sz w:val="24"/>
          <w:szCs w:val="24"/>
          <w:shd w:fill="444654" w:val="clear"/>
        </w:rPr>
      </w:pPr>
      <w:r w:rsidDel="00000000" w:rsidR="00000000" w:rsidRPr="00000000">
        <w:rPr>
          <w:rFonts w:ascii="Cambria" w:cs="Cambria" w:eastAsia="Cambria" w:hAnsi="Cambria"/>
          <w:sz w:val="24"/>
          <w:szCs w:val="24"/>
          <w:rtl w:val="0"/>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r w:rsidDel="00000000" w:rsidR="00000000" w:rsidRPr="00000000">
        <w:rPr>
          <w:rtl w:val="0"/>
        </w:rPr>
      </w:r>
    </w:p>
    <w:p w:rsidR="00000000" w:rsidDel="00000000" w:rsidP="00000000" w:rsidRDefault="00000000" w:rsidRPr="00000000" w14:paraId="000000A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rsidR="00000000" w:rsidDel="00000000" w:rsidP="00000000" w:rsidRDefault="00000000" w:rsidRPr="00000000" w14:paraId="000000A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Investment Strategy:</w:t>
      </w:r>
    </w:p>
    <w:p w:rsidR="00000000" w:rsidDel="00000000" w:rsidP="00000000" w:rsidRDefault="00000000" w:rsidRPr="00000000" w14:paraId="000000B0">
      <w:pPr>
        <w:numPr>
          <w:ilvl w:val="0"/>
          <w:numId w:val="3"/>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than the hundredth largest stock listed on the HSX. Balanced Asset Allocation: Under typical market conditions, the fund seeks a 50-50 split between stocks and fixed-income assets. This balanced approach provides a blend of growth potential (from stocks) and stability (from bonds).</w:t>
      </w:r>
    </w:p>
    <w:p w:rsidR="00000000" w:rsidDel="00000000" w:rsidP="00000000" w:rsidRDefault="00000000" w:rsidRPr="00000000" w14:paraId="000000B1">
      <w:pPr>
        <w:numPr>
          <w:ilvl w:val="0"/>
          <w:numId w:val="2"/>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fund follows a blend of value and growth style of investing.</w:t>
      </w:r>
    </w:p>
    <w:p w:rsidR="00000000" w:rsidDel="00000000" w:rsidP="00000000" w:rsidRDefault="00000000" w:rsidRPr="00000000" w14:paraId="000000B2">
      <w:pPr>
        <w:numPr>
          <w:ilvl w:val="0"/>
          <w:numId w:val="7"/>
        </w:numPr>
        <w:spacing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Bottom-Up Approach:</w:t>
      </w:r>
    </w:p>
    <w:p w:rsidR="00000000" w:rsidDel="00000000" w:rsidP="00000000" w:rsidRDefault="00000000" w:rsidRPr="00000000" w14:paraId="000000B3">
      <w:pPr>
        <w:numPr>
          <w:ilvl w:val="1"/>
          <w:numId w:val="4"/>
        </w:numPr>
        <w:spacing w:line="36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strategy involves analyzing individual companies in great detail, from their financial health to their business strategies. The fund's investment team even meets with a company's executive board to get a comprehensive understanding.</w:t>
      </w:r>
    </w:p>
    <w:p w:rsidR="00000000" w:rsidDel="00000000" w:rsidP="00000000" w:rsidRDefault="00000000" w:rsidRPr="00000000" w14:paraId="000000B4">
      <w:pPr>
        <w:numPr>
          <w:ilvl w:val="1"/>
          <w:numId w:val="4"/>
        </w:numPr>
        <w:spacing w:line="36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understanding the company, the team then looks at the broader industry to understand where that company stands in relation to its peers.</w:t>
      </w:r>
    </w:p>
    <w:p w:rsidR="00000000" w:rsidDel="00000000" w:rsidP="00000000" w:rsidRDefault="00000000" w:rsidRPr="00000000" w14:paraId="000000B5">
      <w:pPr>
        <w:numPr>
          <w:ilvl w:val="1"/>
          <w:numId w:val="4"/>
        </w:numPr>
        <w:spacing w:line="36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Lastly, the macroeconomic conditions of both Vietnam and the world are considered to understand larger trends and impacts on the business.</w:t>
      </w:r>
    </w:p>
    <w:p w:rsidR="00000000" w:rsidDel="00000000" w:rsidP="00000000" w:rsidRDefault="00000000" w:rsidRPr="00000000" w14:paraId="000000B6">
      <w:pPr>
        <w:pStyle w:val="Heading2"/>
        <w:rPr/>
      </w:pPr>
      <w:bookmarkStart w:colFirst="0" w:colLast="0" w:name="_heading=h.4d34og8" w:id="10"/>
      <w:bookmarkEnd w:id="10"/>
      <w:r w:rsidDel="00000000" w:rsidR="00000000" w:rsidRPr="00000000">
        <w:rPr>
          <w:rtl w:val="0"/>
        </w:rPr>
        <w:t xml:space="preserve">4. Portfolio Allocation and Performance</w:t>
      </w:r>
    </w:p>
    <w:p w:rsidR="00000000" w:rsidDel="00000000" w:rsidP="00000000" w:rsidRDefault="00000000" w:rsidRPr="00000000" w14:paraId="000000B7">
      <w:pPr>
        <w:spacing w:line="360" w:lineRule="auto"/>
        <w:jc w:val="both"/>
        <w:rPr>
          <w:rFonts w:ascii="Cambria" w:cs="Cambria" w:eastAsia="Cambria" w:hAnsi="Cambria"/>
          <w:sz w:val="24"/>
          <w:szCs w:val="24"/>
        </w:rPr>
      </w:pPr>
      <w:sdt>
        <w:sdtPr>
          <w:tag w:val="goog_rdk_0"/>
        </w:sdtPr>
        <w:sdtContent>
          <w:commentRangeStart w:id="0"/>
        </w:sdtContent>
      </w:sdt>
      <w:r w:rsidDel="00000000" w:rsidR="00000000" w:rsidRPr="00000000">
        <w:rPr>
          <w:rFonts w:ascii="Cambria" w:cs="Cambria" w:eastAsia="Cambria" w:hAnsi="Cambria"/>
          <w:sz w:val="24"/>
          <w:szCs w:val="24"/>
        </w:rPr>
        <w:drawing>
          <wp:inline distB="114300" distT="114300" distL="114300" distR="114300">
            <wp:extent cx="6119813" cy="3787987"/>
            <wp:effectExtent b="0" l="0" r="0" t="0"/>
            <wp:docPr descr="Biểu đồ" id="1993446291" name="image21.png">
              <a:extLst>
                <a:ext uri="http://customooxmlschemas.google.com/">
                  <go:docsCustomData xmlns:go="http://customooxmlschemas.google.com/" roundtripId="1"/>
                </a:ext>
              </a:extLst>
            </wp:docPr>
            <a:graphic>
              <a:graphicData uri="http://schemas.openxmlformats.org/drawingml/2006/picture">
                <pic:pic>
                  <pic:nvPicPr>
                    <pic:cNvPr descr="Biểu đồ" id="0" name="image21.png"/>
                    <pic:cNvPicPr preferRelativeResize="0"/>
                  </pic:nvPicPr>
                  <pic:blipFill>
                    <a:blip r:embed="rId11"/>
                    <a:srcRect b="0" l="0" r="0" t="0"/>
                    <a:stretch>
                      <a:fillRect/>
                    </a:stretch>
                  </pic:blipFill>
                  <pic:spPr>
                    <a:xfrm>
                      <a:off x="0" y="0"/>
                      <a:ext cx="6119813" cy="378798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illustrates the fluctuating allocation percentages across different sectors within a fund's investment portfolio from the first half of 2018 to the first half of 2023.</w:t>
      </w:r>
    </w:p>
    <w:p w:rsidR="00000000" w:rsidDel="00000000" w:rsidP="00000000" w:rsidRDefault="00000000" w:rsidRPr="00000000" w14:paraId="000000BA">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sdtPr>
        <w:sdtContent>
          <w:commentRangeStart w:id="1"/>
        </w:sdtContent>
      </w:sdt>
      <w:r w:rsidDel="00000000" w:rsidR="00000000" w:rsidRPr="00000000">
        <w:rPr>
          <w:rFonts w:ascii="Cambria" w:cs="Cambria" w:eastAsia="Cambria" w:hAnsi="Cambria"/>
          <w:sz w:val="24"/>
          <w:szCs w:val="24"/>
          <w:rtl w:val="0"/>
        </w:rPr>
        <w:t xml:space="preserve">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year-on-year. This trend was further mirrored in the GDP figures for Q3/2021, where the industrial and construction sector saw a decrease of 5.02%, and the service sector faced a steeper decline of 9.28% compared to the same period in the previous year.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'Finance' sector maintained a stable presence throughout the period, initiating at 14.15% in early 2018 and seeing an overall increase. specially by the first half of 2021, it commanded a dominant 27.70% of the allocation, nearly doubling its stake from 2020. </w:t>
      </w:r>
      <w:sdt>
        <w:sdtPr>
          <w:tag w:val="goog_rdk_3"/>
        </w:sdtPr>
        <w:sdtContent>
          <w:commentRangeStart w:id="2"/>
        </w:sdtContent>
      </w:sdt>
      <w:r w:rsidDel="00000000" w:rsidR="00000000" w:rsidRPr="00000000">
        <w:rPr>
          <w:rFonts w:ascii="Cambria" w:cs="Cambria" w:eastAsia="Cambria" w:hAnsi="Cambria"/>
          <w:sz w:val="24"/>
          <w:szCs w:val="24"/>
          <w:rtl w:val="0"/>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D">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sdtPr>
        <w:sdtContent>
          <w:commentRangeStart w:id="3"/>
        </w:sdtContent>
      </w:sdt>
      <w:r w:rsidDel="00000000" w:rsidR="00000000" w:rsidRPr="00000000">
        <w:rPr>
          <w:rFonts w:ascii="Cambria" w:cs="Cambria" w:eastAsia="Cambria" w:hAnsi="Cambria"/>
          <w:sz w:val="24"/>
          <w:szCs w:val="24"/>
          <w:rtl w:val="0"/>
        </w:rPr>
        <w:t xml:space="preserve">This may hint at tactical portfolio adjustments, possibly in response to short-term market conditions, as the Consumer Price Index (CPI) for medicine and medical services in the second quarter of 2021 increased by 3.36%.</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labeled 'Uncategorized' also started to emerge in late 2021 and has been a part of the portfolio ever since.</w:t>
      </w:r>
    </w:p>
    <w:p w:rsidR="00000000" w:rsidDel="00000000" w:rsidP="00000000" w:rsidRDefault="00000000" w:rsidRPr="00000000" w14:paraId="000000C1">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Throughout the period, the 'Others' category maintained a high and steady presence, albeit with a gradual decrease from 39.44% in early 2018 to 22.00% by 2023, indicating a clearer strategy and more specific sectoral focus over time.</w:t>
      </w:r>
    </w:p>
    <w:p w:rsidR="00000000" w:rsidDel="00000000" w:rsidP="00000000" w:rsidRDefault="00000000" w:rsidRPr="00000000" w14:paraId="000000C3">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Thus, the fund's investment strategy has evolved significantly from 2018 to 2023. There's a clear move towards sectors such as 'Finance', 'Real Estate', and 'Technology' while reducing the emphasis on previously favored sectors such as 'Industrial goods and services' and 'Food &amp; Beverage'.</w:t>
      </w:r>
    </w:p>
    <w:p w:rsidR="00000000" w:rsidDel="00000000" w:rsidP="00000000" w:rsidRDefault="00000000" w:rsidRPr="00000000" w14:paraId="000000C5">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16885" cy="3434281"/>
            <wp:effectExtent b="0" l="0" r="0" t="0"/>
            <wp:docPr descr="A graph of a number of blue bars&#10;&#10;Description automatically generated with medium confidence" id="1993446304" name="image2.png"/>
            <a:graphic>
              <a:graphicData uri="http://schemas.openxmlformats.org/drawingml/2006/picture">
                <pic:pic>
                  <pic:nvPicPr>
                    <pic:cNvPr descr="A graph of a number of blue bars&#10;&#10;Description automatically generated with medium confidence" id="0" name="image2.png"/>
                    <pic:cNvPicPr preferRelativeResize="0"/>
                  </pic:nvPicPr>
                  <pic:blipFill>
                    <a:blip r:embed="rId12"/>
                    <a:srcRect b="0" l="0" r="0" t="0"/>
                    <a:stretch>
                      <a:fillRect/>
                    </a:stretch>
                  </pic:blipFill>
                  <pic:spPr>
                    <a:xfrm>
                      <a:off x="0" y="0"/>
                      <a:ext cx="5716885" cy="3434281"/>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investors to gauge their risk appetite and evaluate the fund's alignment with their long-term financial goals.</w:t>
      </w:r>
    </w:p>
    <w:p w:rsidR="00000000" w:rsidDel="00000000" w:rsidP="00000000" w:rsidRDefault="00000000" w:rsidRPr="00000000" w14:paraId="000000C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58944" cy="3459546"/>
            <wp:effectExtent b="0" l="0" r="0" t="0"/>
            <wp:docPr id="199344630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8944" cy="345954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rsidR="00000000" w:rsidDel="00000000" w:rsidP="00000000" w:rsidRDefault="00000000" w:rsidRPr="00000000" w14:paraId="000000CB">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NAVPS (Net Asset Value per Share) data of VCBF-BCF. The NAVPS is determined by dividing the Net Asset Value by the fund's Outstanding Shares. This data spans from 2019 to September 22, 2023. The graph below illustrates the cumulative daily returns of both VCBF-BCF and the VN100.</w:t>
      </w:r>
    </w:p>
    <w:p w:rsidR="00000000" w:rsidDel="00000000" w:rsidP="00000000" w:rsidRDefault="00000000" w:rsidRPr="00000000" w14:paraId="000000CD">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492500"/>
            <wp:effectExtent b="0" l="0" r="0" t="0"/>
            <wp:docPr id="19934463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p>
    <w:p w:rsidR="00000000" w:rsidDel="00000000" w:rsidP="00000000" w:rsidRDefault="00000000" w:rsidRPr="00000000" w14:paraId="000000D0">
      <w:pPr>
        <w:pStyle w:val="Heading1"/>
        <w:spacing w:line="360" w:lineRule="auto"/>
        <w:jc w:val="both"/>
        <w:rPr>
          <w:rFonts w:ascii="Cambria" w:cs="Cambria" w:eastAsia="Cambria" w:hAnsi="Cambria"/>
          <w:sz w:val="24"/>
          <w:szCs w:val="24"/>
        </w:rPr>
      </w:pPr>
      <w:bookmarkStart w:colFirst="0" w:colLast="0" w:name="_heading=h.8hfbx4ymjbrz" w:id="11"/>
      <w:bookmarkEnd w:id="11"/>
      <w:r w:rsidDel="00000000" w:rsidR="00000000" w:rsidRPr="00000000">
        <w:rPr>
          <w:rtl w:val="0"/>
        </w:rPr>
      </w:r>
    </w:p>
    <w:p w:rsidR="00000000" w:rsidDel="00000000" w:rsidP="00000000" w:rsidRDefault="00000000" w:rsidRPr="00000000" w14:paraId="000000D1">
      <w:pPr>
        <w:pStyle w:val="Heading1"/>
        <w:spacing w:line="360" w:lineRule="auto"/>
        <w:jc w:val="both"/>
        <w:rPr>
          <w:rFonts w:ascii="Cambria" w:cs="Cambria" w:eastAsia="Cambria" w:hAnsi="Cambria"/>
          <w:sz w:val="24"/>
          <w:szCs w:val="24"/>
        </w:rPr>
      </w:pPr>
      <w:bookmarkStart w:colFirst="0" w:colLast="0" w:name="_heading=h.rw8378m1tk66" w:id="12"/>
      <w:bookmarkEnd w:id="12"/>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pPr>
      <w:bookmarkStart w:colFirst="0" w:colLast="0" w:name="_heading=h.85uwz1hcvc46" w:id="13"/>
      <w:bookmarkEnd w:id="13"/>
      <w:r w:rsidDel="00000000" w:rsidR="00000000" w:rsidRPr="00000000">
        <w:rPr>
          <w:rtl w:val="0"/>
        </w:rPr>
        <w:t xml:space="preserve">Chapter 3: Portfolio Optimization and Comparison</w:t>
      </w:r>
    </w:p>
    <w:p w:rsidR="00000000" w:rsidDel="00000000" w:rsidP="00000000" w:rsidRDefault="00000000" w:rsidRPr="00000000" w14:paraId="000000D3">
      <w:pPr>
        <w:pStyle w:val="Heading2"/>
        <w:rPr/>
      </w:pPr>
      <w:bookmarkStart w:colFirst="0" w:colLast="0" w:name="_heading=h.a6akauoqbp8g" w:id="14"/>
      <w:bookmarkEnd w:id="14"/>
      <w:r w:rsidDel="00000000" w:rsidR="00000000" w:rsidRPr="00000000">
        <w:rPr>
          <w:rtl w:val="0"/>
        </w:rPr>
        <w:t xml:space="preserve">1. Portfolio Theory</w:t>
      </w:r>
    </w:p>
    <w:p w:rsidR="00000000" w:rsidDel="00000000" w:rsidP="00000000" w:rsidRDefault="00000000" w:rsidRPr="00000000" w14:paraId="000000D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portfolio </w:t>
      </w:r>
      <w:r w:rsidDel="00000000" w:rsidR="00000000" w:rsidRPr="00000000">
        <w:rPr>
          <w:rFonts w:ascii="Cambria" w:cs="Cambria" w:eastAsia="Cambria" w:hAnsi="Cambria"/>
          <w:sz w:val="24"/>
          <w:szCs w:val="24"/>
          <w:rtl w:val="0"/>
        </w:rPr>
        <w:t xml:space="preserve">optimizing</w:t>
      </w:r>
      <w:r w:rsidDel="00000000" w:rsidR="00000000" w:rsidRPr="00000000">
        <w:rPr>
          <w:rFonts w:ascii="Cambria" w:cs="Cambria" w:eastAsia="Cambria" w:hAnsi="Cambria"/>
          <w:sz w:val="24"/>
          <w:szCs w:val="24"/>
          <w:rtl w:val="0"/>
        </w:rPr>
        <w:t xml:space="preserve"> process of this report will follow closely with Markowitz’s Portfolio Theory, which will be discussed next.</w:t>
      </w:r>
    </w:p>
    <w:p w:rsidR="00000000" w:rsidDel="00000000" w:rsidP="00000000" w:rsidRDefault="00000000" w:rsidRPr="00000000" w14:paraId="000000D5">
      <w:pPr>
        <w:pStyle w:val="Heading3"/>
        <w:spacing w:line="360" w:lineRule="auto"/>
        <w:jc w:val="both"/>
        <w:rPr>
          <w:rFonts w:ascii="Cambria" w:cs="Cambria" w:eastAsia="Cambria" w:hAnsi="Cambria"/>
          <w:sz w:val="24"/>
          <w:szCs w:val="24"/>
        </w:rPr>
      </w:pPr>
      <w:bookmarkStart w:colFirst="0" w:colLast="0" w:name="_heading=h.pxjjnmsspz6b" w:id="15"/>
      <w:bookmarkEnd w:id="15"/>
      <w:r w:rsidDel="00000000" w:rsidR="00000000" w:rsidRPr="00000000">
        <w:rPr>
          <w:rFonts w:ascii="Cambria" w:cs="Cambria" w:eastAsia="Cambria" w:hAnsi="Cambria"/>
          <w:sz w:val="24"/>
          <w:szCs w:val="24"/>
          <w:rtl w:val="0"/>
        </w:rPr>
        <w:t xml:space="preserve">Markowitz’s Portfolio Theory</w:t>
      </w:r>
    </w:p>
    <w:p w:rsidR="00000000" w:rsidDel="00000000" w:rsidP="00000000" w:rsidRDefault="00000000" w:rsidRPr="00000000" w14:paraId="000000D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in order to maximize their overall returns within an acceptable level of risk. </w:t>
      </w:r>
    </w:p>
    <w:p w:rsidR="00000000" w:rsidDel="00000000" w:rsidP="00000000" w:rsidRDefault="00000000" w:rsidRPr="00000000" w14:paraId="000000D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rsidR="00000000" w:rsidDel="00000000" w:rsidP="00000000" w:rsidRDefault="00000000" w:rsidRPr="00000000" w14:paraId="000000D8">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Diversification:</w:t>
      </w:r>
      <w:r w:rsidDel="00000000" w:rsidR="00000000" w:rsidRPr="00000000">
        <w:rPr>
          <w:rFonts w:ascii="Cambria" w:cs="Cambria" w:eastAsia="Cambria" w:hAnsi="Cambria"/>
          <w:sz w:val="24"/>
          <w:szCs w:val="24"/>
          <w:rtl w:val="0"/>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rsidR="00000000" w:rsidDel="00000000" w:rsidP="00000000" w:rsidRDefault="00000000" w:rsidRPr="00000000" w14:paraId="000000D9">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Asset Correlation:</w:t>
      </w:r>
      <w:r w:rsidDel="00000000" w:rsidR="00000000" w:rsidRPr="00000000">
        <w:rPr>
          <w:rFonts w:ascii="Cambria" w:cs="Cambria" w:eastAsia="Cambria" w:hAnsi="Cambria"/>
          <w:sz w:val="24"/>
          <w:szCs w:val="24"/>
          <w:rtl w:val="0"/>
        </w:rPr>
        <w:t xml:space="preserve"> The theory takes into account the correlation between assets in a portfolio. Asset correlation is a measure of how two or more investments move in relation to each other. If two assets are positively correlated, they tend to move in the same direction, while negatively correlated assets move in opposite directions. Markowitz demonstrated that combining assets with low or negative correlations could help reduce the overall portfolio risk without sacrificing expected returns.</w:t>
      </w:r>
    </w:p>
    <w:p w:rsidR="00000000" w:rsidDel="00000000" w:rsidP="00000000" w:rsidRDefault="00000000" w:rsidRPr="00000000" w14:paraId="000000DA">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Portfolio Optimization:</w:t>
      </w:r>
      <w:r w:rsidDel="00000000" w:rsidR="00000000" w:rsidRPr="00000000">
        <w:rPr>
          <w:rFonts w:ascii="Cambria" w:cs="Cambria" w:eastAsia="Cambria" w:hAnsi="Cambria"/>
          <w:sz w:val="24"/>
          <w:szCs w:val="24"/>
          <w:rtl w:val="0"/>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the optimal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rsidR="00000000" w:rsidDel="00000000" w:rsidP="00000000" w:rsidRDefault="00000000" w:rsidRPr="00000000" w14:paraId="000000DB">
      <w:pPr>
        <w:spacing w:after="200" w:line="360" w:lineRule="auto"/>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862388" cy="2572077"/>
            <wp:effectExtent b="0" l="0" r="0" t="0"/>
            <wp:docPr id="199344629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62388" cy="257207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00" w:line="36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spacing w:after="200" w:line="360" w:lineRule="auto"/>
        <w:jc w:val="both"/>
        <w:rPr>
          <w:rFonts w:ascii="Cambria" w:cs="Cambria" w:eastAsia="Cambria" w:hAnsi="Cambria"/>
          <w:sz w:val="24"/>
          <w:szCs w:val="24"/>
        </w:rPr>
      </w:pPr>
      <w:sdt>
        <w:sdtPr>
          <w:tag w:val="goog_rdk_5"/>
        </w:sdtPr>
        <w:sdtContent>
          <w:commentRangeStart w:id="4"/>
        </w:sdtContent>
      </w:sdt>
      <w:r w:rsidDel="00000000" w:rsidR="00000000" w:rsidRPr="00000000">
        <w:rPr>
          <w:rFonts w:ascii="Cambria" w:cs="Cambria" w:eastAsia="Cambria" w:hAnsi="Cambria"/>
          <w:sz w:val="24"/>
          <w:szCs w:val="24"/>
          <w:rtl w:val="0"/>
        </w:rPr>
        <w:t xml:space="preserve">While it is one of the most important and influential theories regarding designing investment portfolios, there are several assumptions and limitations associated with Markowitz's Portfolio Theory</w:t>
      </w:r>
      <w:commentRangeEnd w:id="4"/>
      <w:r w:rsidDel="00000000" w:rsidR="00000000" w:rsidRPr="00000000">
        <w:commentReference w:id="4"/>
      </w:r>
      <w:r w:rsidDel="00000000" w:rsidR="00000000" w:rsidRPr="00000000">
        <w:rPr>
          <w:rFonts w:ascii="Cambria" w:cs="Cambria" w:eastAsia="Cambria" w:hAnsi="Cambria"/>
          <w:sz w:val="24"/>
          <w:szCs w:val="24"/>
          <w:rtl w:val="0"/>
        </w:rPr>
        <w:t xml:space="preserve">, which as follow:</w:t>
      </w:r>
    </w:p>
    <w:p w:rsidR="00000000" w:rsidDel="00000000" w:rsidP="00000000" w:rsidRDefault="00000000" w:rsidRPr="00000000" w14:paraId="000000DE">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Returns from the assets are normally distributed.</w:t>
      </w:r>
    </w:p>
    <w:p w:rsidR="00000000" w:rsidDel="00000000" w:rsidP="00000000" w:rsidRDefault="00000000" w:rsidRPr="00000000" w14:paraId="000000DF">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investor making the investment is rational and will avoid all the unnecessary risks associated.</w:t>
      </w:r>
    </w:p>
    <w:p w:rsidR="00000000" w:rsidDel="00000000" w:rsidP="00000000" w:rsidRDefault="00000000" w:rsidRPr="00000000" w14:paraId="000000E0">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Investors will give their best in order to maximize returns for all the unique situations provided.</w:t>
      </w:r>
    </w:p>
    <w:p w:rsidR="00000000" w:rsidDel="00000000" w:rsidP="00000000" w:rsidRDefault="00000000" w:rsidRPr="00000000" w14:paraId="000000E1">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investors have access to the same information.</w:t>
      </w:r>
    </w:p>
    <w:p w:rsidR="00000000" w:rsidDel="00000000" w:rsidP="00000000" w:rsidRDefault="00000000" w:rsidRPr="00000000" w14:paraId="000000E2">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cost of taxes and trading is not considered when making decisions.</w:t>
      </w:r>
    </w:p>
    <w:p w:rsidR="00000000" w:rsidDel="00000000" w:rsidP="00000000" w:rsidRDefault="00000000" w:rsidRPr="00000000" w14:paraId="000000E3">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the investors have the same views on the rate of return expected.</w:t>
      </w:r>
    </w:p>
    <w:p w:rsidR="00000000" w:rsidDel="00000000" w:rsidP="00000000" w:rsidRDefault="00000000" w:rsidRPr="00000000" w14:paraId="000000E4">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single investors alone are not sizable and capable enough to influence the prices prevailing in the market.</w:t>
      </w:r>
    </w:p>
    <w:p w:rsidR="00000000" w:rsidDel="00000000" w:rsidP="00000000" w:rsidRDefault="00000000" w:rsidRPr="00000000" w14:paraId="000000E5">
      <w:pPr>
        <w:numPr>
          <w:ilvl w:val="0"/>
          <w:numId w:val="6"/>
        </w:numPr>
        <w:spacing w:after="200" w:line="3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Unlimited capital at the risk-free rate of return can be borrowed.</w:t>
      </w:r>
    </w:p>
    <w:p w:rsidR="00000000" w:rsidDel="00000000" w:rsidP="00000000" w:rsidRDefault="00000000" w:rsidRPr="00000000" w14:paraId="000000E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rsidR="00000000" w:rsidDel="00000000" w:rsidP="00000000" w:rsidRDefault="00000000" w:rsidRPr="00000000" w14:paraId="000000E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SLIDE</w:t>
      </w:r>
    </w:p>
    <w:p w:rsidR="00000000" w:rsidDel="00000000" w:rsidP="00000000" w:rsidRDefault="00000000" w:rsidRPr="00000000" w14:paraId="000000E8">
      <w:pPr>
        <w:pStyle w:val="Heading3"/>
        <w:rPr/>
      </w:pPr>
      <w:bookmarkStart w:colFirst="0" w:colLast="0" w:name="_heading=h.np60cg4p9s3o" w:id="16"/>
      <w:bookmarkEnd w:id="16"/>
      <w:r w:rsidDel="00000000" w:rsidR="00000000" w:rsidRPr="00000000">
        <w:rPr>
          <w:rtl w:val="0"/>
        </w:rPr>
        <w:t xml:space="preserve">The Capital Allocation Line</w:t>
      </w:r>
    </w:p>
    <w:p w:rsidR="00000000" w:rsidDel="00000000" w:rsidP="00000000" w:rsidRDefault="00000000" w:rsidRPr="00000000" w14:paraId="000000E9">
      <w:pPr>
        <w:spacing w:after="200" w:line="360" w:lineRule="auto"/>
        <w:jc w:val="both"/>
        <w:rPr>
          <w:rFonts w:ascii="Cambria" w:cs="Cambria" w:eastAsia="Cambria" w:hAnsi="Cambria"/>
          <w:sz w:val="24"/>
          <w:szCs w:val="24"/>
        </w:rPr>
      </w:pPr>
      <w:sdt>
        <w:sdtPr>
          <w:tag w:val="goog_rdk_6"/>
        </w:sdtPr>
        <w:sdtContent>
          <w:commentRangeStart w:id="5"/>
        </w:sdtContent>
      </w:sdt>
      <w:r w:rsidDel="00000000" w:rsidR="00000000" w:rsidRPr="00000000">
        <w:rPr>
          <w:rFonts w:ascii="Cambria" w:cs="Cambria" w:eastAsia="Cambria" w:hAnsi="Cambria"/>
          <w:sz w:val="24"/>
          <w:szCs w:val="24"/>
          <w:rtl w:val="0"/>
        </w:rPr>
        <w:t xml:space="preserve">The Capital Allocation Line (CAL) is a line that graphically depicts the risk-and-reward profile of assets and can be used to find the optimal portfolio.</w:t>
      </w:r>
      <w:commentRangeEnd w:id="5"/>
      <w:r w:rsidDel="00000000" w:rsidR="00000000" w:rsidRPr="00000000">
        <w:commentReference w:id="5"/>
      </w:r>
      <w:r w:rsidDel="00000000" w:rsidR="00000000" w:rsidRPr="00000000">
        <w:rPr>
          <w:rFonts w:ascii="Cambria" w:cs="Cambria" w:eastAsia="Cambria" w:hAnsi="Cambria"/>
          <w:sz w:val="24"/>
          <w:szCs w:val="24"/>
          <w:rtl w:val="0"/>
        </w:rPr>
        <w:t xml:space="preserve">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rsidR="00000000" w:rsidDel="00000000" w:rsidP="00000000" w:rsidRDefault="00000000" w:rsidRPr="00000000" w14:paraId="000000EA">
      <w:pPr>
        <w:spacing w:after="20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009900"/>
            <wp:effectExtent b="0" l="0" r="0" t="0"/>
            <wp:docPr id="199344630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CAL, the better the risk-return trade-off of the risky portfolio. Investors can choose a point along the CAL based on their risk tolerance and investment objectives.</w:t>
      </w:r>
    </w:p>
    <w:p w:rsidR="00000000" w:rsidDel="00000000" w:rsidP="00000000" w:rsidRDefault="00000000" w:rsidRPr="00000000" w14:paraId="000000E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rsidR="00000000" w:rsidDel="00000000" w:rsidP="00000000" w:rsidRDefault="00000000" w:rsidRPr="00000000" w14:paraId="000000E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SLIDE</w:t>
      </w:r>
    </w:p>
    <w:p w:rsidR="00000000" w:rsidDel="00000000" w:rsidP="00000000" w:rsidRDefault="00000000" w:rsidRPr="00000000" w14:paraId="000000EE">
      <w:pPr>
        <w:pStyle w:val="Heading3"/>
        <w:rPr/>
      </w:pPr>
      <w:bookmarkStart w:colFirst="0" w:colLast="0" w:name="_heading=h.8n3lx5n59keq" w:id="17"/>
      <w:bookmarkEnd w:id="17"/>
      <w:r w:rsidDel="00000000" w:rsidR="00000000" w:rsidRPr="00000000">
        <w:rPr>
          <w:rtl w:val="0"/>
        </w:rPr>
        <w:t xml:space="preserve">Portfolio Performance Analysis </w:t>
      </w:r>
    </w:p>
    <w:p w:rsidR="00000000" w:rsidDel="00000000" w:rsidP="00000000" w:rsidRDefault="00000000" w:rsidRPr="00000000" w14:paraId="000000EF">
      <w:pPr>
        <w:spacing w:line="36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Alpha:</w:t>
      </w:r>
      <w:r w:rsidDel="00000000" w:rsidR="00000000" w:rsidRPr="00000000">
        <w:rPr>
          <w:rFonts w:ascii="Cambria" w:cs="Cambria" w:eastAsia="Cambria" w:hAnsi="Cambria"/>
          <w:sz w:val="24"/>
          <w:szCs w:val="24"/>
          <w:rtl w:val="0"/>
        </w:rPr>
        <w:t xml:space="preserve"> </w:t>
      </w:r>
      <w:sdt>
        <w:sdtPr>
          <w:tag w:val="goog_rdk_7"/>
        </w:sdtPr>
        <w:sdtContent>
          <w:commentRangeStart w:id="6"/>
        </w:sdtContent>
      </w:sdt>
      <w:r w:rsidDel="00000000" w:rsidR="00000000" w:rsidRPr="00000000">
        <w:rPr>
          <w:rFonts w:ascii="Cambria" w:cs="Cambria" w:eastAsia="Cambria" w:hAnsi="Cambria"/>
          <w:sz w:val="24"/>
          <w:szCs w:val="24"/>
          <w:rtl w:val="0"/>
        </w:rPr>
        <w:t xml:space="preserve">Alpha (α) is a term used in investing to describe an investment strategy's ability to beat the market or its "edge".</w:t>
      </w:r>
      <w:commentRangeEnd w:id="6"/>
      <w:r w:rsidDel="00000000" w:rsidR="00000000" w:rsidRPr="00000000">
        <w:commentReference w:id="6"/>
      </w:r>
      <w:r w:rsidDel="00000000" w:rsidR="00000000" w:rsidRPr="00000000">
        <w:rPr>
          <w:rFonts w:ascii="Cambria" w:cs="Cambria" w:eastAsia="Cambria" w:hAnsi="Cambria"/>
          <w:sz w:val="24"/>
          <w:szCs w:val="24"/>
          <w:rtl w:val="0"/>
        </w:rPr>
        <w:t xml:space="preserv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rsidR="00000000" w:rsidDel="00000000" w:rsidP="00000000" w:rsidRDefault="00000000" w:rsidRPr="00000000" w14:paraId="000000F0">
      <w:pPr>
        <w:spacing w:after="200" w:line="360" w:lineRule="auto"/>
        <w:ind w:left="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Beta:</w:t>
      </w:r>
      <w:r w:rsidDel="00000000" w:rsidR="00000000" w:rsidRPr="00000000">
        <w:rPr>
          <w:rFonts w:ascii="Cambria" w:cs="Cambria" w:eastAsia="Cambria" w:hAnsi="Cambria"/>
          <w:sz w:val="24"/>
          <w:szCs w:val="24"/>
          <w:rtl w:val="0"/>
        </w:rPr>
        <w:t xml:space="preserve"> </w:t>
      </w:r>
      <w:sdt>
        <w:sdtPr>
          <w:tag w:val="goog_rdk_8"/>
        </w:sdtPr>
        <w:sdtContent>
          <w:commentRangeStart w:id="7"/>
        </w:sdtContent>
      </w:sdt>
      <w:r w:rsidDel="00000000" w:rsidR="00000000" w:rsidRPr="00000000">
        <w:rPr>
          <w:rFonts w:ascii="Cambria" w:cs="Cambria" w:eastAsia="Cambria" w:hAnsi="Cambria"/>
          <w:sz w:val="24"/>
          <w:szCs w:val="24"/>
          <w:rtl w:val="0"/>
        </w:rPr>
        <w:t xml:space="preserve">Beta (β) is a measure of the volatility—or systematic risk—of a security or portfolio compared to the market as a whole (usually the S&amp;P 500).</w:t>
      </w:r>
      <w:commentRangeEnd w:id="7"/>
      <w:r w:rsidDel="00000000" w:rsidR="00000000" w:rsidRPr="00000000">
        <w:commentReference w:id="7"/>
      </w:r>
      <w:r w:rsidDel="00000000" w:rsidR="00000000" w:rsidRPr="00000000">
        <w:rPr>
          <w:rFonts w:ascii="Cambria" w:cs="Cambria" w:eastAsia="Cambria" w:hAnsi="Cambria"/>
          <w:sz w:val="24"/>
          <w:szCs w:val="24"/>
          <w:rtl w:val="0"/>
        </w:rPr>
        <w:t xml:space="preserve"> Stocks with betas higher than 1.0 can be interpreted as more volatile than the S&amp;P 500, while a beta smaller than 1 indicates that the stock is less volatile than the market.</w:t>
      </w:r>
    </w:p>
    <w:p w:rsidR="00000000" w:rsidDel="00000000" w:rsidP="00000000" w:rsidRDefault="00000000" w:rsidRPr="00000000" w14:paraId="000000F1">
      <w:pPr>
        <w:spacing w:after="200" w:line="360" w:lineRule="auto"/>
        <w:ind w:left="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Maximum drawdown: </w:t>
      </w:r>
      <w:sdt>
        <w:sdtPr>
          <w:tag w:val="goog_rdk_9"/>
        </w:sdtPr>
        <w:sdtContent>
          <w:commentRangeStart w:id="8"/>
        </w:sdtContent>
      </w:sdt>
      <w:r w:rsidDel="00000000" w:rsidR="00000000" w:rsidRPr="00000000">
        <w:rPr>
          <w:rFonts w:ascii="Cambria" w:cs="Cambria" w:eastAsia="Cambria" w:hAnsi="Cambria"/>
          <w:sz w:val="24"/>
          <w:szCs w:val="24"/>
          <w:rtl w:val="0"/>
        </w:rPr>
        <w:t xml:space="preserve">A maximum drawdown (MDD) is the maximum observed loss from a peak to a trough of a portfolio before a new peak is attained.</w:t>
      </w:r>
      <w:commentRangeEnd w:id="8"/>
      <w:r w:rsidDel="00000000" w:rsidR="00000000" w:rsidRPr="00000000">
        <w:commentReference w:id="8"/>
      </w:r>
      <w:r w:rsidDel="00000000" w:rsidR="00000000" w:rsidRPr="00000000">
        <w:rPr>
          <w:rFonts w:ascii="Cambria" w:cs="Cambria" w:eastAsia="Cambria" w:hAnsi="Cambria"/>
          <w:sz w:val="24"/>
          <w:szCs w:val="24"/>
          <w:rtl w:val="0"/>
        </w:rPr>
        <w:t xml:space="preserve"> Maximum drawdown is an indicator of downside risk over a specified time period.</w:t>
      </w:r>
    </w:p>
    <w:p w:rsidR="00000000" w:rsidDel="00000000" w:rsidP="00000000" w:rsidRDefault="00000000" w:rsidRPr="00000000" w14:paraId="000000F2">
      <w:pPr>
        <w:spacing w:after="200" w:line="360" w:lineRule="auto"/>
        <w:ind w:left="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Treynor ratio:</w:t>
      </w:r>
      <w:r w:rsidDel="00000000" w:rsidR="00000000" w:rsidRPr="00000000">
        <w:rPr>
          <w:rFonts w:ascii="Cambria" w:cs="Cambria" w:eastAsia="Cambria" w:hAnsi="Cambria"/>
          <w:sz w:val="24"/>
          <w:szCs w:val="24"/>
          <w:rtl w:val="0"/>
        </w:rPr>
        <w:t xml:space="preserve"> </w:t>
      </w:r>
      <w:sdt>
        <w:sdtPr>
          <w:tag w:val="goog_rdk_10"/>
        </w:sdtPr>
        <w:sdtContent>
          <w:commentRangeStart w:id="9"/>
        </w:sdtContent>
      </w:sdt>
      <w:r w:rsidDel="00000000" w:rsidR="00000000" w:rsidRPr="00000000">
        <w:rPr>
          <w:rFonts w:ascii="Cambria" w:cs="Cambria" w:eastAsia="Cambria" w:hAnsi="Cambria"/>
          <w:sz w:val="24"/>
          <w:szCs w:val="24"/>
          <w:rtl w:val="0"/>
        </w:rPr>
        <w:t xml:space="preserve">The Treynor ratio, also known as the reward-to-volatility ratio, is a performance metric for determining how much excess return was generated for each unit of risk taken on by a portfolio.</w:t>
      </w:r>
      <w:commentRangeEnd w:id="9"/>
      <w:r w:rsidDel="00000000" w:rsidR="00000000" w:rsidRPr="00000000">
        <w:commentReference w:id="9"/>
      </w:r>
      <w:r w:rsidDel="00000000" w:rsidR="00000000" w:rsidRPr="00000000">
        <w:rPr>
          <w:rFonts w:ascii="Cambria" w:cs="Cambria" w:eastAsia="Cambria" w:hAnsi="Cambria"/>
          <w:sz w:val="24"/>
          <w:szCs w:val="24"/>
          <w:rtl w:val="0"/>
        </w:rPr>
        <w:t xml:space="preserve"> Risk in the Treynor ratio refers to systematic risk as measured by a portfolio's beta</w:t>
      </w:r>
      <w:r w:rsidDel="00000000" w:rsidR="00000000" w:rsidRPr="00000000">
        <w:rPr>
          <w:rFonts w:ascii="Cambria" w:cs="Cambria" w:eastAsia="Cambria" w:hAnsi="Cambria"/>
          <w:color w:val="111111"/>
          <w:sz w:val="24"/>
          <w:szCs w:val="24"/>
          <w:highlight w:val="white"/>
          <w:rtl w:val="0"/>
        </w:rPr>
        <w:t xml:space="preserve">. </w:t>
      </w:r>
      <w:r w:rsidDel="00000000" w:rsidR="00000000" w:rsidRPr="00000000">
        <w:rPr>
          <w:rFonts w:ascii="Cambria" w:cs="Cambria" w:eastAsia="Cambria" w:hAnsi="Cambria"/>
          <w:sz w:val="24"/>
          <w:szCs w:val="24"/>
          <w:rtl w:val="0"/>
        </w:rPr>
        <w:t xml:space="preserve">A higher Treynor ratio indicates better risk-adjusted performance.</w:t>
      </w:r>
    </w:p>
    <w:p w:rsidR="00000000" w:rsidDel="00000000" w:rsidP="00000000" w:rsidRDefault="00000000" w:rsidRPr="00000000" w14:paraId="000000F3">
      <w:pPr>
        <w:spacing w:after="200" w:line="36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next part, we will conduct an optimal portfolio using the Portfolio Theory that has been previously diícussed</w:t>
      </w:r>
    </w:p>
    <w:p w:rsidR="00000000" w:rsidDel="00000000" w:rsidP="00000000" w:rsidRDefault="00000000" w:rsidRPr="00000000" w14:paraId="000000F4">
      <w:pPr>
        <w:spacing w:after="200" w:line="36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SLIDE</w:t>
      </w:r>
      <w:r w:rsidDel="00000000" w:rsidR="00000000" w:rsidRPr="00000000">
        <w:rPr>
          <w:rtl w:val="0"/>
        </w:rPr>
      </w:r>
    </w:p>
    <w:p w:rsidR="00000000" w:rsidDel="00000000" w:rsidP="00000000" w:rsidRDefault="00000000" w:rsidRPr="00000000" w14:paraId="000000F5">
      <w:pPr>
        <w:pStyle w:val="Heading2"/>
        <w:rPr/>
      </w:pPr>
      <w:bookmarkStart w:colFirst="0" w:colLast="0" w:name="_heading=h.9nzcrjihh2v4" w:id="18"/>
      <w:bookmarkEnd w:id="18"/>
      <w:r w:rsidDel="00000000" w:rsidR="00000000" w:rsidRPr="00000000">
        <w:rPr>
          <w:rtl w:val="0"/>
        </w:rPr>
        <w:t xml:space="preserve">2. Stocks Selection</w:t>
      </w:r>
    </w:p>
    <w:p w:rsidR="00000000" w:rsidDel="00000000" w:rsidP="00000000" w:rsidRDefault="00000000" w:rsidRPr="00000000" w14:paraId="000000F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stocks we use for our portfolio construction are chosen according to the top ten most-invested stocks in VCBF-BCF’s portfolio as reported in 2023, August. The stocks are listed in the table below, along with their proportions.</w:t>
      </w:r>
    </w:p>
    <w:p w:rsidR="00000000" w:rsidDel="00000000" w:rsidP="00000000" w:rsidRDefault="00000000" w:rsidRPr="00000000" w14:paraId="000000F7">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Cambria" w:cs="Cambria" w:eastAsia="Cambria" w:hAnsi="Cambria"/>
          <w:sz w:val="24"/>
          <w:szCs w:val="24"/>
        </w:rPr>
      </w:pPr>
      <w:r w:rsidDel="00000000" w:rsidR="00000000" w:rsidRPr="00000000">
        <w:rPr>
          <w:rtl w:val="0"/>
        </w:rPr>
      </w:r>
    </w:p>
    <w:tbl>
      <w:tblPr>
        <w:tblStyle w:val="Table5"/>
        <w:tblpPr w:leftFromText="180" w:rightFromText="180" w:topFromText="180" w:bottomFromText="180" w:vertAnchor="margin" w:horzAnchor="margin" w:tblpXSpec="center" w:tblpYSpec="top"/>
        <w:tblW w:w="65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3785"/>
        <w:gridCol w:w="1445"/>
        <w:tblGridChange w:id="0">
          <w:tblGrid>
            <w:gridCol w:w="1280"/>
            <w:gridCol w:w="3785"/>
            <w:gridCol w:w="1445"/>
          </w:tblGrid>
        </w:tblGridChange>
      </w:tblGrid>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NAV</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Technology and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9.31</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8.86</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MBB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7.72</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Retail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6.43</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HPG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Building materials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6.33</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VNM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Food - Drinks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4.18</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 estate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3.95</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VTP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3.86</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PNJ</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Supportive Manufacturing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3.84</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 estate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3.84</w:t>
            </w:r>
          </w:p>
        </w:tc>
      </w:tr>
      <w:tr>
        <w:trPr>
          <w:cantSplit w:val="0"/>
          <w:trHeight w:val="68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58.32%</w:t>
            </w:r>
          </w:p>
        </w:tc>
      </w:tr>
    </w:tbl>
    <w:p w:rsidR="00000000" w:rsidDel="00000000" w:rsidP="00000000" w:rsidRDefault="00000000" w:rsidRPr="00000000" w14:paraId="0000011D">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20">
      <w:pPr>
        <w:pStyle w:val="Heading2"/>
        <w:spacing w:line="360" w:lineRule="auto"/>
        <w:jc w:val="both"/>
        <w:rPr>
          <w:rFonts w:ascii="Cambria" w:cs="Cambria" w:eastAsia="Cambria" w:hAnsi="Cambria"/>
          <w:sz w:val="24"/>
          <w:szCs w:val="24"/>
        </w:rPr>
      </w:pPr>
      <w:bookmarkStart w:colFirst="0" w:colLast="0" w:name="_heading=h.yktu2x76h5mv" w:id="19"/>
      <w:bookmarkEnd w:id="19"/>
      <w:r w:rsidDel="00000000" w:rsidR="00000000" w:rsidRPr="00000000">
        <w:rPr>
          <w:rtl w:val="0"/>
        </w:rPr>
      </w:r>
    </w:p>
    <w:p w:rsidR="00000000" w:rsidDel="00000000" w:rsidP="00000000" w:rsidRDefault="00000000" w:rsidRPr="00000000" w14:paraId="00000121">
      <w:pPr>
        <w:pStyle w:val="Heading2"/>
        <w:spacing w:line="360" w:lineRule="auto"/>
        <w:jc w:val="both"/>
        <w:rPr>
          <w:rFonts w:ascii="Cambria" w:cs="Cambria" w:eastAsia="Cambria" w:hAnsi="Cambria"/>
          <w:sz w:val="24"/>
          <w:szCs w:val="24"/>
        </w:rPr>
      </w:pPr>
      <w:bookmarkStart w:colFirst="0" w:colLast="0" w:name="_heading=h.tk18yql6nzxo" w:id="20"/>
      <w:bookmarkEnd w:id="20"/>
      <w:r w:rsidDel="00000000" w:rsidR="00000000" w:rsidRPr="00000000">
        <w:rPr>
          <w:rtl w:val="0"/>
        </w:rPr>
      </w:r>
    </w:p>
    <w:p w:rsidR="00000000" w:rsidDel="00000000" w:rsidP="00000000" w:rsidRDefault="00000000" w:rsidRPr="00000000" w14:paraId="00000122">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allocation of VCBF-BCF’s portfolio, we can see that the fund is predominantly concentrated in the Banking, Real Estate, and Technology sectors, representing a significant portion of the total NAV. The highest allocation is towards FPT in the Technology and Information sector at 9.31%, closely followed by banking stocks STB and MBB. Notably, the portfolio's top ten holdings collectively account for 58.32% of the NAV, indicating a relatively high concentration. While there is diversity across sectors like Retail, Building Materials, food drinks, and Supportive Manufacturing, the emphasis on a few key sectors and stocks suggests a focused investment strategy.</w:t>
      </w:r>
    </w:p>
    <w:p w:rsidR="00000000" w:rsidDel="00000000" w:rsidP="00000000" w:rsidRDefault="00000000" w:rsidRPr="00000000" w14:paraId="0000013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for these ten stocks is gathered from </w:t>
      </w:r>
      <w:hyperlink r:id="rId17">
        <w:r w:rsidDel="00000000" w:rsidR="00000000" w:rsidRPr="00000000">
          <w:rPr>
            <w:rFonts w:ascii="Cambria" w:cs="Cambria" w:eastAsia="Cambria" w:hAnsi="Cambria"/>
            <w:i w:val="1"/>
            <w:color w:val="1155cc"/>
            <w:sz w:val="24"/>
            <w:szCs w:val="24"/>
            <w:u w:val="single"/>
            <w:rtl w:val="0"/>
          </w:rPr>
          <w:t xml:space="preserve">https://simplize.vn/</w:t>
        </w:r>
      </w:hyperlink>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and dated from (25/09/2019) twenty five of september 2019 to 22/02/2023. The daily return of each individual stock is calculated using the logarithm formula. </w:t>
      </w:r>
    </w:p>
    <w:p w:rsidR="00000000" w:rsidDel="00000000" w:rsidP="00000000" w:rsidRDefault="00000000" w:rsidRPr="00000000" w14:paraId="00000132">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905000" cy="638175"/>
            <wp:effectExtent b="0" l="0" r="0" t="0"/>
            <wp:docPr id="199344630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905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graph below shows the cumulative sum of returns for the stocks listed in VCBF-BCF’s portfolio.</w:t>
      </w:r>
    </w:p>
    <w:p w:rsidR="00000000" w:rsidDel="00000000" w:rsidP="00000000" w:rsidRDefault="00000000" w:rsidRPr="00000000" w14:paraId="00000134">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492500"/>
            <wp:effectExtent b="0" l="0" r="0" t="0"/>
            <wp:docPr id="199344630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entire process of our portfolio construction will be conducted in R programming language. The first step is to construct a correlation matrix to see if the portfolio’s stocks are diversified enough.</w:t>
      </w:r>
    </w:p>
    <w:p w:rsidR="00000000" w:rsidDel="00000000" w:rsidP="00000000" w:rsidRDefault="00000000" w:rsidRPr="00000000" w14:paraId="00000136">
      <w:pPr>
        <w:pStyle w:val="Heading2"/>
        <w:rPr/>
      </w:pPr>
      <w:bookmarkStart w:colFirst="0" w:colLast="0" w:name="_heading=h.cl4p3axbksyv" w:id="21"/>
      <w:bookmarkEnd w:id="21"/>
      <w:r w:rsidDel="00000000" w:rsidR="00000000" w:rsidRPr="00000000">
        <w:rPr>
          <w:rtl w:val="0"/>
        </w:rPr>
        <w:t xml:space="preserve">3. Stocks Correlation</w:t>
      </w:r>
    </w:p>
    <w:p w:rsidR="00000000" w:rsidDel="00000000" w:rsidP="00000000" w:rsidRDefault="00000000" w:rsidRPr="00000000" w14:paraId="00000137">
      <w:pPr>
        <w:pStyle w:val="Heading2"/>
        <w:spacing w:line="360" w:lineRule="auto"/>
        <w:jc w:val="center"/>
        <w:rPr>
          <w:rFonts w:ascii="Cambria" w:cs="Cambria" w:eastAsia="Cambria" w:hAnsi="Cambria"/>
          <w:sz w:val="24"/>
          <w:szCs w:val="24"/>
        </w:rPr>
      </w:pPr>
      <w:bookmarkStart w:colFirst="0" w:colLast="0" w:name="_heading=h.donj3d8iia1j" w:id="22"/>
      <w:bookmarkEnd w:id="22"/>
      <w:r w:rsidDel="00000000" w:rsidR="00000000" w:rsidRPr="00000000">
        <w:rPr>
          <w:rFonts w:ascii="Cambria" w:cs="Cambria" w:eastAsia="Cambria" w:hAnsi="Cambria"/>
          <w:sz w:val="24"/>
          <w:szCs w:val="24"/>
        </w:rPr>
        <w:drawing>
          <wp:inline distB="114300" distT="114300" distL="114300" distR="114300">
            <wp:extent cx="5731200" cy="4914900"/>
            <wp:effectExtent b="0" l="0" r="0" t="0"/>
            <wp:docPr id="1993446292" name="image9.png"/>
            <a:graphic>
              <a:graphicData uri="http://schemas.openxmlformats.org/drawingml/2006/picture">
                <pic:pic>
                  <pic:nvPicPr>
                    <pic:cNvPr id="0" name="image9.png"/>
                    <pic:cNvPicPr preferRelativeResize="0"/>
                  </pic:nvPicPr>
                  <pic:blipFill>
                    <a:blip r:embed="rId20"/>
                    <a:srcRect b="809"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Correlation between stocks in a portfolio measures the degree to which the returns of the stocks move in tandem. A correlation coefficient of 1 implies that the returns move perfectly in sync, -1 means they move in exactly opposite directions, and a value of 0 suggests no relationship between the returns.</w:t>
      </w:r>
    </w:p>
    <w:p w:rsidR="00000000" w:rsidDel="00000000" w:rsidP="00000000" w:rsidRDefault="00000000" w:rsidRPr="00000000" w14:paraId="00000139">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In a downturn, if one stock suffers, it's likely that others will follow suit, leading to significant losses.</w:t>
      </w:r>
    </w:p>
    <w:p w:rsidR="00000000" w:rsidDel="00000000" w:rsidP="00000000" w:rsidRDefault="00000000" w:rsidRPr="00000000" w14:paraId="0000013B">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good correlation between stocks is often below 0.7. As we can see in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rsidR="00000000" w:rsidDel="00000000" w:rsidP="00000000" w:rsidRDefault="00000000" w:rsidRPr="00000000" w14:paraId="0000013D">
      <w:pPr>
        <w:pStyle w:val="Heading2"/>
        <w:rPr/>
      </w:pPr>
      <w:bookmarkStart w:colFirst="0" w:colLast="0" w:name="_heading=h.hy69ihhc7x1z" w:id="23"/>
      <w:bookmarkEnd w:id="23"/>
      <w:r w:rsidDel="00000000" w:rsidR="00000000" w:rsidRPr="00000000">
        <w:rPr>
          <w:rtl w:val="0"/>
        </w:rPr>
        <w:t xml:space="preserve">4. Portfolio Optimization (GMV, Optimal, Equal-weight)</w:t>
      </w:r>
    </w:p>
    <w:p w:rsidR="00000000" w:rsidDel="00000000" w:rsidP="00000000" w:rsidRDefault="00000000" w:rsidRPr="00000000" w14:paraId="0000013E">
      <w:pPr>
        <w:spacing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constructing this CML, the risk-free rate we use is the 10-year Vietnamese government bond yield, reported as 2.741% on 22/09/2023. Keep in mind that because Vietnamese stock markets prohibit short selling, this efficient frontier is constructed using long-purchase only. </w:t>
      </w:r>
      <w:r w:rsidDel="00000000" w:rsidR="00000000" w:rsidRPr="00000000">
        <w:rPr>
          <w:rFonts w:ascii="Cambria" w:cs="Cambria" w:eastAsia="Cambria" w:hAnsi="Cambria"/>
          <w:sz w:val="24"/>
          <w:szCs w:val="24"/>
        </w:rPr>
        <w:drawing>
          <wp:inline distB="114300" distT="114300" distL="114300" distR="114300">
            <wp:extent cx="5731200" cy="4165600"/>
            <wp:effectExtent b="0" l="0" r="0" t="0"/>
            <wp:docPr id="1993446296"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0">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efficient frontier of the ten stocks is shown in the graph above. The red dot in the middle of the frontier marks the GMV portfolio, known as the Global Minimum Variance Portfolio. The gray square shows the location of the EWP (Equally-Weighted Portfolio), while the blue line coming in from the bottom left corner is the Capital Market Line. Finally, the optimal portfolio is the tangent point of the frontier with the CML. </w:t>
      </w:r>
    </w:p>
    <w:p w:rsidR="00000000" w:rsidDel="00000000" w:rsidP="00000000" w:rsidRDefault="00000000" w:rsidRPr="00000000" w14:paraId="0000014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Next, we will delve into more details about these specific portfolio allocations. </w:t>
      </w:r>
    </w:p>
    <w:p w:rsidR="00000000" w:rsidDel="00000000" w:rsidP="00000000" w:rsidRDefault="00000000" w:rsidRPr="00000000" w14:paraId="00000143">
      <w:pPr>
        <w:pStyle w:val="Heading3"/>
        <w:rPr/>
      </w:pPr>
      <w:bookmarkStart w:colFirst="0" w:colLast="0" w:name="_heading=h.njzjkqr1gwr7" w:id="24"/>
      <w:bookmarkEnd w:id="24"/>
      <w:r w:rsidDel="00000000" w:rsidR="00000000" w:rsidRPr="00000000">
        <w:rPr>
          <w:rtl w:val="0"/>
        </w:rPr>
        <w:t xml:space="preserve">Equally-Weighted Portfolio</w:t>
      </w:r>
    </w:p>
    <w:p w:rsidR="00000000" w:rsidDel="00000000" w:rsidP="00000000" w:rsidRDefault="00000000" w:rsidRPr="00000000" w14:paraId="0000014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expected return of the EWP portfolio is 0.032 (or 3.2%) and a variance risk of 1.496%. Moreover, this portfolio has a CVaR of 4.161, suggesting that in the worst scenarios, the expected loss can be quite significant. In addition, VaR is a measure that provides an estimate of the maximum potential loss of a portfolio over a given time period for a given confidence interval. The EWP has a 95% VaR of 2.771 means that there are 5% that the portfolio will lose more than 2.771% over the specified time period (often a day or a year).</w:t>
      </w:r>
    </w:p>
    <w:p w:rsidR="00000000" w:rsidDel="00000000" w:rsidP="00000000" w:rsidRDefault="00000000" w:rsidRPr="00000000" w14:paraId="00000145">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6">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48188" cy="3966443"/>
            <wp:effectExtent b="0" l="0" r="0" t="0"/>
            <wp:docPr id="199344629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48188" cy="396644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equally-weighted portfolio, the proportion for each stock is equally distributed. Because this portfolio has ten stickers, the weight of each individual stock is 10%.</w:t>
      </w:r>
    </w:p>
    <w:p w:rsidR="00000000" w:rsidDel="00000000" w:rsidP="00000000" w:rsidRDefault="00000000" w:rsidRPr="00000000" w14:paraId="00000148">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72063" cy="3092105"/>
            <wp:effectExtent b="0" l="0" r="0" t="0"/>
            <wp:docPr id="199344630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072063" cy="309210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barplot above shows the weighted returns of these ten stocks, as in the contribution of each stock to the overall portfolio’s performance. In this particular portfolio, we can see the highest contributions belong to FPT, STB, MBB, and HPG, while there are four stocks that negate the return of the portfolio, which are VIC, VHM, VTP, and VNM in that order. </w:t>
      </w:r>
    </w:p>
    <w:p w:rsidR="00000000" w:rsidDel="00000000" w:rsidP="00000000" w:rsidRDefault="00000000" w:rsidRPr="00000000" w14:paraId="0000014A">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25763" cy="3407583"/>
            <wp:effectExtent b="0" l="0" r="0" t="0"/>
            <wp:docPr id="1993446308" name="image24.png"/>
            <a:graphic>
              <a:graphicData uri="http://schemas.openxmlformats.org/drawingml/2006/picture">
                <pic:pic>
                  <pic:nvPicPr>
                    <pic:cNvPr id="0" name="image24.png"/>
                    <pic:cNvPicPr preferRelativeResize="0"/>
                  </pic:nvPicPr>
                  <pic:blipFill>
                    <a:blip r:embed="rId24"/>
                    <a:srcRect b="10735" l="0" r="0" t="0"/>
                    <a:stretch>
                      <a:fillRect/>
                    </a:stretch>
                  </pic:blipFill>
                  <pic:spPr>
                    <a:xfrm>
                      <a:off x="0" y="0"/>
                      <a:ext cx="4225763" cy="340758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pie chart shows the distribution of variance risk budgets. Generally, it is equally distributed. The highest contribution to the risk is MBB, with a value of 13.2%. Assets like STB, MWG, HPH, VTP, PNJ, and VHM also have slightly lower risk budgets, ranging 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rsidR="00000000" w:rsidDel="00000000" w:rsidP="00000000" w:rsidRDefault="00000000" w:rsidRPr="00000000" w14:paraId="0000014C">
      <w:pPr>
        <w:pStyle w:val="Heading3"/>
        <w:rPr/>
      </w:pPr>
      <w:bookmarkStart w:colFirst="0" w:colLast="0" w:name="_heading=h.8o2h62yrtgc5" w:id="25"/>
      <w:bookmarkEnd w:id="25"/>
      <w:r w:rsidDel="00000000" w:rsidR="00000000" w:rsidRPr="00000000">
        <w:rPr>
          <w:rtl w:val="0"/>
        </w:rPr>
        <w:t xml:space="preserve">Global Minimum Variance Portfolio</w:t>
      </w:r>
    </w:p>
    <w:p w:rsidR="00000000" w:rsidDel="00000000" w:rsidP="00000000" w:rsidRDefault="00000000" w:rsidRPr="00000000" w14:paraId="0000014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rsidR="00000000" w:rsidDel="00000000" w:rsidP="00000000" w:rsidRDefault="00000000" w:rsidRPr="00000000" w14:paraId="0000014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variance is calculated at a very low value of 1.2985. Given that this is a GMV portfolio, the covariance risk is expected to be at its lowest compared to other portfolios on the efficient frontier. The CVaR, or Expected Shortfall, is calculated at 3.3548. The portfolio's 95% VaR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rsidR="00000000" w:rsidDel="00000000" w:rsidP="00000000" w:rsidRDefault="00000000" w:rsidRPr="00000000" w14:paraId="0000014F">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05338" cy="3549629"/>
            <wp:effectExtent b="0" l="0" r="0" t="0"/>
            <wp:docPr id="1993446289" name="image6.png"/>
            <a:graphic>
              <a:graphicData uri="http://schemas.openxmlformats.org/drawingml/2006/picture">
                <pic:pic>
                  <pic:nvPicPr>
                    <pic:cNvPr id="0" name="image6.png"/>
                    <pic:cNvPicPr preferRelativeResize="0"/>
                  </pic:nvPicPr>
                  <pic:blipFill>
                    <a:blip r:embed="rId25"/>
                    <a:srcRect b="14752" l="0" r="0" t="0"/>
                    <a:stretch>
                      <a:fillRect/>
                    </a:stretch>
                  </pic:blipFill>
                  <pic:spPr>
                    <a:xfrm>
                      <a:off x="0" y="0"/>
                      <a:ext cx="4605338" cy="354962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pie chart illustrates the distribution of assets within a GMV portfolio, represented by their respective weightings. These weightings signify the proportion of the total portfolio value that each asset constitutes.</w:t>
      </w:r>
    </w:p>
    <w:p w:rsidR="00000000" w:rsidDel="00000000" w:rsidP="00000000" w:rsidRDefault="00000000" w:rsidRPr="00000000" w14:paraId="00000152">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the portfolio exhibits a diverse range of weightings, with VNM having the highest share at 41.3%, while STB has no allocation, indicating an absence of this asset in the portfolio.</w:t>
      </w:r>
    </w:p>
    <w:p w:rsidR="00000000" w:rsidDel="00000000" w:rsidP="00000000" w:rsidRDefault="00000000" w:rsidRPr="00000000" w14:paraId="00000153">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rsidR="00000000" w:rsidDel="00000000" w:rsidP="00000000" w:rsidRDefault="00000000" w:rsidRPr="00000000" w14:paraId="00000154">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Minor Allocations: HPH, VTP, PNJ, MWG, and VHM collectively account for the remaining 18.7% of the portfolio, with each having relatively minor contributions.</w:t>
      </w:r>
    </w:p>
    <w:p w:rsidR="00000000" w:rsidDel="00000000" w:rsidP="00000000" w:rsidRDefault="00000000" w:rsidRPr="00000000" w14:paraId="00000155">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Comparing VNM's substantial allocation to STB's absence in the portfolio, there is a stark contrast, reflecting varying levels of importance and risk exposure within the portfolio.</w:t>
      </w:r>
    </w:p>
    <w:p w:rsidR="00000000" w:rsidDel="00000000" w:rsidP="00000000" w:rsidRDefault="00000000" w:rsidRPr="00000000" w14:paraId="00000156">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rsidR="00000000" w:rsidDel="00000000" w:rsidP="00000000" w:rsidRDefault="00000000" w:rsidRPr="00000000" w14:paraId="00000157">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8">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492500"/>
            <wp:effectExtent b="0" l="0" r="0" t="0"/>
            <wp:docPr id="199344629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pie chart illustrates the returns of different assets within a GMV portfolio, represented by their respective weights. These weighted returns provide insight into the contribution of each asset to the portfolio's overall performance.</w:t>
      </w:r>
    </w:p>
    <w:p w:rsidR="00000000" w:rsidDel="00000000" w:rsidP="00000000" w:rsidRDefault="00000000" w:rsidRPr="00000000" w14:paraId="0000015B">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the returns vary significantly across the assets. While some assets have positive returns, others have negative returns, and some have no contribution at all.</w:t>
      </w:r>
    </w:p>
    <w:p w:rsidR="00000000" w:rsidDel="00000000" w:rsidP="00000000" w:rsidRDefault="00000000" w:rsidRPr="00000000" w14:paraId="0000015C">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FPT has the highest positive weighted return at 2.289, indicating it has made a substantial positive contribution to the portfolio's performance. HPH and PNJ also have positive returns, albeit smaller.</w:t>
      </w:r>
    </w:p>
    <w:p w:rsidR="00000000" w:rsidDel="00000000" w:rsidP="00000000" w:rsidRDefault="00000000" w:rsidRPr="00000000" w14:paraId="0000015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the other hand, VNM and VIC have notably negative weighted returns of -0.537 and -1.605, respectively, signifying that they have detracted from the portfolio's overall returns.</w:t>
      </w:r>
    </w:p>
    <w:p w:rsidR="00000000" w:rsidDel="00000000" w:rsidP="00000000" w:rsidRDefault="00000000" w:rsidRPr="00000000" w14:paraId="0000015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STB, MBB, MWG, VTP, and VHM have zero weighted returns, suggesting they neither positively nor negatively impact the portfolio's performance.</w:t>
      </w:r>
    </w:p>
    <w:p w:rsidR="00000000" w:rsidDel="00000000" w:rsidP="00000000" w:rsidRDefault="00000000" w:rsidRPr="00000000" w14:paraId="00000160">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Comparing FPT's significant positive return to VIC's substantial negative return, there is a stark contrast in their contributions to the portfolio. This divergence in performance highlights the importance of asset selection and allocation in portfolio management.</w:t>
      </w:r>
    </w:p>
    <w:p w:rsidR="00000000" w:rsidDel="00000000" w:rsidP="00000000" w:rsidRDefault="00000000" w:rsidRPr="00000000" w14:paraId="00000162">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rsidR="00000000" w:rsidDel="00000000" w:rsidP="00000000" w:rsidRDefault="00000000" w:rsidRPr="00000000" w14:paraId="00000164">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5">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24438" cy="4537079"/>
            <wp:effectExtent b="0" l="0" r="0" t="0"/>
            <wp:docPr id="199344629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24438" cy="453707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pie chart illustrates the distribution of Variance Risk Budgets across ten different assets within a global minimum variance portfolio. These percentages represent the proportion of 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rsidR="00000000" w:rsidDel="00000000" w:rsidP="00000000" w:rsidRDefault="00000000" w:rsidRPr="00000000" w14:paraId="00000167">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VNM emerges as the asset with the highest variance risk budget at 41.3%, signifying its substantial contribution to the portfolio's overall risk.</w:t>
      </w:r>
    </w:p>
    <w:p w:rsidR="00000000" w:rsidDel="00000000" w:rsidP="00000000" w:rsidRDefault="00000000" w:rsidRPr="00000000" w14:paraId="00000168">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Moderate Risk Assets: VIC and FPT have variance risk budgets of 21.2% and 18.8%, respectively, indicating significant risk exposure but not to the extent of VNM.</w:t>
      </w:r>
    </w:p>
    <w:p w:rsidR="00000000" w:rsidDel="00000000" w:rsidP="00000000" w:rsidRDefault="00000000" w:rsidRPr="00000000" w14:paraId="00000169">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HPH, VTP, PNJ, MWG, and VHM collectively account for the remaining 17.7% of the portfolio's risk budget, with each asset having relatively minor risk contributions.</w:t>
      </w:r>
    </w:p>
    <w:p w:rsidR="00000000" w:rsidDel="00000000" w:rsidP="00000000" w:rsidRDefault="00000000" w:rsidRPr="00000000" w14:paraId="0000016A">
      <w:pP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rsidR="00000000" w:rsidDel="00000000" w:rsidP="00000000" w:rsidRDefault="00000000" w:rsidRPr="00000000" w14:paraId="0000016B">
      <w:pPr>
        <w:pStyle w:val="Heading3"/>
        <w:rPr/>
      </w:pPr>
      <w:bookmarkStart w:colFirst="0" w:colLast="0" w:name="_heading=h.j0hg8ev8lipc" w:id="26"/>
      <w:bookmarkEnd w:id="26"/>
      <w:r w:rsidDel="00000000" w:rsidR="00000000" w:rsidRPr="00000000">
        <w:rPr>
          <w:rtl w:val="0"/>
        </w:rPr>
        <w:t xml:space="preserve">Optimal Portfolio</w:t>
      </w:r>
    </w:p>
    <w:p w:rsidR="00000000" w:rsidDel="00000000" w:rsidP="00000000" w:rsidRDefault="00000000" w:rsidRPr="00000000" w14:paraId="0000016C">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optimal portfolio, or the tangent portfolio that is located at the tangent point between the CML and the efficient frontier, has a projected return that stands at an impressive 0.12 (or 12%). The variance is at 1.73. The CVaR of this particular combination weight of this portfolio is 4.36%, meaning in the worst-case scenarios, investors will suffer a loss of 4.36%.</w:t>
      </w:r>
    </w:p>
    <w:p w:rsidR="00000000" w:rsidDel="00000000" w:rsidP="00000000" w:rsidRDefault="00000000" w:rsidRPr="00000000" w14:paraId="0000016D">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95% VaR stands at 2.67, suggesting that there is a 95% likelihood that the portfolio will not suffer a loss exceeding 2.67% over a defined period.</w:t>
      </w:r>
    </w:p>
    <w:p w:rsidR="00000000" w:rsidDel="00000000" w:rsidP="00000000" w:rsidRDefault="00000000" w:rsidRPr="00000000" w14:paraId="0000016E">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390310" cy="3967324"/>
            <wp:effectExtent b="0" l="0" r="0" t="0"/>
            <wp:docPr id="199344630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390310" cy="396732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rsidR="00000000" w:rsidDel="00000000" w:rsidP="00000000" w:rsidRDefault="00000000" w:rsidRPr="00000000" w14:paraId="0000017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492500"/>
            <wp:effectExtent b="0" l="0" r="0" t="0"/>
            <wp:docPr id="199344628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rsidR="00000000" w:rsidDel="00000000" w:rsidP="00000000" w:rsidRDefault="00000000" w:rsidRPr="00000000" w14:paraId="00000173">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4">
      <w:pP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86288" cy="4144419"/>
            <wp:effectExtent b="0" l="0" r="0" t="0"/>
            <wp:docPr id="199344629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586288" cy="414441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aforementioned assets.</w:t>
      </w:r>
    </w:p>
    <w:p w:rsidR="00000000" w:rsidDel="00000000" w:rsidP="00000000" w:rsidRDefault="00000000" w:rsidRPr="00000000" w14:paraId="0000017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summarized table below of all these three types of portfolios that have just been discussed:</w:t>
      </w:r>
    </w:p>
    <w:p w:rsidR="00000000" w:rsidDel="00000000" w:rsidP="00000000" w:rsidRDefault="00000000" w:rsidRPr="00000000" w14:paraId="00000177">
      <w:pPr>
        <w:spacing w:line="360" w:lineRule="auto"/>
        <w:jc w:val="both"/>
        <w:rPr>
          <w:rFonts w:ascii="Cambria" w:cs="Cambria" w:eastAsia="Cambria" w:hAnsi="Cambria"/>
          <w:sz w:val="24"/>
          <w:szCs w:val="24"/>
        </w:rPr>
      </w:pPr>
      <w:r w:rsidDel="00000000" w:rsidR="00000000" w:rsidRPr="00000000">
        <w:rPr>
          <w:rtl w:val="0"/>
        </w:rPr>
      </w:r>
    </w:p>
    <w:tbl>
      <w:tblPr>
        <w:tblStyle w:val="Table6"/>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095"/>
        <w:gridCol w:w="2095"/>
        <w:gridCol w:w="2095"/>
        <w:tblGridChange w:id="0">
          <w:tblGrid>
            <w:gridCol w:w="2235"/>
            <w:gridCol w:w="2095"/>
            <w:gridCol w:w="2095"/>
            <w:gridCol w:w="2095"/>
          </w:tblGrid>
        </w:tblGridChange>
      </w:tblGrid>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EWP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Optimal</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Expected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0.12%</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1.496 </w:t>
            </w:r>
          </w:p>
          <w:p w:rsidR="00000000" w:rsidDel="00000000" w:rsidP="00000000" w:rsidRDefault="00000000" w:rsidRPr="00000000" w14:paraId="00000182">
            <w:pPr>
              <w:widowControl w:val="0"/>
              <w:spacing w:line="360" w:lineRule="auto"/>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1.2985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1.73 </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CVaR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3.3548 </w:t>
            </w:r>
          </w:p>
          <w:p w:rsidR="00000000" w:rsidDel="00000000" w:rsidP="00000000" w:rsidRDefault="00000000" w:rsidRPr="00000000" w14:paraId="00000188">
            <w:pPr>
              <w:widowControl w:val="0"/>
              <w:spacing w:line="360" w:lineRule="auto"/>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4.36</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95% VaR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2.67 </w:t>
            </w:r>
          </w:p>
        </w:tc>
      </w:tr>
    </w:tbl>
    <w:p w:rsidR="00000000" w:rsidDel="00000000" w:rsidP="00000000" w:rsidRDefault="00000000" w:rsidRPr="00000000" w14:paraId="0000018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Optimal portfolio clearly stands out with the highest expected return of 0.12%, which is significantly greater than both the EWP (0.032%) and GMV (0.0028%). This suggests that the Optimal portfolio is the most lucrative option, while the GMV offers the lowest potential reward. The EWP offers a moderate return in comparison.</w:t>
      </w:r>
    </w:p>
    <w:p w:rsidR="00000000" w:rsidDel="00000000" w:rsidP="00000000" w:rsidRDefault="00000000" w:rsidRPr="00000000" w14:paraId="0000018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rsidR="00000000" w:rsidDel="00000000" w:rsidP="00000000" w:rsidRDefault="00000000" w:rsidRPr="00000000" w14:paraId="0000019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rsidR="00000000" w:rsidDel="00000000" w:rsidP="00000000" w:rsidRDefault="00000000" w:rsidRPr="00000000" w14:paraId="0000019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Value at Risk (VaR) at the 95% confidence level provides an estimate of the potential loss over a specified period for a given confidence interval. The EWP has the highest 95% VaR at 2.771%, suggesting that it faces the most risk of experiencing significant losses. The GMV portfolio has the lowest 95% VaR at 1.9674%, indicating it's the least risky in this context, while the Optimal portfolio's 95% VaR is slightly lower than EWP's but higher than GMV's.</w:t>
      </w:r>
    </w:p>
    <w:p w:rsidR="00000000" w:rsidDel="00000000" w:rsidP="00000000" w:rsidRDefault="00000000" w:rsidRPr="00000000" w14:paraId="00000192">
      <w:pPr>
        <w:pStyle w:val="Heading2"/>
        <w:spacing w:line="360" w:lineRule="auto"/>
        <w:jc w:val="both"/>
        <w:rPr>
          <w:rFonts w:ascii="Cambria" w:cs="Cambria" w:eastAsia="Cambria" w:hAnsi="Cambria"/>
          <w:sz w:val="24"/>
          <w:szCs w:val="24"/>
        </w:rPr>
      </w:pPr>
      <w:bookmarkStart w:colFirst="0" w:colLast="0" w:name="_heading=h.rfth7hg1zet6" w:id="27"/>
      <w:bookmarkEnd w:id="27"/>
      <w:r w:rsidDel="00000000" w:rsidR="00000000" w:rsidRPr="00000000">
        <w:rPr>
          <w:rFonts w:ascii="Cambria" w:cs="Cambria" w:eastAsia="Cambria" w:hAnsi="Cambria"/>
          <w:sz w:val="24"/>
          <w:szCs w:val="24"/>
          <w:rtl w:val="0"/>
        </w:rPr>
        <w:t xml:space="preserve">5. Performance Analysis (Key Performance Indicators)</w:t>
      </w:r>
    </w:p>
    <w:p w:rsidR="00000000" w:rsidDel="00000000" w:rsidP="00000000" w:rsidRDefault="00000000" w:rsidRPr="00000000" w14:paraId="0000019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rsidR="00000000" w:rsidDel="00000000" w:rsidP="00000000" w:rsidRDefault="00000000" w:rsidRPr="00000000" w14:paraId="00000194">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492500"/>
            <wp:effectExtent b="0" l="0" r="0" t="0"/>
            <wp:docPr id="199344629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the VN100. The gradual growth of the blue line suggests a well-diversified portfolio that spreads its risk across various asset classes, sectors, or geographies. Such diversification can help mitigate the impact of any single underperforming asset or sector.</w:t>
      </w:r>
    </w:p>
    <w:p w:rsidR="00000000" w:rsidDel="00000000" w:rsidP="00000000" w:rsidRDefault="00000000" w:rsidRPr="00000000" w14:paraId="00000196">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2844800"/>
            <wp:effectExtent b="0" l="0" r="0" t="0"/>
            <wp:docPr id="199344631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rsidR="00000000" w:rsidDel="00000000" w:rsidP="00000000" w:rsidRDefault="00000000" w:rsidRPr="00000000" w14:paraId="00000198">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previous section, we have introduced the use of KPIs in portfolio performance evaluation. The table below summarizes various crucial metrics to further assess our portfolio performance:</w:t>
      </w:r>
    </w:p>
    <w:p w:rsidR="00000000" w:rsidDel="00000000" w:rsidP="00000000" w:rsidRDefault="00000000" w:rsidRPr="00000000" w14:paraId="00000199">
      <w:pPr>
        <w:spacing w:line="360" w:lineRule="auto"/>
        <w:jc w:val="both"/>
        <w:rPr>
          <w:rFonts w:ascii="Cambria" w:cs="Cambria" w:eastAsia="Cambria" w:hAnsi="Cambria"/>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VBCF-BCF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VN100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Maximum Drawdown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Treynor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0.0015</w:t>
            </w:r>
          </w:p>
        </w:tc>
      </w:tr>
    </w:tbl>
    <w:p w:rsidR="00000000" w:rsidDel="00000000" w:rsidP="00000000" w:rsidRDefault="00000000" w:rsidRPr="00000000" w14:paraId="000001AE">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rsidR="00000000" w:rsidDel="00000000" w:rsidP="00000000" w:rsidRDefault="00000000" w:rsidRPr="00000000" w14:paraId="000001AF">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than the market. A beta of less than 1 for both the portfolio and BCF indicates that they both generally exhibit less volatility than the market.</w:t>
      </w:r>
    </w:p>
    <w:p w:rsidR="00000000" w:rsidDel="00000000" w:rsidP="00000000" w:rsidRDefault="00000000" w:rsidRPr="00000000" w14:paraId="000001B0">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390900"/>
            <wp:effectExtent b="0" l="0" r="0" t="0"/>
            <wp:docPr id="199344630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rsidR="00000000" w:rsidDel="00000000" w:rsidP="00000000" w:rsidRDefault="00000000" w:rsidRPr="00000000" w14:paraId="000001B2">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rsidR="00000000" w:rsidDel="00000000" w:rsidP="00000000" w:rsidRDefault="00000000" w:rsidRPr="00000000" w14:paraId="000001B3">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short, the portfolio demonstrates superior performance metrics across all three parameters when compared to BCF and the market. BCF, while outperforming the market in terms of alpha and Treynor Ratio, falls short of the portfolio's performance metrics.</w:t>
      </w:r>
    </w:p>
    <w:p w:rsidR="00000000" w:rsidDel="00000000" w:rsidP="00000000" w:rsidRDefault="00000000" w:rsidRPr="00000000" w14:paraId="000001B4">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pPr>
      <w:bookmarkStart w:colFirst="0" w:colLast="0" w:name="_heading=h.9yldbnjqrk5w" w:id="28"/>
      <w:bookmarkEnd w:id="28"/>
      <w:r w:rsidDel="00000000" w:rsidR="00000000" w:rsidRPr="00000000">
        <w:rPr>
          <w:rtl w:val="0"/>
        </w:rPr>
        <w:t xml:space="preserve">Conclusion</w:t>
      </w:r>
    </w:p>
    <w:p w:rsidR="00000000" w:rsidDel="00000000" w:rsidP="00000000" w:rsidRDefault="00000000" w:rsidRPr="00000000" w14:paraId="000001B7">
      <w:pP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short-selling in the Vietnamese stock market, the optimal portfolio might not have the highest possible Sharpe ratio and is still leaving room for better optimization.</w:t>
      </w:r>
    </w:p>
    <w:sectPr>
      <w:headerReference r:id="rId3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ưng Trần" w:id="9" w:date="2023-09-26T00:46:4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https://www.investopedia.com/terms/t/treynorratio.asp</w:t>
      </w:r>
    </w:p>
  </w:comment>
  <w:comment w:author="Nguyễn Đức Trung" w:id="3" w:date="2023-09-28T17:40:36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https://www.gso.gov.vn/du-lieu-va-so-lieu-thong-ke/2020/06/bao-cao-tinh-hinh-kinh-te-xa-hoi-6-thang-dau-nam-2020/</w:t>
      </w:r>
    </w:p>
  </w:comment>
  <w:comment w:author="Hưng Trần" w:id="8" w:date="2023-09-26T00:45:42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https://www.investopedia.com/terms/m/maximum-drawdown-mdd.asp</w:t>
      </w:r>
    </w:p>
  </w:comment>
  <w:comment w:author="Nguyễn Đức Trung" w:id="1" w:date="2023-09-28T13:59:01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https://www.gso.gov.vn/du-lieu-va-so-lieu-thong-ke/2021/09/bao-cao-tinh-hinh-kinh-te-xa-hoi-quy-iii-va-9-thang-nam-2021/</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https://www.gso.gov.vn/en/data-and-statistics/2021/09/index-of-industrial-production-in-september-of-2021/</w:t>
      </w:r>
    </w:p>
  </w:comment>
  <w:comment w:author="Đăng Wangg" w:id="0" w:date="2023-09-25T17:19:3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Nhận xét về thay đổi trong cơ cấu phân bố danh mục đầu tư theo các ngành, kết hợp với nhận xét về return của quỹ trong thời gian đó và nêu possible reasons as of why the fund decided to do that. Comment on the strategy (good, bad, etc.)</w:t>
      </w:r>
    </w:p>
  </w:comment>
  <w:comment w:author="Hưng Trần" w:id="5" w:date="2023-09-26T00:38:57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https://corporatefinanceinstitute.com/resources/career-map/sell-side/capital-markets/capital-allocation-line-cal-and-optimal-portfolio/</w:t>
      </w:r>
    </w:p>
  </w:comment>
  <w:comment w:author="Hưng Trần" w:id="7" w:date="2023-09-26T00:45:15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https://www.investopedia.com/terms/b/beta.asp</w:t>
      </w:r>
    </w:p>
  </w:comment>
  <w:comment w:author="Nguyễn Đức Trung" w:id="2" w:date="2023-09-28T17:39:2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https://tapchicongthuong.vn/bai-viet/tinh-hinh-thi-truong-tai-chinh-viet-nam-trong-thoi-gian-gan-day-106489.htm</w:t>
      </w:r>
    </w:p>
  </w:comment>
  <w:comment w:author="Hưng Trần" w:id="4" w:date="2023-09-26T00:31:42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https://www.wallstreetmojo.com/modern-portfolio-theory/</w:t>
      </w:r>
    </w:p>
  </w:comment>
  <w:comment w:author="Hưng Trần" w:id="6" w:date="2023-09-26T00:44:29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https://www.investopedia.com/terms/a/alpha.asp</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9" w15:done="0"/>
  <w15:commentEx w15:paraId="000001BA" w15:done="0"/>
  <w15:commentEx w15:paraId="000001BB"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2405FA"/>
    <w:pPr>
      <w:spacing w:line="240" w:lineRule="auto"/>
    </w:pPr>
    <w:rPr>
      <w:lang w:val="v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FB3DE9"/>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FB3DE9"/>
    <w:pPr>
      <w:spacing w:after="100"/>
    </w:pPr>
  </w:style>
  <w:style w:type="paragraph" w:styleId="TOC2">
    <w:name w:val="toc 2"/>
    <w:basedOn w:val="Normal"/>
    <w:next w:val="Normal"/>
    <w:autoRedefine w:val="1"/>
    <w:uiPriority w:val="39"/>
    <w:unhideWhenUsed w:val="1"/>
    <w:rsid w:val="00FB3DE9"/>
    <w:pPr>
      <w:spacing w:after="100"/>
      <w:ind w:left="220"/>
    </w:pPr>
  </w:style>
  <w:style w:type="character" w:styleId="Hyperlink">
    <w:name w:val="Hyperlink"/>
    <w:basedOn w:val="DefaultParagraphFont"/>
    <w:uiPriority w:val="99"/>
    <w:unhideWhenUsed w:val="1"/>
    <w:rsid w:val="00FB3DE9"/>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7.jp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18.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image" Target="media/image11.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3.png"/><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19.png"/><Relationship Id="rId17" Type="http://schemas.openxmlformats.org/officeDocument/2006/relationships/hyperlink" Target="https://simplize.vn/" TargetMode="External"/><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K5zxBbxwbfEmyMlRNfRewi+8g==">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0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2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S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0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a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2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rABALgBABi78NfgrTEgu/DX4K0xMABCEGtpeC5zcndqZzVua2JlOWIiiQgKC0FBQUE1djAxdk1nEtcHCgtBQUFBNXYwMXZNZxILQUFBQTV2MDF2TWcapQIKCXRleHQvaHRtbB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KmAgoKdGV4dC9wbGFpbh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S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a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2023-09-15T00:45:00Z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d8082d673e7b53810b36c07b765ee1c1f7d9a3d4a995e94bd0dd2d9f7f5247ce</vt:lpwstr>
  </property>
  <property fmtid="{D5CDD505-2E9C-101B-9397-08002B2CF9AE}" pid="3" name="GrammarlyDocumentId">
    <vt:lpwstr>d8082d673e7b53810b36c07b765ee1c1f7d9a3d4a995e94bd0dd2d9f7f5247ce</vt:lpwstr>
  </property>
</Properties>
</file>