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{{report_title}}</w:t>
      </w:r>
    </w:p>
    <w:p>
      <w:r>
        <w:rPr>
          <w:rFonts w:ascii="微软雅黑" w:hAnsi="微软雅黑" w:eastAsia="微软雅黑"/>
        </w:rPr>
        <w:t>统计周期：</w:t>
      </w:r>
      <w:r>
        <w:rPr>
          <w:rFonts w:ascii="微软雅黑" w:hAnsi="微软雅黑" w:eastAsia="微软雅黑"/>
        </w:rPr>
        <w:t>{{period}}</w:t>
      </w:r>
      <w:r>
        <w:rPr>
          <w:rFonts w:ascii="微软雅黑" w:hAnsi="微软雅黑" w:eastAsia="微软雅黑"/>
        </w:rPr>
        <w:t xml:space="preserve">　</w:t>
      </w:r>
      <w:r>
        <w:rPr>
          <w:rFonts w:ascii="微软雅黑" w:hAnsi="微软雅黑" w:eastAsia="微软雅黑"/>
        </w:rPr>
        <w:t>部门：</w:t>
      </w:r>
      <w:r>
        <w:rPr>
          <w:rFonts w:ascii="微软雅黑" w:hAnsi="微软雅黑" w:eastAsia="微软雅黑"/>
        </w:rPr>
        <w:t>{{department}}</w:t>
      </w:r>
      <w:r>
        <w:rPr>
          <w:rFonts w:ascii="微软雅黑" w:hAnsi="微软雅黑" w:eastAsia="微软雅黑"/>
        </w:rPr>
        <w:t xml:space="preserve">　</w:t>
      </w:r>
      <w:r>
        <w:rPr>
          <w:rFonts w:ascii="微软雅黑" w:hAnsi="微软雅黑" w:eastAsia="微软雅黑"/>
        </w:rPr>
        <w:t>填报人：</w:t>
      </w:r>
      <w:r>
        <w:rPr>
          <w:rFonts w:ascii="微软雅黑" w:hAnsi="微软雅黑" w:eastAsia="微软雅黑"/>
        </w:rPr>
        <w:t>{{author}}</w:t>
      </w:r>
      <w:r>
        <w:rPr>
          <w:rFonts w:ascii="微软雅黑" w:hAnsi="微软雅黑" w:eastAsia="微软雅黑"/>
        </w:rPr>
        <w:t xml:space="preserve">　</w:t>
      </w:r>
      <w:r>
        <w:rPr>
          <w:rFonts w:ascii="微软雅黑" w:hAnsi="微软雅黑" w:eastAsia="微软雅黑"/>
        </w:rPr>
        <w:t>日期：</w:t>
      </w:r>
      <w:r>
        <w:rPr>
          <w:rFonts w:ascii="微软雅黑" w:hAnsi="微软雅黑" w:eastAsia="微软雅黑"/>
        </w:rPr>
        <w:t>{{date}}</w:t>
      </w:r>
    </w:p>
    <w:p>
      <w:pPr>
        <w:pStyle w:val="Heading1"/>
      </w:pPr>
      <w:r>
        <w:rPr>
          <w:rFonts w:ascii="微软雅黑" w:hAnsi="微软雅黑" w:eastAsia="微软雅黑"/>
        </w:rPr>
        <w:t>一、本周工作</w:t>
      </w:r>
    </w:p>
    <w:p>
      <w:r>
        <w:rPr>
          <w:rFonts w:ascii="微软雅黑" w:hAnsi="微软雅黑" w:eastAsia="微软雅黑"/>
        </w:rPr>
        <w:t>{{section_work}}</w:t>
      </w:r>
    </w:p>
    <w:p>
      <w:pPr>
        <w:pStyle w:val="Heading1"/>
      </w:pPr>
      <w:r>
        <w:rPr>
          <w:rFonts w:ascii="微软雅黑" w:hAnsi="微软雅黑" w:eastAsia="微软雅黑"/>
        </w:rPr>
        <w:t>二、数据亮点</w:t>
      </w:r>
    </w:p>
    <w:p>
      <w:r>
        <w:rPr>
          <w:rFonts w:ascii="微软雅黑" w:hAnsi="微软雅黑" w:eastAsia="微软雅黑"/>
        </w:rPr>
        <w:t>{{section_metrics}}</w:t>
      </w:r>
    </w:p>
    <w:p>
      <w:pPr>
        <w:pStyle w:val="Heading1"/>
      </w:pPr>
      <w:r>
        <w:rPr>
          <w:rFonts w:ascii="微软雅黑" w:hAnsi="微软雅黑" w:eastAsia="微软雅黑"/>
        </w:rPr>
        <w:t>三、问题与风险</w:t>
      </w:r>
    </w:p>
    <w:p>
      <w:r>
        <w:rPr>
          <w:rFonts w:ascii="微软雅黑" w:hAnsi="微软雅黑" w:eastAsia="微软雅黑"/>
        </w:rPr>
        <w:t>{{section_risks}}</w:t>
      </w:r>
    </w:p>
    <w:p>
      <w:pPr>
        <w:pStyle w:val="Heading1"/>
      </w:pPr>
      <w:r>
        <w:rPr>
          <w:rFonts w:ascii="微软雅黑" w:hAnsi="微软雅黑" w:eastAsia="微软雅黑"/>
        </w:rPr>
        <w:t>四、下周计划</w:t>
      </w:r>
    </w:p>
    <w:p>
      <w:r>
        <w:rPr>
          <w:rFonts w:ascii="微软雅黑" w:hAnsi="微软雅黑" w:eastAsia="微软雅黑"/>
        </w:rPr>
        <w:t>{{section_plan}}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