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Times New Roman" w:cs="Times New Roman" w:eastAsia="Times New Roman" w:hAnsi="Times New Roman"/>
          <w:b/>
          <w:bCs/>
          <w:sz w:val="320"/>
          <w:szCs w:val="320"/>
        </w:rPr>
        <w:t xml:space="preserve">The Cost of Closing the Strait of Hormuz: A DSGE Analysis</w:t>
      </w:r>
    </w:p>
    <w:p>
      <w:pPr>
        <w:spacing w:after="160"/>
        <w:jc w:val="center"/>
      </w:pPr>
      <w:r>
        <w:rPr>
          <w:rFonts w:ascii="Times New Roman" w:cs="Times New Roman" w:eastAsia="Times New Roman" w:hAnsi="Times New Roman"/>
          <w:sz w:val="260"/>
          <w:szCs w:val="260"/>
        </w:rPr>
        <w:t xml:space="preserve">Wang Weijia (王维佳)</w:t>
      </w:r>
    </w:p>
    <w:p>
      <w:pPr>
        <w:spacing w:after="80"/>
        <w:jc w:val="center"/>
      </w:pPr>
      <w:r>
        <w:rPr>
          <w:rFonts w:ascii="Times New Roman" w:cs="Times New Roman" w:eastAsia="Times New Roman" w:hAnsi="Times New Roman"/>
          <w:i/>
          <w:iCs/>
          <w:sz w:val="240"/>
          <w:szCs w:val="240"/>
        </w:rPr>
        <w:t xml:space="preserve">School of Economics and Finance, Xi'an Jiaotong University</w:t>
      </w:r>
    </w:p>
    <w:p>
      <w:pPr>
        <w:spacing w:after="160"/>
        <w:jc w:val="center"/>
      </w:pPr>
      <w:r>
        <w:rPr>
          <w:rFonts w:ascii="Times New Roman" w:cs="Times New Roman" w:eastAsia="Times New Roman" w:hAnsi="Times New Roman"/>
          <w:i/>
          <w:iCs/>
          <w:sz w:val="240"/>
          <w:szCs w:val="240"/>
        </w:rPr>
        <w:t xml:space="preserve">Xi'an, Shaanxi 710000, China</w:t>
      </w:r>
    </w:p>
    <w:p>
      <w:pPr>
        <w:spacing w:after="80"/>
        <w:jc w:val="center"/>
      </w:pPr>
      <w:r>
        <w:rPr>
          <w:rFonts w:ascii="Times New Roman" w:cs="Times New Roman" w:eastAsia="Times New Roman" w:hAnsi="Times New Roman"/>
          <w:sz w:val="220"/>
          <w:szCs w:val="220"/>
        </w:rPr>
        <w:t xml:space="preserve">ORCID: (to be added)</w:t>
      </w:r>
    </w:p>
    <w:p>
      <w:pPr>
        <w:spacing w:after="80"/>
        <w:jc w:val="center"/>
      </w:pPr>
      <w:r>
        <w:rPr>
          <w:rFonts w:ascii="Times New Roman" w:cs="Times New Roman" w:eastAsia="Times New Roman" w:hAnsi="Times New Roman"/>
          <w:b/>
          <w:bCs/>
          <w:sz w:val="220"/>
          <w:szCs w:val="220"/>
        </w:rPr>
        <w:t xml:space="preserve">Corresponding author: </w:t>
      </w:r>
      <w:r>
        <w:rPr>
          <w:rFonts w:ascii="Times New Roman" w:cs="Times New Roman" w:eastAsia="Times New Roman" w:hAnsi="Times New Roman"/>
          <w:sz w:val="220"/>
          <w:szCs w:val="220"/>
        </w:rPr>
        <w:t xml:space="preserve">Wang Weijia, wangweijia@stu.xjtu.edu.cn</w:t>
      </w:r>
    </w:p>
    <w:p>
      <w:pPr>
        <w:spacing w:after="80"/>
        <w:jc w:val="center"/>
      </w:pPr>
      <w:r>
        <w:rPr>
          <w:rFonts w:ascii="Times New Roman" w:cs="Times New Roman" w:eastAsia="Times New Roman" w:hAnsi="Times New Roman"/>
          <w:b/>
          <w:bCs/>
          <w:sz w:val="220"/>
          <w:szCs w:val="220"/>
        </w:rPr>
        <w:t xml:space="preserve">Word count: </w:t>
      </w:r>
      <w:r>
        <w:rPr>
          <w:rFonts w:ascii="Times New Roman" w:cs="Times New Roman" w:eastAsia="Times New Roman" w:hAnsi="Times New Roman"/>
          <w:sz w:val="220"/>
          <w:szCs w:val="220"/>
        </w:rPr>
        <w:t xml:space="preserve">approximately 9,800 words (excluding references and tables)</w:t>
      </w:r>
    </w:p>
    <w:p>
      <w:pPr>
        <w:spacing w:after="480"/>
        <w:jc w:val="center"/>
      </w:pPr>
      <w:r>
        <w:rPr>
          <w:rFonts w:ascii="Times New Roman" w:cs="Times New Roman" w:eastAsia="Times New Roman" w:hAnsi="Times New Roman"/>
          <w:sz w:val="240"/>
          <w:szCs w:val="240"/>
        </w:rPr>
        <w:t xml:space="preserve">April 2026</w:t>
      </w:r>
    </w:p>
    <w:p>
      <w:r>
        <w:br w:type="page"/>
      </w:r>
    </w:p>
    <w:p>
      <w:pPr>
        <w:spacing w:after="240" w:before="240"/>
        <w:jc w:val="center"/>
      </w:pPr>
      <w:r>
        <w:rPr>
          <w:rFonts w:ascii="Times New Roman" w:cs="Times New Roman" w:eastAsia="Times New Roman" w:hAnsi="Times New Roman"/>
          <w:b/>
          <w:bCs/>
          <w:caps/>
          <w:sz w:val="260"/>
          <w:szCs w:val="260"/>
        </w:rPr>
        <w:t xml:space="preserve">ABSTRACT</w:t>
      </w:r>
    </w:p>
    <w:p>
      <w:pPr>
        <w:spacing w:after="240" w:line="360"/>
      </w:pPr>
      <w:r>
        <w:rPr>
          <w:rFonts w:ascii="Times New Roman" w:cs="Times New Roman" w:eastAsia="Times New Roman" w:hAnsi="Times New Roman"/>
          <w:sz w:val="240"/>
          <w:szCs w:val="240"/>
        </w:rPr>
        <w:t xml:space="preserve">How large are the global welfare costs of a Strait of Hormuz closure, and which transmission channels drive them? We build a four-region New Keynesian DSGE model of a US-Israel conflict with Iran, integrating trade, energy, financial, and stabilization channels, and validate the financial linkage matrix with a structural VAR(1) estimated on four historical Middle East conflict episodes. A complete Hormuz blockade collapses Iran's GDP by 27.2 percent (34.8 percent under second-order perturbation), spikes global oil prices by 63 percent, and inflicts 4.88 percentage points of global welfare loss through financial frictions alone—exceeding the entire trade-channel effect; conventional monetary policy moves global welfare by less than 0.11 percentage points across all realistic Taylor-rule regimes, confirming its impotence against rare-disaster supply shocks; and China's manufacturing capacity, not its strategic petroleum reserve, is the binding stabilization margin, with reserve releases hitting their physical ceiling by quarter one while doubling the manufacturing response saves 0.70 percentage points of China's own welfare. Supply-chain resilience and macroprudential policy, not central-bank activism, are the correct policy levers for geopolitical rare disasters.</w:t>
      </w:r>
    </w:p>
    <w:p>
      <w:pPr>
        <w:spacing w:after="120"/>
      </w:pPr>
      <w:r>
        <w:rPr>
          <w:rFonts w:ascii="Times New Roman" w:cs="Times New Roman" w:eastAsia="Times New Roman" w:hAnsi="Times New Roman"/>
          <w:b/>
          <w:bCs/>
          <w:sz w:val="240"/>
          <w:szCs w:val="240"/>
        </w:rPr>
        <w:t xml:space="preserve">Keywords: </w:t>
      </w:r>
      <w:r>
        <w:rPr>
          <w:rFonts w:ascii="Times New Roman" w:cs="Times New Roman" w:eastAsia="Times New Roman" w:hAnsi="Times New Roman"/>
          <w:sz w:val="240"/>
          <w:szCs w:val="240"/>
        </w:rPr>
        <w:t xml:space="preserve">Strait of Hormuz; DSGE model; financial contagion; China stabilization; rare disasters; monetary policy</w:t>
      </w:r>
    </w:p>
    <w:p>
      <w:pPr>
        <w:spacing w:after="240"/>
      </w:pPr>
      <w:r>
        <w:rPr>
          <w:rFonts w:ascii="Times New Roman" w:cs="Times New Roman" w:eastAsia="Times New Roman" w:hAnsi="Times New Roman"/>
          <w:b/>
          <w:bCs/>
          <w:sz w:val="240"/>
          <w:szCs w:val="240"/>
        </w:rPr>
        <w:t xml:space="preserve">JEL Classification: </w:t>
      </w:r>
      <w:r>
        <w:rPr>
          <w:rFonts w:ascii="Times New Roman" w:cs="Times New Roman" w:eastAsia="Times New Roman" w:hAnsi="Times New Roman"/>
          <w:sz w:val="240"/>
          <w:szCs w:val="240"/>
        </w:rPr>
        <w:t xml:space="preserve">E32, F41, F51, H56, Q43</w:t>
      </w:r>
    </w:p>
    <w:p>
      <w:r>
        <w:br w:type="page"/>
      </w:r>
    </w:p>
    <w:p>
      <w:pPr>
        <w:pStyle w:val="Heading1"/>
        <w:spacing w:after="120" w:before="360" w:line="360"/>
      </w:pPr>
      <w:r>
        <w:rPr>
          <w:rFonts w:ascii="Times New Roman" w:cs="Times New Roman" w:eastAsia="Times New Roman" w:hAnsi="Times New Roman"/>
          <w:b/>
          <w:bCs/>
          <w:caps/>
          <w:sz w:val="260"/>
          <w:szCs w:val="260"/>
        </w:rPr>
        <w:t xml:space="preserve">I. Introduction</w:t>
      </w:r>
    </w:p>
    <w:p>
      <w:pPr>
        <w:spacing w:after="160" w:line="360"/>
        <w:ind w:firstLine="720"/>
      </w:pPr>
      <w:r>
        <w:rPr>
          <w:rFonts w:ascii="Times New Roman" w:cs="Times New Roman" w:eastAsia="Times New Roman" w:hAnsi="Times New Roman"/>
          <w:sz w:val="240"/>
          <w:szCs w:val="240"/>
        </w:rPr>
        <w:t xml:space="preserve">Closing the Strait of Hormuz would cut off 20 percent of global petroleum trade in a single chokepoint. Yet the macroeconomics literature has no structural model of what such a closure would actually cost—or through which channels those costs would flow. Federle et al. (2026) document that wars reduce war-site GDP by roughly 10 percent and generate third-country spillovers through bilateral trade, but their reduced-form local projections cannot trace the energy, financial, and stabilization channels that activate when a single chokepoint seizes global commodity flows, nor can they answer the policy counterfactuals that motivate current strategic planning: How much does financial contagion amplify trade losses? Does aggressive monetary easing help? Would a Chinese stabilization effort matter, and if so, through which margin?</w:t>
      </w:r>
    </w:p>
    <w:p>
      <w:pPr>
        <w:spacing w:after="160" w:line="360"/>
        <w:ind w:firstLine="720"/>
      </w:pPr>
      <w:r>
        <w:rPr>
          <w:rFonts w:ascii="Times New Roman" w:cs="Times New Roman" w:eastAsia="Times New Roman" w:hAnsi="Times New Roman"/>
          <w:sz w:val="240"/>
          <w:szCs w:val="240"/>
        </w:rPr>
        <w:t xml:space="preserve">We answer these questions with a four-region New Keynesian DSGE model calibrated to a US-Israel military strike on Iran that triggers a Hormuz blockade. The four regions—Iran (war site), the US-Israel bloc (belligerent), China (stabilizer), and the rest of the world (ROW)—are each governed by a New Keynesian three-equation system and linked through a global oil market, bilateral trade flows, and a financial contagion matrix. We validate the financial linkage matrix empirically: a structural VAR(1) estimated on quarterly sovereign-spread data from four historical Middle East conflict episodes recovers transmission coefficients of +0.57 (Iran to US, t = 11.4) and +0.50 (Iran to ROW, t = 5.8), tightly bracketing our hand-calibrated values and confirming that the financial channel is real, not an artifact of parameterization. The model is then re-solved under second-order perturbation to quantify linearization bias, and nine policy counterfactuals map the welfare frontier across monetary, financial, and stabilization regimes.</w:t>
      </w:r>
    </w:p>
    <w:p>
      <w:pPr>
        <w:spacing w:after="160" w:line="360"/>
        <w:ind w:firstLine="720"/>
      </w:pPr>
      <w:r>
        <w:rPr>
          <w:rFonts w:ascii="Times New Roman" w:cs="Times New Roman" w:eastAsia="Times New Roman" w:hAnsi="Times New Roman"/>
          <w:b/>
          <w:bCs/>
          <w:sz w:val="240"/>
          <w:szCs w:val="240"/>
        </w:rPr>
        <w:t xml:space="preserve">Three contributions.  </w:t>
      </w:r>
      <w:r>
        <w:rPr>
          <w:rFonts w:ascii="Times New Roman" w:cs="Times New Roman" w:eastAsia="Times New Roman" w:hAnsi="Times New Roman"/>
          <w:sz w:val="240"/>
          <w:szCs w:val="240"/>
        </w:rPr>
        <w:t xml:space="preserve">Our structural analysis delivers three quantitative results that sharpen the policy debate in ways reduced-form estimates cannot.</w:t>
      </w:r>
    </w:p>
    <w:p>
      <w:pPr>
        <w:spacing w:after="160" w:line="360"/>
        <w:ind w:firstLine="720"/>
      </w:pPr>
      <w:r>
        <w:rPr>
          <w:rFonts w:ascii="Times New Roman" w:cs="Times New Roman" w:eastAsia="Times New Roman" w:hAnsi="Times New Roman"/>
          <w:i/>
          <w:iCs/>
          <w:sz w:val="240"/>
          <w:szCs w:val="240"/>
        </w:rPr>
        <w:t xml:space="preserve">First, financial frictions—not goods trade—are the dominant amplifier of a Hormuz closure.  </w:t>
      </w:r>
      <w:r>
        <w:rPr>
          <w:rFonts w:ascii="Times New Roman" w:cs="Times New Roman" w:eastAsia="Times New Roman" w:hAnsi="Times New Roman"/>
          <w:sz w:val="240"/>
          <w:szCs w:val="240"/>
        </w:rPr>
        <w:t xml:space="preserve">Sovereign risk premia, capital-flow reversals, and equity-market contagion raise ROW peak output losses from 1.1 percent (trade channel alone) to 3.8 percent, and account for 4.88 percentage points of cumulative global consumption-equivalent welfare loss—more than the entire trade channel. The VAR evidence confirms this is not a calibration choice: geopolitical shocks spread primarily through risk-off portfolio flows, as Caldara and Iacoviello (2022) document empirically. Macroprudential policy that limits cross-border contagion would therefore save more global welfare than any conceivable monetary intervention.</w:t>
      </w:r>
    </w:p>
    <w:p>
      <w:pPr>
        <w:spacing w:after="160" w:line="360"/>
        <w:ind w:firstLine="720"/>
      </w:pPr>
      <w:r>
        <w:rPr>
          <w:rFonts w:ascii="Times New Roman" w:cs="Times New Roman" w:eastAsia="Times New Roman" w:hAnsi="Times New Roman"/>
          <w:i/>
          <w:iCs/>
          <w:sz w:val="240"/>
          <w:szCs w:val="240"/>
        </w:rPr>
        <w:t xml:space="preserve">Second, conventional monetary policy is impotent against rare-disaster supply shocks.  </w:t>
      </w:r>
      <w:r>
        <w:rPr>
          <w:rFonts w:ascii="Times New Roman" w:cs="Times New Roman" w:eastAsia="Times New Roman" w:hAnsi="Times New Roman"/>
          <w:sz w:val="240"/>
          <w:szCs w:val="240"/>
        </w:rPr>
        <w:t xml:space="preserve">Nine counterfactuals spanning φπ ∈ [1.0, 2.5], coordinated demand support, and selective financial-channel suppression reveal that the global welfare difference between an aggressive and a dovish central bank is less than 0.11 percentage points. A 27 percent war-site GDP collapse and a 63 percent oil price spike together exhaust the demand-management capacity of any standard Taylor rule. In catastrophic supply shocks, the policy lever is not the interest rate but supply-chain resilience and energy security (Barro 2006).</w:t>
      </w:r>
    </w:p>
    <w:p>
      <w:pPr>
        <w:spacing w:after="160" w:line="360"/>
        <w:ind w:firstLine="720"/>
      </w:pPr>
      <w:r>
        <w:rPr>
          <w:rFonts w:ascii="Times New Roman" w:cs="Times New Roman" w:eastAsia="Times New Roman" w:hAnsi="Times New Roman"/>
          <w:i/>
          <w:iCs/>
          <w:sz w:val="240"/>
          <w:szCs w:val="240"/>
        </w:rPr>
        <w:t xml:space="preserve">Third, China's manufacturing capacity—not its strategic petroleum reserve—is the binding stabilization margin.  </w:t>
      </w:r>
      <w:r>
        <w:rPr>
          <w:rFonts w:ascii="Times New Roman" w:cs="Times New Roman" w:eastAsia="Times New Roman" w:hAnsi="Times New Roman"/>
          <w:sz w:val="240"/>
          <w:szCs w:val="240"/>
        </w:rPr>
        <w:t xml:space="preserve">China's triple mechanism (SPR releases, renewable substitution, manufacturing expansion) reduces cumulative global GDP losses by $2.2 trillion and cuts peak global inflation by 0.29 percentage points. Under endogenous reaction functions, the SPR rule hits its physical capacity ceiling from the first quarter onward, making additional reserves worthless at the margin. Doubling the manufacturing reaction coefficient saves 0.70 percentage points of China's own welfare. In geopolitical crises, China's diversified industrial base functions as a global supply-chain buffer, generating positive externalities for third countries rather than competitive disruption (Autor, Dorn, and Hanson 2013).</w:t>
      </w:r>
    </w:p>
    <w:p>
      <w:pPr>
        <w:spacing w:after="160" w:line="360"/>
        <w:ind w:firstLine="720"/>
      </w:pPr>
      <w:r>
        <w:rPr>
          <w:rFonts w:ascii="Times New Roman" w:cs="Times New Roman" w:eastAsia="Times New Roman" w:hAnsi="Times New Roman"/>
          <w:b/>
          <w:bCs/>
          <w:sz w:val="240"/>
          <w:szCs w:val="240"/>
        </w:rPr>
        <w:t xml:space="preserve">Robustness.  </w:t>
      </w:r>
      <w:r>
        <w:rPr>
          <w:rFonts w:ascii="Times New Roman" w:cs="Times New Roman" w:eastAsia="Times New Roman" w:hAnsi="Times New Roman"/>
          <w:sz w:val="240"/>
          <w:szCs w:val="240"/>
        </w:rPr>
        <w:t xml:space="preserve">The 5.9 percentage-point linearization bias detected via second-order perturbation is concentrated in the war site and does not alter the cross-regional spillover pattern, the monetary-policy impotence result, or the manufacturing-over-reserves ranking. All three findings survive replacement of the calibrated financial matrix with the VAR-estimated matrix (welfare numbers shift by less than 5 percent) and replacement of deterministic stabilization paths with endogenous reaction functions. Section VI documents these checks; the Online Appendix provides the full VAR estimation and perturbation algorithm.</w:t>
      </w:r>
    </w:p>
    <w:p>
      <w:pPr>
        <w:spacing w:after="160" w:line="360"/>
        <w:ind w:firstLine="720"/>
      </w:pPr>
      <w:r>
        <w:rPr>
          <w:rFonts w:ascii="Times New Roman" w:cs="Times New Roman" w:eastAsia="Times New Roman" w:hAnsi="Times New Roman"/>
          <w:sz w:val="240"/>
          <w:szCs w:val="240"/>
        </w:rPr>
        <w:t xml:space="preserve">Sections II–IV present the literature, model, and calibration. Section V reports baseline results. Section VI presents robustness exercises. Section VII draws policy implications.</w:t>
      </w:r>
    </w:p>
    <w:p>
      <w:pPr>
        <w:pStyle w:val="Heading1"/>
        <w:spacing w:after="120" w:before="360" w:line="360"/>
      </w:pPr>
      <w:r>
        <w:rPr>
          <w:rFonts w:ascii="Times New Roman" w:cs="Times New Roman" w:eastAsia="Times New Roman" w:hAnsi="Times New Roman"/>
          <w:b/>
          <w:bCs/>
          <w:caps/>
          <w:sz w:val="260"/>
          <w:szCs w:val="260"/>
        </w:rPr>
        <w:t xml:space="preserve">II. Related Literature</w:t>
      </w:r>
    </w:p>
    <w:p>
      <w:pPr>
        <w:spacing w:after="160" w:line="360"/>
        <w:ind w:firstLine="720"/>
      </w:pPr>
      <w:r>
        <w:rPr>
          <w:rFonts w:ascii="Times New Roman" w:cs="Times New Roman" w:eastAsia="Times New Roman" w:hAnsi="Times New Roman"/>
          <w:sz w:val="240"/>
          <w:szCs w:val="240"/>
        </w:rPr>
        <w:t xml:space="preserve">Four strands of the literature bear directly on our analysis.</w:t>
      </w:r>
    </w:p>
    <w:p>
      <w:pPr>
        <w:spacing w:after="160" w:line="360"/>
        <w:ind w:firstLine="720"/>
      </w:pPr>
      <w:r>
        <w:rPr>
          <w:rFonts w:ascii="Times New Roman" w:cs="Times New Roman" w:eastAsia="Times New Roman" w:hAnsi="Times New Roman"/>
          <w:b/>
          <w:bCs/>
          <w:sz w:val="240"/>
          <w:szCs w:val="240"/>
        </w:rPr>
        <w:t xml:space="preserve">The economics of war and conflict.  </w:t>
      </w:r>
      <w:r>
        <w:rPr>
          <w:rFonts w:ascii="Times New Roman" w:cs="Times New Roman" w:eastAsia="Times New Roman" w:hAnsi="Times New Roman"/>
          <w:sz w:val="240"/>
          <w:szCs w:val="240"/>
        </w:rPr>
        <w:t xml:space="preserve">Wars reduce war-site GDP by roughly 10 percent on average; the spillover to third countries flows primarily through bilateral trade exposure (Federle et al. 2026). Reduced-form local projections identify these magnitudes cleanly but cannot decompose them into energy, financial, and supply-chain components, nor can they counterfactually vary policy. Abadie and Gardeazabal (2003) and Barro (2006) establish the foundational methodology—synthetic control and rare-disaster pricing—that we extend into a multi-channel structural framework. Our model uses Federle et al.'s estimated moments as calibration targets and embeds them in a DSGE environment that permits counterfactual analysis.</w:t>
      </w:r>
    </w:p>
    <w:p>
      <w:pPr>
        <w:spacing w:after="160" w:line="360"/>
        <w:ind w:firstLine="720"/>
      </w:pPr>
      <w:r>
        <w:rPr>
          <w:rFonts w:ascii="Times New Roman" w:cs="Times New Roman" w:eastAsia="Times New Roman" w:hAnsi="Times New Roman"/>
          <w:b/>
          <w:bCs/>
          <w:sz w:val="240"/>
          <w:szCs w:val="240"/>
        </w:rPr>
        <w:t xml:space="preserve">DSGE models of geopolitical risk.  </w:t>
      </w:r>
      <w:r>
        <w:rPr>
          <w:rFonts w:ascii="Times New Roman" w:cs="Times New Roman" w:eastAsia="Times New Roman" w:hAnsi="Times New Roman"/>
          <w:sz w:val="240"/>
          <w:szCs w:val="240"/>
        </w:rPr>
        <w:t xml:space="preserve">Caldara and Iacoviello (2022) show that geopolitical risk shocks reduce investment and output significantly, with transmission concentrated in financial markets rather than goods trade—the same channel ordering our model confirms. Bodenstein, Erceg, and Guerrieri (2011) develop the two-country open-economy DSGE framework with oil that we extend to four regions; their calibration of short-run oil elasticities (|εᵂ| = 0.05, εₛ = 0.10) is standard in the literature. The key innovation in our paper is an empirically estimated cross-regional financial contagion matrix, validated using VAR evidence rather than assumed.</w:t>
      </w:r>
    </w:p>
    <w:p>
      <w:pPr>
        <w:spacing w:after="160" w:line="360"/>
        <w:ind w:firstLine="720"/>
      </w:pPr>
      <w:r>
        <w:rPr>
          <w:rFonts w:ascii="Times New Roman" w:cs="Times New Roman" w:eastAsia="Times New Roman" w:hAnsi="Times New Roman"/>
          <w:b/>
          <w:bCs/>
          <w:sz w:val="240"/>
          <w:szCs w:val="240"/>
        </w:rPr>
        <w:t xml:space="preserve">Oil shocks and the macroeconomy.  </w:t>
      </w:r>
      <w:r>
        <w:rPr>
          <w:rFonts w:ascii="Times New Roman" w:cs="Times New Roman" w:eastAsia="Times New Roman" w:hAnsi="Times New Roman"/>
          <w:sz w:val="240"/>
          <w:szCs w:val="240"/>
        </w:rPr>
        <w:t xml:space="preserve">Hamilton (1983) establishes that oil supply disruptions cause recessions; Kilian (2009) shows the mechanism depends on whether the shock is supply- or demand-driven; and Blanchard and Gali (2007) document that reduced energy intensity and better monetary policy have dampened oil-shock pass-through since the 1980s. The Hormuz scenario is a textbook supply disruption—exogenous to demand, concentrated in a chokepoint, and larger in magnitude than any peacetime disruption. Our model captures region-specific αₑ,ᵢ energy-intensity parameters to track heterogeneous pass-through differentials.</w:t>
      </w:r>
    </w:p>
    <w:p>
      <w:pPr>
        <w:spacing w:after="160" w:line="360"/>
        <w:ind w:firstLine="720"/>
      </w:pPr>
      <w:r>
        <w:rPr>
          <w:rFonts w:ascii="Times New Roman" w:cs="Times New Roman" w:eastAsia="Times New Roman" w:hAnsi="Times New Roman"/>
          <w:b/>
          <w:bCs/>
          <w:sz w:val="240"/>
          <w:szCs w:val="240"/>
        </w:rPr>
        <w:t xml:space="preserve">China's global economic role.  </w:t>
      </w:r>
      <w:r>
        <w:rPr>
          <w:rFonts w:ascii="Times New Roman" w:cs="Times New Roman" w:eastAsia="Times New Roman" w:hAnsi="Times New Roman"/>
          <w:sz w:val="240"/>
          <w:szCs w:val="240"/>
        </w:rPr>
        <w:t xml:space="preserve">Autor, Dorn, and Hanson (2013) document that China's export expansion generates large negative employment effects in advanced economies. Helveston, He, and Davidson (2019) show that China's solar supply chain has dramatically reduced global renewable energy costs—the same type of positive externality that our manufacturing stabilization channel formalizes in a crisis context. Zhang, Ji, and Kiohos (2020) analyze China's SPR using a DSGE model and find reserve releases effective at dampening oil price volatility. Our finding that SPR releases hit their physical ceiling while manufacturing capacity remains slack extends Zhang et al.'s framework by modeling each stabilization channel separately and ranking them by welfare impact.</w:t>
      </w:r>
    </w:p>
    <w:p>
      <w:pPr>
        <w:spacing w:after="160" w:line="360"/>
        <w:ind w:firstLine="720"/>
      </w:pPr>
      <w:r>
        <w:rPr>
          <w:rFonts w:ascii="Times New Roman" w:cs="Times New Roman" w:eastAsia="Times New Roman" w:hAnsi="Times New Roman"/>
          <w:b/>
          <w:bCs/>
          <w:sz w:val="240"/>
          <w:szCs w:val="240"/>
        </w:rPr>
        <w:t xml:space="preserve">Financial contagion and sovereign risk.  </w:t>
      </w:r>
      <w:r>
        <w:rPr>
          <w:rFonts w:ascii="Times New Roman" w:cs="Times New Roman" w:eastAsia="Times New Roman" w:hAnsi="Times New Roman"/>
          <w:sz w:val="240"/>
          <w:szCs w:val="240"/>
        </w:rPr>
        <w:t xml:space="preserve">The financial channels build on Longstaff et al. (2011) who study contagion in sovereign CDS markets, and Rey (2015) who documents the global financial cycle. Our financial contagion matrix captures cross-regional transmission of sovereign spreads, amplified through a global risk aversion factor that responds to capital flight from the conflict zone.</w:t>
      </w:r>
    </w:p>
    <w:p>
      <w:pPr>
        <w:pStyle w:val="Heading1"/>
        <w:spacing w:after="120" w:before="360" w:line="360"/>
      </w:pPr>
      <w:r>
        <w:rPr>
          <w:rFonts w:ascii="Times New Roman" w:cs="Times New Roman" w:eastAsia="Times New Roman" w:hAnsi="Times New Roman"/>
          <w:b/>
          <w:bCs/>
          <w:caps/>
          <w:sz w:val="260"/>
          <w:szCs w:val="260"/>
        </w:rPr>
        <w:t xml:space="preserve">III. The Model</w:t>
      </w:r>
    </w:p>
    <w:p>
      <w:pPr>
        <w:spacing w:after="160" w:line="360"/>
        <w:ind w:firstLine="720"/>
      </w:pPr>
      <w:r>
        <w:rPr>
          <w:rFonts w:ascii="Times New Roman" w:cs="Times New Roman" w:eastAsia="Times New Roman" w:hAnsi="Times New Roman"/>
          <w:sz w:val="240"/>
          <w:szCs w:val="240"/>
        </w:rPr>
        <w:t xml:space="preserve">The Strait of Hormuz closure creates three analytically distinct transmission channels: a supply-cost channel (oil prices), a demand-destruction channel (trade disruption and capital flight), and a contagion channel (sovereign spreads spreading risk across borders). We build a four-region New Keynesian DSGE in which regions are linked through a global oil market, bilateral trade flows, and a financial contagion matrix. Each region i ∈ {Iran, US-Israel, China, ROW} is characterized by a representative household, a continuum of monopolistically competitive firms, and a central bank following a Taylor rule. Three modeling choices distinguish the framework from a standard open-economy New Keynesian model.</w:t>
      </w:r>
    </w:p>
    <w:p>
      <w:pPr>
        <w:spacing w:after="160" w:line="360"/>
        <w:ind w:firstLine="720"/>
      </w:pPr>
      <w:r>
        <w:rPr>
          <w:rFonts w:ascii="Times New Roman" w:cs="Times New Roman" w:eastAsia="Times New Roman" w:hAnsi="Times New Roman"/>
          <w:i/>
          <w:iCs/>
          <w:sz w:val="240"/>
          <w:szCs w:val="240"/>
        </w:rPr>
        <w:t xml:space="preserve">(1) Chokepoint oil market.  </w:t>
      </w:r>
      <w:r>
        <w:rPr>
          <w:rFonts w:ascii="Times New Roman" w:cs="Times New Roman" w:eastAsia="Times New Roman" w:hAnsi="Times New Roman"/>
          <w:sz w:val="240"/>
          <w:szCs w:val="240"/>
        </w:rPr>
        <w:t xml:space="preserve">Rather than treating oil as a symmetric bilateral trade flow, we model the Strait of Hormuz as a transit node through which 20 percent of global supply routes, so that a blockade disrupts all transit—not just Iran's bilateral exports. This is necessary because the welfare costs operate primarily through the global oil-price channel, not Iran's bilateral trade.</w:t>
      </w:r>
    </w:p>
    <w:p>
      <w:pPr>
        <w:spacing w:after="160" w:line="360"/>
        <w:ind w:firstLine="720"/>
      </w:pPr>
      <w:r>
        <w:rPr>
          <w:rFonts w:ascii="Times New Roman" w:cs="Times New Roman" w:eastAsia="Times New Roman" w:hAnsi="Times New Roman"/>
          <w:i/>
          <w:iCs/>
          <w:sz w:val="240"/>
          <w:szCs w:val="240"/>
        </w:rPr>
        <w:t xml:space="preserve">(2) Financial contagion matrix.  </w:t>
      </w:r>
      <w:r>
        <w:rPr>
          <w:rFonts w:ascii="Times New Roman" w:cs="Times New Roman" w:eastAsia="Times New Roman" w:hAnsi="Times New Roman"/>
          <w:sz w:val="240"/>
          <w:szCs w:val="240"/>
        </w:rPr>
        <w:t xml:space="preserve">We augment the standard IS-PC-TR block with sovereign spreads, capital flows, and equity prices linked across regions by a 4×4 financial transmission matrix. This is motivated by Caldara and Iacoviello (2022) and validated by the VAR evidence in Section VI.</w:t>
      </w:r>
    </w:p>
    <w:p>
      <w:pPr>
        <w:spacing w:after="160" w:line="360"/>
        <w:ind w:firstLine="720"/>
      </w:pPr>
      <w:r>
        <w:rPr>
          <w:rFonts w:ascii="Times New Roman" w:cs="Times New Roman" w:eastAsia="Times New Roman" w:hAnsi="Times New Roman"/>
          <w:i/>
          <w:iCs/>
          <w:sz w:val="240"/>
          <w:szCs w:val="240"/>
        </w:rPr>
        <w:t xml:space="preserve">(3) China's triple stabilization.  </w:t>
      </w:r>
      <w:r>
        <w:rPr>
          <w:rFonts w:ascii="Times New Roman" w:cs="Times New Roman" w:eastAsia="Times New Roman" w:hAnsi="Times New Roman"/>
          <w:sz w:val="240"/>
          <w:szCs w:val="240"/>
        </w:rPr>
        <w:t xml:space="preserve">We model China's SPR, renewable substitution, and manufacturing expansion as three distinct policy instruments with different temporal profiles and capacity constraints—necessary to identify which margin binds.</w:t>
      </w:r>
    </w:p>
    <w:p>
      <w:pPr>
        <w:pStyle w:val="Heading2"/>
        <w:spacing w:after="80" w:before="280" w:line="360"/>
      </w:pPr>
      <w:r>
        <w:rPr>
          <w:rFonts w:ascii="Times New Roman" w:cs="Times New Roman" w:eastAsia="Times New Roman" w:hAnsi="Times New Roman"/>
          <w:b/>
          <w:bCs/>
          <w:i/>
          <w:iCs/>
          <w:sz w:val="240"/>
          <w:szCs w:val="240"/>
        </w:rPr>
        <w:t xml:space="preserve">III.A  Regional Equilibrium</w:t>
      </w:r>
    </w:p>
    <w:p>
      <w:pPr>
        <w:spacing w:after="160" w:line="360"/>
        <w:ind w:firstLine="720"/>
      </w:pPr>
      <w:r>
        <w:rPr>
          <w:rFonts w:ascii="Times New Roman" w:cs="Times New Roman" w:eastAsia="Times New Roman" w:hAnsi="Times New Roman"/>
          <w:sz w:val="240"/>
          <w:szCs w:val="240"/>
        </w:rPr>
        <w:t xml:space="preserve">Three equations govern each region: a New Keynesian Phillips curve (supply), an augmented IS curve (demand), and a Taylor rule (monetary policy).</w:t>
      </w:r>
    </w:p>
    <w:p>
      <w:pPr>
        <w:pStyle w:val="Heading3"/>
        <w:spacing w:after="60" w:before="200" w:line="360"/>
      </w:pPr>
      <w:r>
        <w:rPr>
          <w:rFonts w:ascii="Times New Roman" w:cs="Times New Roman" w:eastAsia="Times New Roman" w:hAnsi="Times New Roman"/>
          <w:b/>
          <w:bCs/>
          <w:sz w:val="240"/>
          <w:szCs w:val="240"/>
        </w:rPr>
        <w:t xml:space="preserve">III.A.1  New Keynesian Phillips Curve</w:t>
      </w:r>
    </w:p>
    <w:p>
      <w:pPr>
        <w:spacing w:after="160" w:line="360"/>
        <w:ind w:firstLine="720"/>
      </w:pPr>
      <w:r>
        <w:rPr>
          <w:rFonts w:ascii="Times New Roman" w:cs="Times New Roman" w:eastAsia="Times New Roman" w:hAnsi="Times New Roman"/>
          <w:sz w:val="240"/>
          <w:szCs w:val="240"/>
        </w:rPr>
        <w:t xml:space="preserve">Supply dynamics follow a Calvo-pricing Phillips curve augmented with an energy pass-through term and a physical destruction term. The energy term is necessary because the oil price spike acts as a cost-push shock whose magnitude is proportional to each region's energy intensity; omitting it would force the model to attribute oil-driven inflation to demand, reversing the identification of the monetary-policy experiment.</w:t>
      </w:r>
    </w:p>
    <w:p>
      <w:pPr>
        <w:tabs>
          <w:tab w:val="right" w:pos="9360"/>
        </w:tabs>
        <w:spacing w:after="120" w:before="120" w:line="360"/>
        <w:jc w:val="center"/>
      </w:pPr>
      <w:r>
        <w:rPr>
          <w:rFonts w:ascii="Times New Roman" w:cs="Times New Roman" w:eastAsia="Times New Roman" w:hAnsi="Times New Roman"/>
          <w:i/>
          <w:iCs/>
          <w:sz w:val="240"/>
          <w:szCs w:val="240"/>
        </w:rPr>
        <w:t xml:space="preserve">πᵢ,t  =  β Eₜ[πᵢ,t+1]  +  κᵢ ŷᵢ,t-1  +  ξˢᵘᵘᵙʳʸ  ᵢ,t</w:t>
      </w:r>
      <w:r>
        <w:rPr>
          <w:rFonts w:ascii="Times New Roman" w:cs="Times New Roman" w:eastAsia="Times New Roman" w:hAnsi="Times New Roman"/>
          <w:sz w:val="240"/>
          <w:szCs w:val="240"/>
        </w:rPr>
        <w:t xml:space="preserve">	(1)</w:t>
      </w:r>
    </w:p>
    <w:p>
      <w:pPr>
        <w:spacing w:after="160" w:line="360"/>
        <w:ind w:firstLine="720"/>
      </w:pPr>
      <w:r>
        <w:rPr>
          <w:rFonts w:ascii="Times New Roman" w:cs="Times New Roman" w:eastAsia="Times New Roman" w:hAnsi="Times New Roman"/>
          <w:sz w:val="240"/>
          <w:szCs w:val="240"/>
        </w:rPr>
        <w:t xml:space="preserve">where π</w:t>
      </w:r>
      <w:r>
        <w:rPr>
          <w:rFonts w:ascii="Times New Roman" w:cs="Times New Roman" w:eastAsia="Times New Roman" w:hAnsi="Times New Roman"/>
          <w:sz w:val="240"/>
          <w:szCs w:val="240"/>
        </w:rPr>
        <w:t xml:space="preserve">i,t</w:t>
      </w:r>
      <w:r>
        <w:rPr>
          <w:rFonts w:ascii="Times New Roman" w:cs="Times New Roman" w:eastAsia="Times New Roman" w:hAnsi="Times New Roman"/>
          <w:sz w:val="240"/>
          <w:szCs w:val="240"/>
        </w:rPr>
        <w:t xml:space="preserve"> is inflation, ŷ</w:t>
      </w:r>
      <w:r>
        <w:rPr>
          <w:rFonts w:ascii="Times New Roman" w:cs="Times New Roman" w:eastAsia="Times New Roman" w:hAnsi="Times New Roman"/>
          <w:sz w:val="240"/>
          <w:szCs w:val="240"/>
        </w:rPr>
        <w:t xml:space="preserve">i,t</w:t>
      </w:r>
      <w:r>
        <w:rPr>
          <w:rFonts w:ascii="Times New Roman" w:cs="Times New Roman" w:eastAsia="Times New Roman" w:hAnsi="Times New Roman"/>
          <w:sz w:val="240"/>
          <w:szCs w:val="240"/>
        </w:rPr>
        <w:t xml:space="preserve"> is the output gap, β is the discount factor, and κ</w:t>
      </w:r>
      <w:r>
        <w:rPr>
          <w:rFonts w:ascii="Times New Roman" w:cs="Times New Roman" w:eastAsia="Times New Roman" w:hAnsi="Times New Roman"/>
          <w:sz w:val="240"/>
          <w:szCs w:val="240"/>
        </w:rPr>
        <w:t xml:space="preserve">i</w:t>
      </w:r>
      <w:r>
        <w:rPr>
          <w:rFonts w:ascii="Times New Roman" w:cs="Times New Roman" w:eastAsia="Times New Roman" w:hAnsi="Times New Roman"/>
          <w:sz w:val="240"/>
          <w:szCs w:val="240"/>
        </w:rPr>
        <w:t xml:space="preserve"> is the region-specific slope of the Phillips curve. The supply shock ξ</w:t>
      </w:r>
      <w:r>
        <w:rPr>
          <w:rFonts w:ascii="Times New Roman" w:cs="Times New Roman" w:eastAsia="Times New Roman" w:hAnsi="Times New Roman"/>
          <w:sz w:val="240"/>
          <w:szCs w:val="240"/>
        </w:rPr>
        <w:t xml:space="preserve">supply</w:t>
      </w:r>
      <w:r>
        <w:rPr>
          <w:rFonts w:ascii="Times New Roman" w:cs="Times New Roman" w:eastAsia="Times New Roman" w:hAnsi="Times New Roman"/>
          <w:sz w:val="240"/>
          <w:szCs w:val="240"/>
        </w:rPr>
        <w:t xml:space="preserve">i,t</w:t>
      </w:r>
      <w:r>
        <w:rPr>
          <w:rFonts w:ascii="Times New Roman" w:cs="Times New Roman" w:eastAsia="Times New Roman" w:hAnsi="Times New Roman"/>
          <w:sz w:val="240"/>
          <w:szCs w:val="240"/>
        </w:rPr>
        <w:t xml:space="preserve"> combines energy cost pass-through and physical destruction:  ξ</w:t>
      </w:r>
      <w:r>
        <w:rPr>
          <w:rFonts w:ascii="Times New Roman" w:cs="Times New Roman" w:eastAsia="Times New Roman" w:hAnsi="Times New Roman"/>
          <w:sz w:val="240"/>
          <w:szCs w:val="240"/>
        </w:rPr>
        <w:t xml:space="preserve">supply</w:t>
      </w:r>
      <w:r>
        <w:rPr>
          <w:rFonts w:ascii="Times New Roman" w:cs="Times New Roman" w:eastAsia="Times New Roman" w:hAnsi="Times New Roman"/>
          <w:sz w:val="240"/>
          <w:szCs w:val="240"/>
        </w:rPr>
        <w:t xml:space="preserve">i,t</w:t>
      </w:r>
      <w:r>
        <w:rPr>
          <w:rFonts w:ascii="Times New Roman" w:cs="Times New Roman" w:eastAsia="Times New Roman" w:hAnsi="Times New Roman"/>
          <w:sz w:val="240"/>
          <w:szCs w:val="240"/>
        </w:rPr>
        <w:t xml:space="preserve"> = α</w:t>
      </w:r>
      <w:r>
        <w:rPr>
          <w:rFonts w:ascii="Times New Roman" w:cs="Times New Roman" w:eastAsia="Times New Roman" w:hAnsi="Times New Roman"/>
          <w:sz w:val="240"/>
          <w:szCs w:val="240"/>
        </w:rPr>
        <w:t xml:space="preserve">e,i</w:t>
      </w:r>
      <w:r>
        <w:rPr>
          <w:rFonts w:ascii="Times New Roman" w:cs="Times New Roman" w:eastAsia="Times New Roman" w:hAnsi="Times New Roman"/>
          <w:sz w:val="240"/>
          <w:szCs w:val="240"/>
        </w:rPr>
        <w:t xml:space="preserve"> · max(Δp</w:t>
      </w:r>
      <w:r>
        <w:rPr>
          <w:rFonts w:ascii="Times New Roman" w:cs="Times New Roman" w:eastAsia="Times New Roman" w:hAnsi="Times New Roman"/>
          <w:sz w:val="240"/>
          <w:szCs w:val="240"/>
        </w:rPr>
        <w:t xml:space="preserve">oil</w:t>
      </w:r>
      <w:r>
        <w:rPr>
          <w:rFonts w:ascii="Times New Roman" w:cs="Times New Roman" w:eastAsia="Times New Roman" w:hAnsi="Times New Roman"/>
          <w:sz w:val="240"/>
          <w:szCs w:val="240"/>
        </w:rPr>
        <w:t xml:space="preserve">t</w:t>
      </w:r>
      <w:r>
        <w:rPr>
          <w:rFonts w:ascii="Times New Roman" w:cs="Times New Roman" w:eastAsia="Times New Roman" w:hAnsi="Times New Roman"/>
          <w:sz w:val="240"/>
          <w:szCs w:val="240"/>
        </w:rPr>
        <w:t xml:space="preserve">, 0) · 0.6 + δ</w:t>
      </w:r>
      <w:r>
        <w:rPr>
          <w:rFonts w:ascii="Times New Roman" w:cs="Times New Roman" w:eastAsia="Times New Roman" w:hAnsi="Times New Roman"/>
          <w:sz w:val="240"/>
          <w:szCs w:val="240"/>
        </w:rPr>
        <w:t xml:space="preserve">destroy</w:t>
      </w:r>
      <w:r>
        <w:rPr>
          <w:rFonts w:ascii="Times New Roman" w:cs="Times New Roman" w:eastAsia="Times New Roman" w:hAnsi="Times New Roman"/>
          <w:sz w:val="240"/>
          <w:szCs w:val="240"/>
        </w:rPr>
        <w:t xml:space="preserve">i,t</w:t>
      </w:r>
      <w:r>
        <w:rPr>
          <w:rFonts w:ascii="Times New Roman" w:cs="Times New Roman" w:eastAsia="Times New Roman" w:hAnsi="Times New Roman"/>
          <w:sz w:val="240"/>
          <w:szCs w:val="240"/>
        </w:rPr>
        <w:t xml:space="preserve"> · 0.8 − χ</w:t>
      </w:r>
      <w:r>
        <w:rPr>
          <w:rFonts w:ascii="Times New Roman" w:cs="Times New Roman" w:eastAsia="Times New Roman" w:hAnsi="Times New Roman"/>
          <w:sz w:val="240"/>
          <w:szCs w:val="240"/>
        </w:rPr>
        <w:t xml:space="preserve">mfg</w:t>
      </w:r>
      <w:r>
        <w:rPr>
          <w:rFonts w:ascii="Times New Roman" w:cs="Times New Roman" w:eastAsia="Times New Roman" w:hAnsi="Times New Roman"/>
          <w:sz w:val="240"/>
          <w:szCs w:val="240"/>
        </w:rPr>
        <w:t xml:space="preserve">t</w:t>
      </w:r>
      <w:r>
        <w:rPr>
          <w:rFonts w:ascii="Times New Roman" w:cs="Times New Roman" w:eastAsia="Times New Roman" w:hAnsi="Times New Roman"/>
          <w:sz w:val="240"/>
          <w:szCs w:val="240"/>
        </w:rPr>
        <w:t xml:space="preserve"> · ω</w:t>
      </w:r>
      <w:r>
        <w:rPr>
          <w:rFonts w:ascii="Times New Roman" w:cs="Times New Roman" w:eastAsia="Times New Roman" w:hAnsi="Times New Roman"/>
          <w:sz w:val="240"/>
          <w:szCs w:val="240"/>
        </w:rPr>
        <w:t xml:space="preserve">i</w:t>
      </w:r>
      <w:r>
        <w:rPr>
          <w:rFonts w:ascii="Times New Roman" w:cs="Times New Roman" w:eastAsia="Times New Roman" w:hAnsi="Times New Roman"/>
          <w:sz w:val="240"/>
          <w:szCs w:val="240"/>
        </w:rPr>
        <w:t xml:space="preserve"> · 0.2,  where α</w:t>
      </w:r>
      <w:r>
        <w:rPr>
          <w:rFonts w:ascii="Times New Roman" w:cs="Times New Roman" w:eastAsia="Times New Roman" w:hAnsi="Times New Roman"/>
          <w:sz w:val="240"/>
          <w:szCs w:val="240"/>
        </w:rPr>
        <w:t xml:space="preserve">e,i</w:t>
      </w:r>
      <w:r>
        <w:rPr>
          <w:rFonts w:ascii="Times New Roman" w:cs="Times New Roman" w:eastAsia="Times New Roman" w:hAnsi="Times New Roman"/>
          <w:sz w:val="240"/>
          <w:szCs w:val="240"/>
        </w:rPr>
        <w:t xml:space="preserve"> is the energy share in production, δ</w:t>
      </w:r>
      <w:r>
        <w:rPr>
          <w:rFonts w:ascii="Times New Roman" w:cs="Times New Roman" w:eastAsia="Times New Roman" w:hAnsi="Times New Roman"/>
          <w:sz w:val="240"/>
          <w:szCs w:val="240"/>
        </w:rPr>
        <w:t xml:space="preserve">destroy</w:t>
      </w:r>
      <w:r>
        <w:rPr>
          <w:rFonts w:ascii="Times New Roman" w:cs="Times New Roman" w:eastAsia="Times New Roman" w:hAnsi="Times New Roman"/>
          <w:sz w:val="240"/>
          <w:szCs w:val="240"/>
        </w:rPr>
        <w:t xml:space="preserve">i,t</w:t>
      </w:r>
      <w:r>
        <w:rPr>
          <w:rFonts w:ascii="Times New Roman" w:cs="Times New Roman" w:eastAsia="Times New Roman" w:hAnsi="Times New Roman"/>
          <w:sz w:val="240"/>
          <w:szCs w:val="240"/>
        </w:rPr>
        <w:t xml:space="preserve"> is physical capital destruction (nonzero only for Iran), and χ</w:t>
      </w:r>
      <w:r>
        <w:rPr>
          <w:rFonts w:ascii="Times New Roman" w:cs="Times New Roman" w:eastAsia="Times New Roman" w:hAnsi="Times New Roman"/>
          <w:sz w:val="240"/>
          <w:szCs w:val="240"/>
        </w:rPr>
        <w:t xml:space="preserve">mfg</w:t>
      </w:r>
      <w:r>
        <w:rPr>
          <w:rFonts w:ascii="Times New Roman" w:cs="Times New Roman" w:eastAsia="Times New Roman" w:hAnsi="Times New Roman"/>
          <w:sz w:val="240"/>
          <w:szCs w:val="240"/>
        </w:rPr>
        <w:t xml:space="preserve">t</w:t>
      </w:r>
      <w:r>
        <w:rPr>
          <w:rFonts w:ascii="Times New Roman" w:cs="Times New Roman" w:eastAsia="Times New Roman" w:hAnsi="Times New Roman"/>
          <w:sz w:val="240"/>
          <w:szCs w:val="240"/>
        </w:rPr>
        <w:t xml:space="preserve"> is China's manufacturing substitution effect with ω</w:t>
      </w:r>
      <w:r>
        <w:rPr>
          <w:rFonts w:ascii="Times New Roman" w:cs="Times New Roman" w:eastAsia="Times New Roman" w:hAnsi="Times New Roman"/>
          <w:sz w:val="240"/>
          <w:szCs w:val="240"/>
        </w:rPr>
        <w:t xml:space="preserve">i</w:t>
      </w:r>
      <w:r>
        <w:rPr>
          <w:rFonts w:ascii="Times New Roman" w:cs="Times New Roman" w:eastAsia="Times New Roman" w:hAnsi="Times New Roman"/>
          <w:sz w:val="240"/>
          <w:szCs w:val="240"/>
        </w:rPr>
        <w:t xml:space="preserve"> measuring trade openness.</w:t>
      </w:r>
    </w:p>
    <w:p>
      <w:pPr>
        <w:pStyle w:val="Heading3"/>
        <w:spacing w:after="60" w:before="200" w:line="360"/>
      </w:pPr>
      <w:r>
        <w:rPr>
          <w:rFonts w:ascii="Times New Roman" w:cs="Times New Roman" w:eastAsia="Times New Roman" w:hAnsi="Times New Roman"/>
          <w:b/>
          <w:bCs/>
          <w:sz w:val="240"/>
          <w:szCs w:val="240"/>
        </w:rPr>
        <w:t xml:space="preserve">III.A.2  IS Curve with Financial Conditions</w:t>
      </w:r>
    </w:p>
    <w:p>
      <w:pPr>
        <w:spacing w:after="160" w:line="360"/>
        <w:ind w:firstLine="720"/>
      </w:pPr>
      <w:r>
        <w:rPr>
          <w:rFonts w:ascii="Times New Roman" w:cs="Times New Roman" w:eastAsia="Times New Roman" w:hAnsi="Times New Roman"/>
          <w:sz w:val="240"/>
          <w:szCs w:val="240"/>
        </w:rPr>
        <w:t xml:space="preserve">The demand side features an augmented IS curve. Military spending enters because the US-Israel bloc's Keynesian stimulus directly offsets private-sector demand losses. The energy-cost term compresses real incomes for net oil importers (Blanchard and Gali 2007). The financial conditions index Φ</w:t>
      </w:r>
    </w:p>
    <w:p>
      <w:pPr>
        <w:tabs>
          <w:tab w:val="right" w:pos="9360"/>
        </w:tabs>
        <w:spacing w:after="120" w:before="120" w:line="360"/>
        <w:jc w:val="center"/>
      </w:pPr>
      <w:r>
        <w:rPr>
          <w:rFonts w:ascii="Times New Roman" w:cs="Times New Roman" w:eastAsia="Times New Roman" w:hAnsi="Times New Roman"/>
          <w:i/>
          <w:iCs/>
          <w:sz w:val="240"/>
          <w:szCs w:val="240"/>
        </w:rPr>
        <w:t xml:space="preserve">ŷᵢ,t  =  ρ ŷᵢ,t-1  −  (1/σᵢ)(iᵢ,t − Eₜ[πᵢ,t+1])  +  φᵐᴵ᳛ gᵐᴵ᳛ᵢ,t  −  αₑ,ᵢ · max(Δpᵒᴵ᳛,0) · 0.3  −  τᵗʳᵃᵈᵉᵢ,t  +  Φᶠᴵⁿᵢ,t</w:t>
      </w:r>
      <w:r>
        <w:rPr>
          <w:rFonts w:ascii="Times New Roman" w:cs="Times New Roman" w:eastAsia="Times New Roman" w:hAnsi="Times New Roman"/>
          <w:sz w:val="240"/>
          <w:szCs w:val="240"/>
        </w:rPr>
        <w:t xml:space="preserve">	(2)</w:t>
      </w:r>
    </w:p>
    <w:p>
      <w:pPr>
        <w:spacing w:after="160" w:line="360"/>
        <w:ind w:firstLine="720"/>
      </w:pPr>
      <w:r>
        <w:rPr>
          <w:rFonts w:ascii="Times New Roman" w:cs="Times New Roman" w:eastAsia="Times New Roman" w:hAnsi="Times New Roman"/>
          <w:sz w:val="240"/>
          <w:szCs w:val="240"/>
        </w:rPr>
        <w:t xml:space="preserve">where ρ = 0.75 captures output persistence, φᵐⁱˡ = 0.8 is the military spending multiplier, and the financial conditions index is: Φᶠⁱⁿ i,t = −γₛ · sᵢ,t − γₖ · max(−kᵢ,t, 0), with γₛ = 0.15 and γₖ = 0.10.</w:t>
      </w:r>
    </w:p>
    <w:p>
      <w:pPr>
        <w:pStyle w:val="Heading3"/>
        <w:spacing w:after="60" w:before="200" w:line="360"/>
      </w:pPr>
      <w:r>
        <w:rPr>
          <w:rFonts w:ascii="Times New Roman" w:cs="Times New Roman" w:eastAsia="Times New Roman" w:hAnsi="Times New Roman"/>
          <w:b/>
          <w:bCs/>
          <w:sz w:val="240"/>
          <w:szCs w:val="240"/>
        </w:rPr>
        <w:t xml:space="preserve">III.A.3  Taylor Rule</w:t>
      </w:r>
    </w:p>
    <w:p>
      <w:pPr>
        <w:tabs>
          <w:tab w:val="right" w:pos="9360"/>
        </w:tabs>
        <w:spacing w:after="120" w:before="120" w:line="360"/>
        <w:jc w:val="center"/>
      </w:pPr>
      <w:r>
        <w:rPr>
          <w:rFonts w:ascii="Times New Roman" w:cs="Times New Roman" w:eastAsia="Times New Roman" w:hAnsi="Times New Roman"/>
          <w:i/>
          <w:iCs/>
          <w:sz w:val="240"/>
          <w:szCs w:val="240"/>
        </w:rPr>
        <w:t xml:space="preserve">iᵢ,t  =  ρᵢᵢ iᵢ,t-1  +  (1 − ρᵢᵢ)(φπ,ᵢ πᵢ,t  +  φʏ,ᵢ ŷᵢ,t-1)</w:t>
      </w:r>
      <w:r>
        <w:rPr>
          <w:rFonts w:ascii="Times New Roman" w:cs="Times New Roman" w:eastAsia="Times New Roman" w:hAnsi="Times New Roman"/>
          <w:sz w:val="240"/>
          <w:szCs w:val="240"/>
        </w:rPr>
        <w:t xml:space="preserve">	(3)</w:t>
      </w:r>
    </w:p>
    <w:p>
      <w:pPr>
        <w:spacing w:after="160" w:line="360"/>
        <w:ind w:firstLine="720"/>
      </w:pPr>
      <w:r>
        <w:rPr>
          <w:rFonts w:ascii="Times New Roman" w:cs="Times New Roman" w:eastAsia="Times New Roman" w:hAnsi="Times New Roman"/>
          <w:sz w:val="240"/>
          <w:szCs w:val="240"/>
        </w:rPr>
        <w:t xml:space="preserve">where ρii is the smoothing parameter, φπ,i is the inflation response coefficient, and φy,i is the output gap response coefficient.</w:t>
      </w:r>
    </w:p>
    <w:p>
      <w:pPr>
        <w:pStyle w:val="Heading2"/>
        <w:spacing w:after="80" w:before="280" w:line="360"/>
      </w:pPr>
      <w:r>
        <w:rPr>
          <w:rFonts w:ascii="Times New Roman" w:cs="Times New Roman" w:eastAsia="Times New Roman" w:hAnsi="Times New Roman"/>
          <w:b/>
          <w:bCs/>
          <w:i/>
          <w:iCs/>
          <w:sz w:val="240"/>
          <w:szCs w:val="240"/>
        </w:rPr>
        <w:t xml:space="preserve">III.B  Global Oil Market</w:t>
      </w:r>
    </w:p>
    <w:p>
      <w:pPr>
        <w:spacing w:after="160" w:line="360"/>
        <w:ind w:firstLine="720"/>
      </w:pPr>
      <w:r>
        <w:rPr>
          <w:rFonts w:ascii="Times New Roman" w:cs="Times New Roman" w:eastAsia="Times New Roman" w:hAnsi="Times New Roman"/>
          <w:sz w:val="240"/>
          <w:szCs w:val="240"/>
        </w:rPr>
        <w:t xml:space="preserve">The oil market is the model's central transmission node. The Strait of Hormuz handles approximately 20 percent of global petroleum trade (EIA 2023). An Iranian blockade disrupts transit for all producers routing through the strait, including Saudi Arabia (12 percent of global supply), the UAE (4 percent), Iraq (5 percent), and Iran itself (4 percent). The global oil supply shock at time t is:</w:t>
      </w:r>
    </w:p>
    <w:p>
      <w:pPr>
        <w:tabs>
          <w:tab w:val="right" w:pos="9360"/>
        </w:tabs>
        <w:spacing w:after="120" w:before="120" w:line="360"/>
        <w:jc w:val="center"/>
      </w:pPr>
      <w:r>
        <w:rPr>
          <w:rFonts w:ascii="Times New Roman" w:cs="Times New Roman" w:eastAsia="Times New Roman" w:hAnsi="Times New Roman"/>
          <w:i/>
          <w:iCs/>
          <w:sz w:val="240"/>
          <w:szCs w:val="240"/>
        </w:rPr>
        <w:t xml:space="preserve">ΔSₜ  =  λᵇ᳛ᵒᶜᵏₜ · (sᴹᵒʳᵐᵘᶣ  −  sᴵʳᵃⁿ)  +  sᴵʳᵃⁿ · λᵖʳᵒᵈ  −  0.3 · λᵇ᳛ᵒᶜᵏₜ · (sᴹᵒʳᵐᵘᶣ  −  sᴵʳᵃⁿ)</w:t>
      </w:r>
      <w:r>
        <w:rPr>
          <w:rFonts w:ascii="Times New Roman" w:cs="Times New Roman" w:eastAsia="Times New Roman" w:hAnsi="Times New Roman"/>
          <w:sz w:val="240"/>
          <w:szCs w:val="240"/>
        </w:rPr>
        <w:t xml:space="preserve">	(4)</w:t>
      </w:r>
    </w:p>
    <w:p>
      <w:pPr>
        <w:spacing w:after="160" w:line="360"/>
        <w:ind w:firstLine="720"/>
      </w:pPr>
      <w:r>
        <w:rPr>
          <w:rFonts w:ascii="Times New Roman" w:cs="Times New Roman" w:eastAsia="Times New Roman" w:hAnsi="Times New Roman"/>
          <w:sz w:val="240"/>
          <w:szCs w:val="240"/>
        </w:rPr>
        <w:t xml:space="preserve">where sHormuz = 0.20, sIran = 0.04, λblock is blockade severity (decaying over time), and λprod = 0.80 is the fraction of Iranian production destroyed. Oil prices are determined by:</w:t>
      </w:r>
    </w:p>
    <w:p>
      <w:pPr>
        <w:tabs>
          <w:tab w:val="right" w:pos="9360"/>
        </w:tabs>
        <w:spacing w:after="120" w:before="120" w:line="360"/>
        <w:jc w:val="center"/>
      </w:pPr>
      <w:r>
        <w:rPr>
          <w:rFonts w:ascii="Times New Roman" w:cs="Times New Roman" w:eastAsia="Times New Roman" w:hAnsi="Times New Roman"/>
          <w:i/>
          <w:iCs/>
          <w:sz w:val="240"/>
          <w:szCs w:val="240"/>
        </w:rPr>
        <w:t xml:space="preserve">ΔPᵒᴵ᳛ₜ / Pᵒᴵ᳛  =  (ΔSₜ − SPRₜ + ΔDₜ) / (|εᵈ| + εₛ)</w:t>
      </w:r>
      <w:r>
        <w:rPr>
          <w:rFonts w:ascii="Times New Roman" w:cs="Times New Roman" w:eastAsia="Times New Roman" w:hAnsi="Times New Roman"/>
          <w:sz w:val="240"/>
          <w:szCs w:val="240"/>
        </w:rPr>
        <w:t xml:space="preserve">	(5)</w:t>
      </w:r>
    </w:p>
    <w:p>
      <w:pPr>
        <w:spacing w:after="160" w:line="360"/>
        <w:ind w:firstLine="720"/>
      </w:pPr>
      <w:r>
        <w:rPr>
          <w:rFonts w:ascii="Times New Roman" w:cs="Times New Roman" w:eastAsia="Times New Roman" w:hAnsi="Times New Roman"/>
          <w:sz w:val="240"/>
          <w:szCs w:val="240"/>
        </w:rPr>
        <w:t xml:space="preserve">where εd = −0.05 and εs = 0.10 are short-run elasticities (Hamilton 2009), SPRₜ is aggregate strategic reserve releases, and ΔDₜ captures demand destruction.</w:t>
      </w:r>
    </w:p>
    <w:p>
      <w:pPr>
        <w:pStyle w:val="Heading2"/>
        <w:spacing w:after="80" w:before="280" w:line="360"/>
      </w:pPr>
      <w:r>
        <w:rPr>
          <w:rFonts w:ascii="Times New Roman" w:cs="Times New Roman" w:eastAsia="Times New Roman" w:hAnsi="Times New Roman"/>
          <w:b/>
          <w:bCs/>
          <w:i/>
          <w:iCs/>
          <w:sz w:val="240"/>
          <w:szCs w:val="240"/>
        </w:rPr>
        <w:t xml:space="preserve">III.C  Financial Channels</w:t>
      </w:r>
    </w:p>
    <w:p>
      <w:pPr>
        <w:spacing w:after="160" w:line="360"/>
        <w:ind w:firstLine="720"/>
      </w:pPr>
      <w:r>
        <w:rPr>
          <w:rFonts w:ascii="Times New Roman" w:cs="Times New Roman" w:eastAsia="Times New Roman" w:hAnsi="Times New Roman"/>
          <w:sz w:val="240"/>
          <w:szCs w:val="240"/>
        </w:rPr>
        <w:t xml:space="preserve">Financial channels are the model's key innovation relative to prior trade-only frameworks. The 2022 Russia-Ukraine crisis provides out-of-sample validation: within weeks of the invasion, sovereign spreads spiked and equity markets fell in countries with negligible bilateral trade with Russia, confirming that financial contagion operates independently of goods-trade linkages.</w:t>
      </w:r>
    </w:p>
    <w:p>
      <w:pPr>
        <w:spacing w:after="160" w:line="360"/>
        <w:ind w:firstLine="720"/>
      </w:pPr>
      <w:r>
        <w:rPr>
          <w:rFonts w:ascii="Times New Roman" w:cs="Times New Roman" w:eastAsia="Times New Roman" w:hAnsi="Times New Roman"/>
          <w:sz w:val="240"/>
          <w:szCs w:val="240"/>
        </w:rPr>
        <w:t xml:space="preserve">The sovereign spread equation is: sᵢ,t = sˢʰᵒᶜᵏ + 0.3 · max(−ŷᵢ,t-1, 0) + 0.2 · sᵢ,t-1, reflecting an exogenous risk shock, countercyclical amplification, and persistence. Net capital inflows follow an augmented UIP condition:</w:t>
      </w:r>
    </w:p>
    <w:p>
      <w:pPr>
        <w:tabs>
          <w:tab w:val="right" w:pos="9360"/>
        </w:tabs>
        <w:spacing w:after="120" w:before="120" w:line="360"/>
        <w:jc w:val="center"/>
      </w:pPr>
      <w:r>
        <w:rPr>
          <w:rFonts w:ascii="Times New Roman" w:cs="Times New Roman" w:eastAsia="Times New Roman" w:hAnsi="Times New Roman"/>
          <w:i/>
          <w:iCs/>
          <w:sz w:val="240"/>
          <w:szCs w:val="240"/>
        </w:rPr>
        <w:t xml:space="preserve">kᵢ,t  =  kˢʰᵒᶜᵏᵢ,t  −  2.0 · sᵢ,t  +  0.5 · (iᵢ,t − ̅r)  +  0.3 · kᵢ,t-1</w:t>
      </w:r>
      <w:r>
        <w:rPr>
          <w:rFonts w:ascii="Times New Roman" w:cs="Times New Roman" w:eastAsia="Times New Roman" w:hAnsi="Times New Roman"/>
          <w:sz w:val="240"/>
          <w:szCs w:val="240"/>
        </w:rPr>
        <w:t xml:space="preserve">	(6)</w:t>
      </w:r>
    </w:p>
    <w:p>
      <w:pPr>
        <w:spacing w:after="160" w:line="360"/>
        <w:ind w:firstLine="720"/>
      </w:pPr>
      <w:r>
        <w:rPr>
          <w:rFonts w:ascii="Times New Roman" w:cs="Times New Roman" w:eastAsia="Times New Roman" w:hAnsi="Times New Roman"/>
          <w:sz w:val="240"/>
          <w:szCs w:val="240"/>
        </w:rPr>
        <w:t xml:space="preserve">where r̄ = 0.02 is the global risk-free rate. Equity valuations follow qᵢ,t = 0.6 qᵢ,t-1 + 10 gᵉᵢ,t − 8(iᵢ,t + sᵢ,t) − 3 max(−ŷᵢ,t, 0) + qˢʰᵒᶜᵏ. Financial contagion transmits through:</w:t>
      </w:r>
    </w:p>
    <w:p>
      <w:pPr>
        <w:tabs>
          <w:tab w:val="right" w:pos="9360"/>
        </w:tabs>
        <w:spacing w:after="120" w:before="120" w:line="360"/>
        <w:jc w:val="center"/>
      </w:pPr>
      <w:r>
        <w:rPr>
          <w:rFonts w:ascii="Times New Roman" w:cs="Times New Roman" w:eastAsia="Times New Roman" w:hAnsi="Times New Roman"/>
          <w:i/>
          <w:iCs/>
          <w:sz w:val="240"/>
          <w:szCs w:val="240"/>
        </w:rPr>
        <w:t xml:space="preserve">̃sˢʰᵒᶜᵏⱼ,t  =  sˢʰᵒᶜᵏⱼ,t  +  0.1 · (Σᵢ≠ⱼ Lᵢⱼ · sᵢ,t-1) · Γₜ</w:t>
      </w:r>
      <w:r>
        <w:rPr>
          <w:rFonts w:ascii="Times New Roman" w:cs="Times New Roman" w:eastAsia="Times New Roman" w:hAnsi="Times New Roman"/>
          <w:sz w:val="240"/>
          <w:szCs w:val="240"/>
        </w:rPr>
        <w:t xml:space="preserve">	(7)</w:t>
      </w:r>
    </w:p>
    <w:p>
      <w:pPr>
        <w:spacing w:after="160" w:line="360"/>
        <w:ind w:firstLine="720"/>
      </w:pPr>
      <w:r>
        <w:rPr>
          <w:rFonts w:ascii="Times New Roman" w:cs="Times New Roman" w:eastAsia="Times New Roman" w:hAnsi="Times New Roman"/>
          <w:sz w:val="240"/>
          <w:szCs w:val="240"/>
        </w:rPr>
        <w:t xml:space="preserve">where Lij measures financial linkage from region i to j, and Γt = 1 + 2·max(−kIran,t, 0) is a global risk aversion amplifier.</w:t>
      </w:r>
    </w:p>
    <w:p>
      <w:pPr>
        <w:pStyle w:val="Heading2"/>
        <w:spacing w:after="80" w:before="280" w:line="360"/>
      </w:pPr>
      <w:r>
        <w:rPr>
          <w:rFonts w:ascii="Times New Roman" w:cs="Times New Roman" w:eastAsia="Times New Roman" w:hAnsi="Times New Roman"/>
          <w:b/>
          <w:bCs/>
          <w:i/>
          <w:iCs/>
          <w:sz w:val="240"/>
          <w:szCs w:val="240"/>
        </w:rPr>
        <w:t xml:space="preserve">III.D  China's Triple Stabilization Mechanism</w:t>
      </w:r>
    </w:p>
    <w:p>
      <w:pPr>
        <w:spacing w:after="160" w:line="360"/>
        <w:ind w:firstLine="720"/>
      </w:pPr>
      <w:r>
        <w:rPr>
          <w:rFonts w:ascii="Times New Roman" w:cs="Times New Roman" w:eastAsia="Times New Roman" w:hAnsi="Times New Roman"/>
          <w:sz w:val="240"/>
          <w:szCs w:val="240"/>
        </w:rPr>
        <w:t xml:space="preserve">Three instruments operate on different time scales and face different capacity constraints. The SPR operates on a quarterly horizon but faces a hard physical ceiling. Renewable substitution is gradual but unlimited within the scenario window. Manufacturing export expansion operates on a medium-term horizon with a capacity constraint governed by idle industrial capacity. We model each separately to identify which margin is binding.</w:t>
      </w:r>
    </w:p>
    <w:p>
      <w:pPr>
        <w:spacing w:after="160" w:line="360"/>
        <w:ind w:firstLine="720"/>
      </w:pPr>
      <w:r>
        <w:rPr>
          <w:rFonts w:ascii="Times New Roman" w:cs="Times New Roman" w:eastAsia="Times New Roman" w:hAnsi="Times New Roman"/>
          <w:sz w:val="240"/>
          <w:szCs w:val="240"/>
        </w:rPr>
        <w:t xml:space="preserve">Strategic Petroleum Reserve releases follow a piecewise-exponential profile calibrated at 0.8 (approximately 90 days of import cover). The renewable offset grows as ΔRENt = 0.002(1−e−0.15t), displacing oil demand progressively. Manufacturing export expansion follows:</w:t>
      </w:r>
    </w:p>
    <w:p>
      <w:pPr>
        <w:tabs>
          <w:tab w:val="right" w:pos="9360"/>
        </w:tabs>
        <w:spacing w:after="120" w:before="120" w:line="360"/>
        <w:jc w:val="center"/>
      </w:pPr>
      <w:r>
        <w:rPr>
          <w:rFonts w:ascii="Times New Roman" w:cs="Times New Roman" w:eastAsia="Times New Roman" w:hAnsi="Times New Roman"/>
          <w:i/>
          <w:iCs/>
          <w:sz w:val="240"/>
          <w:szCs w:val="240"/>
        </w:rPr>
        <w:t xml:space="preserve">χᵐᶠᵍₜ  =  0.015 · (1 − e⁻⁰·²ᵗ)</w:t>
      </w:r>
      <w:r>
        <w:rPr>
          <w:rFonts w:ascii="Times New Roman" w:cs="Times New Roman" w:eastAsia="Times New Roman" w:hAnsi="Times New Roman"/>
          <w:sz w:val="240"/>
          <w:szCs w:val="240"/>
        </w:rPr>
        <w:t xml:space="preserve">	(8)</w:t>
      </w:r>
    </w:p>
    <w:p>
      <w:pPr>
        <w:spacing w:after="160" w:line="360"/>
        <w:ind w:firstLine="720"/>
      </w:pPr>
      <w:r>
        <w:rPr>
          <w:rFonts w:ascii="Times New Roman" w:cs="Times New Roman" w:eastAsia="Times New Roman" w:hAnsi="Times New Roman"/>
          <w:sz w:val="240"/>
          <w:szCs w:val="240"/>
        </w:rPr>
        <w:t xml:space="preserve">This channel operates through the supply shock term in the Phillips curve of trading partners, reducing imported inflation by providing substitute goods for disrupted supply chains.</w:t>
      </w:r>
    </w:p>
    <w:p>
      <w:pPr>
        <w:pStyle w:val="Heading1"/>
        <w:spacing w:after="120" w:before="360" w:line="360"/>
      </w:pPr>
      <w:r>
        <w:rPr>
          <w:rFonts w:ascii="Times New Roman" w:cs="Times New Roman" w:eastAsia="Times New Roman" w:hAnsi="Times New Roman"/>
          <w:b/>
          <w:bCs/>
          <w:caps/>
          <w:sz w:val="260"/>
          <w:szCs w:val="260"/>
        </w:rPr>
        <w:t xml:space="preserve">IV. Calibration</w:t>
      </w:r>
    </w:p>
    <w:p>
      <w:pPr>
        <w:spacing w:after="160" w:line="360"/>
        <w:ind w:firstLine="720"/>
      </w:pPr>
      <w:r>
        <w:rPr>
          <w:rFonts w:ascii="Times New Roman" w:cs="Times New Roman" w:eastAsia="Times New Roman" w:hAnsi="Times New Roman"/>
          <w:sz w:val="240"/>
          <w:szCs w:val="240"/>
        </w:rPr>
        <w:t xml:space="preserve">Calibration proceeds in two steps. Standard New Keynesian parameters (β, σ, φ, α, θ, ε) follow Gali (2015) and are held at consensus values; these parameters are not identified by the war scenario. Scenario-specific parameters—shock magnitudes, financial linkages, and stabilization profiles—are calibrated to match (i) the physical facts of the Hormuz chokepoint, (ii) the empirical distribution of war-site GDP losses in Federle et al. (2026), and (iii) the financial dynamics of the four Middle East conflict episodes used in the VAR. Tables 1 and 2 report parameter values and sources.</w:t>
      </w:r>
    </w:p>
    <w:p>
      <w:pPr>
        <w:pStyle w:val="Heading2"/>
        <w:spacing w:after="80" w:before="280" w:line="360"/>
      </w:pPr>
      <w:r>
        <w:rPr>
          <w:rFonts w:ascii="Times New Roman" w:cs="Times New Roman" w:eastAsia="Times New Roman" w:hAnsi="Times New Roman"/>
          <w:b/>
          <w:bCs/>
          <w:i/>
          <w:iCs/>
          <w:sz w:val="240"/>
          <w:szCs w:val="240"/>
        </w:rPr>
        <w:t xml:space="preserve">IV.A  Regional Parameters</w:t>
      </w:r>
    </w:p>
    <w:p>
      <w:pPr>
        <w:spacing w:after="160" w:line="360"/>
        <w:ind w:firstLine="720"/>
      </w:pPr>
      <w:r>
        <w:rPr>
          <w:rFonts w:ascii="Times New Roman" w:cs="Times New Roman" w:eastAsia="Times New Roman" w:hAnsi="Times New Roman"/>
          <w:sz w:val="240"/>
          <w:szCs w:val="240"/>
        </w:rPr>
        <w:t xml:space="preserve">Three parameter choices require explicit justification. First, Iran's energy share αe = 0.30 is three to five times higher than any other region, reflecting the fact that oil revenue constitutes approximately 30 percent of Iranian GDP; this high share is what makes supply-destruction in Iran stagflationary rather than merely recessionary. Second, China's Calvo parameter θ = 0.75 matches the US and ROW, because China's manufacturing-price setting has converged toward the price-stickiness of advanced-economy producers (Gali 2015). Third, China's output-gap coefficient in the Taylor rule φy = 0.8 exceeds the US value of 0.5, consistent with the empirical evidence that the People's Bank of China places greater weight on output stabilization.</w:t>
      </w:r>
    </w:p>
    <w:p>
      <w:pPr>
        <w:spacing w:after="160" w:line="360"/>
        <w:ind w:firstLine="720"/>
      </w:pPr>
      <w:r>
        <w:rPr>
          <w:rFonts w:ascii="Times New Roman" w:cs="Times New Roman" w:eastAsia="Times New Roman" w:hAnsi="Times New Roman"/>
          <w:sz w:val="240"/>
          <w:szCs w:val="240"/>
        </w:rPr>
        <w:t xml:space="preserve">Table 1 reports structural parameter calibration. Table 2 reports war shock calibration.</w:t>
      </w:r>
    </w:p>
    <w:p>
      <w:pPr>
        <w:pStyle w:val="Heading2"/>
        <w:spacing w:after="80" w:before="280" w:line="360"/>
      </w:pPr>
      <w:r>
        <w:rPr>
          <w:rFonts w:ascii="Times New Roman" w:cs="Times New Roman" w:eastAsia="Times New Roman" w:hAnsi="Times New Roman"/>
          <w:b/>
          <w:bCs/>
          <w:i/>
          <w:iCs/>
          <w:sz w:val="240"/>
          <w:szCs w:val="240"/>
        </w:rPr>
        <w:t xml:space="preserve">IV.B  Financial Linkage Matrix</w:t>
      </w:r>
    </w:p>
    <w:p>
      <w:pPr>
        <w:spacing w:after="160" w:line="360"/>
        <w:ind w:firstLine="720"/>
      </w:pPr>
      <w:r>
        <w:rPr>
          <w:rFonts w:ascii="Times New Roman" w:cs="Times New Roman" w:eastAsia="Times New Roman" w:hAnsi="Times New Roman"/>
          <w:sz w:val="240"/>
          <w:szCs w:val="240"/>
        </w:rPr>
        <w:t xml:space="preserve">The financial contagion matrix L governs cross-regional spread transmission and is the paper's most novel structural input. We calibrate L in two steps: first, entries are set to match sovereign-spread responses in Longstaff et al. (2011) and Caldara and Iacoviello (2022); second, in Section VI.C, we validate these values against a structural VAR(1) on actual sovereign-spread panels. The VAR recovers values within 5 percent of the calibrated entries for every cell.</w:t>
      </w:r>
    </w:p>
    <w:p>
      <w:pPr>
        <w:spacing w:after="160" w:line="360"/>
        <w:ind w:firstLine="720"/>
      </w:pPr>
      <w:r>
        <w:rPr>
          <w:rFonts w:ascii="Times New Roman" w:cs="Times New Roman" w:eastAsia="Times New Roman" w:hAnsi="Times New Roman"/>
          <w:sz w:val="240"/>
          <w:szCs w:val="240"/>
        </w:rPr>
        <w:t xml:space="preserve">The calibrated matrix L (rows = source, columns = destination: Iran, US-Israel, China, ROW) is:</w:t>
      </w:r>
    </w:p>
    <w:p>
      <w:pPr>
        <w:spacing w:after="120" w:before="120"/>
        <w:jc w:val="center"/>
      </w:pPr>
      <w:r>
        <w:rPr>
          <w:rFonts w:ascii="Times New Roman" w:cs="Times New Roman" w:eastAsia="Times New Roman" w:hAnsi="Times New Roman"/>
          <w:i/>
          <w:iCs/>
          <w:sz w:val="220"/>
          <w:szCs w:val="220"/>
        </w:rPr>
        <w:t xml:space="preserve">L = [0.00, 0.05, 0.10, 0.15 | 0.02, 0.00, 0.08, 0.12 | 0.03, 0.05, 0.00, 0.10 | 0.05, 0.03, 0.05, 0.00]</w:t>
      </w:r>
    </w:p>
    <w:p>
      <w:pPr>
        <w:spacing w:after="160" w:line="360"/>
        <w:ind w:firstLine="720"/>
      </w:pPr>
      <w:r>
        <w:rPr>
          <w:rFonts w:ascii="Times New Roman" w:cs="Times New Roman" w:eastAsia="Times New Roman" w:hAnsi="Times New Roman"/>
          <w:sz w:val="240"/>
          <w:szCs w:val="240"/>
        </w:rPr>
        <w:t xml:space="preserve">The Iran-to-ROW entry (0.15) and Iran-to-China entry (0.10) are the largest off-diagonal elements in the first row, reflecting global risk-off dynamics: sovereign spreads in non-adversarial countries widen not because they trade heavily with Iran but because geopolitical uncertainty triggers portfolio rebalancing away from all emerging and commodity-exposed economies.</w:t>
      </w:r>
    </w:p>
    <w:p>
      <w:pPr>
        <w:pStyle w:val="Heading1"/>
        <w:spacing w:after="120" w:before="360" w:line="360"/>
      </w:pPr>
      <w:r>
        <w:rPr>
          <w:rFonts w:ascii="Times New Roman" w:cs="Times New Roman" w:eastAsia="Times New Roman" w:hAnsi="Times New Roman"/>
          <w:b/>
          <w:bCs/>
          <w:caps/>
          <w:sz w:val="260"/>
          <w:szCs w:val="260"/>
        </w:rPr>
        <w:t xml:space="preserve">V. Results: Financial Frictions Dominate, Monetary Policy Cannot Compensate</w:t>
      </w:r>
    </w:p>
    <w:p>
      <w:pPr>
        <w:spacing w:after="160" w:line="360"/>
        <w:ind w:firstLine="720"/>
      </w:pPr>
      <w:r>
        <w:rPr>
          <w:rFonts w:ascii="Times New Roman" w:cs="Times New Roman" w:eastAsia="Times New Roman" w:hAnsi="Times New Roman"/>
          <w:sz w:val="240"/>
          <w:szCs w:val="240"/>
        </w:rPr>
        <w:t xml:space="preserve">We simulate the model over 32 quarters (8 years) under two specifications—trade channel only and full model with financial channels—to isolate the financial amplification. The main finding is that financial channels triple ROW output losses and account for 4.88 percentage points of cumulative global welfare costs that no interest-rate rule can offset.</w:t>
      </w:r>
    </w:p>
    <w:p>
      <w:pPr>
        <w:pStyle w:val="Heading2"/>
        <w:spacing w:after="80" w:before="280" w:line="360"/>
      </w:pPr>
      <w:r>
        <w:rPr>
          <w:rFonts w:ascii="Times New Roman" w:cs="Times New Roman" w:eastAsia="Times New Roman" w:hAnsi="Times New Roman"/>
          <w:b/>
          <w:bCs/>
          <w:i/>
          <w:iCs/>
          <w:sz w:val="240"/>
          <w:szCs w:val="240"/>
        </w:rPr>
        <w:t xml:space="preserve">V.A  Baseline Impulse Responses: Stagflation in Iran, Risk-Off Globally</w:t>
      </w:r>
    </w:p>
    <w:p>
      <w:pPr>
        <w:spacing w:after="160" w:line="360"/>
        <w:ind w:firstLine="720"/>
      </w:pPr>
      <w:r>
        <w:rPr>
          <w:rFonts w:ascii="Times New Roman" w:cs="Times New Roman" w:eastAsia="Times New Roman" w:hAnsi="Times New Roman"/>
          <w:sz w:val="240"/>
          <w:szCs w:val="240"/>
        </w:rPr>
        <w:t xml:space="preserve">Figure 1 shows impulse responses for the six core macroeconomic variables across all four regions under baseline-intensity war.</w:t>
      </w:r>
    </w:p>
    <w:p>
      <w:pPr>
        <w:spacing w:after="160" w:line="360"/>
        <w:ind w:firstLine="720"/>
      </w:pPr>
      <w:r>
        <w:rPr>
          <w:rFonts w:ascii="Times New Roman" w:cs="Times New Roman" w:eastAsia="Times New Roman" w:hAnsi="Times New Roman"/>
          <w:b/>
          <w:bCs/>
          <w:sz w:val="240"/>
          <w:szCs w:val="240"/>
        </w:rPr>
        <w:t xml:space="preserve">Iran (war site).  </w:t>
      </w:r>
      <w:r>
        <w:rPr>
          <w:rFonts w:ascii="Times New Roman" w:cs="Times New Roman" w:eastAsia="Times New Roman" w:hAnsi="Times New Roman"/>
          <w:sz w:val="240"/>
          <w:szCs w:val="240"/>
        </w:rPr>
        <w:t xml:space="preserve">Iran's GDP falls 27.2 percent at trough—nearly three times the average war-site effect of −10 percent in Federle et al. (2026). Three mechanisms compound: physical capital destruction, trade disruption from the blockade, and loss of oil export revenue (30 percent of Iran's economic activity). Consumer prices surge 7.2 percentage points despite the output collapse—textbook stagflation driven by supply-side destruction. Investment collapses by more than 35 percent as physical destruction and soaring risk premia simultaneously destroy capital and deter new formation.</w:t>
      </w:r>
    </w:p>
    <w:p>
      <w:pPr>
        <w:spacing w:after="160" w:line="360"/>
        <w:ind w:firstLine="720"/>
      </w:pPr>
      <w:r>
        <w:rPr>
          <w:rFonts w:ascii="Times New Roman" w:cs="Times New Roman" w:eastAsia="Times New Roman" w:hAnsi="Times New Roman"/>
          <w:b/>
          <w:bCs/>
          <w:sz w:val="240"/>
          <w:szCs w:val="240"/>
        </w:rPr>
        <w:t xml:space="preserve">US-Israel (belligerent).  </w:t>
      </w:r>
      <w:r>
        <w:rPr>
          <w:rFonts w:ascii="Times New Roman" w:cs="Times New Roman" w:eastAsia="Times New Roman" w:hAnsi="Times New Roman"/>
          <w:sz w:val="240"/>
          <w:szCs w:val="240"/>
        </w:rPr>
        <w:t xml:space="preserve">The US-Israel bloc records a 1.7 percent GDP gain from military Keynesian stimulus of 2.5 percent of GDP. This apparent gain is welfare-negative: consumer prices rise 1.5 percentage points from the global oil shock, the Fed tightens by 2.6 percentage points, and military spending substitutes for private consumption, as Section V.E confirms.</w:t>
      </w:r>
    </w:p>
    <w:p>
      <w:pPr>
        <w:spacing w:after="160" w:line="360"/>
        <w:ind w:firstLine="720"/>
      </w:pPr>
      <w:r>
        <w:rPr>
          <w:rFonts w:ascii="Times New Roman" w:cs="Times New Roman" w:eastAsia="Times New Roman" w:hAnsi="Times New Roman"/>
          <w:b/>
          <w:bCs/>
          <w:sz w:val="240"/>
          <w:szCs w:val="240"/>
        </w:rPr>
        <w:t xml:space="preserve">China (stabilizer).  </w:t>
      </w:r>
      <w:r>
        <w:rPr>
          <w:rFonts w:ascii="Times New Roman" w:cs="Times New Roman" w:eastAsia="Times New Roman" w:hAnsi="Times New Roman"/>
          <w:sz w:val="240"/>
          <w:szCs w:val="240"/>
        </w:rPr>
        <w:t xml:space="preserve">China's GDP falls only 1.2 percent despite its status as a major oil importer (αe = 0.06). The triple stabilization mechanism contains the damage: without it, China's decline would exceed 2.5 percent. Inflation rises 2.4 percentage points, the highest among non-war-site regions.</w:t>
      </w:r>
    </w:p>
    <w:p>
      <w:pPr>
        <w:spacing w:after="160" w:line="360"/>
        <w:ind w:firstLine="720"/>
      </w:pPr>
      <w:r>
        <w:rPr>
          <w:rFonts w:ascii="Times New Roman" w:cs="Times New Roman" w:eastAsia="Times New Roman" w:hAnsi="Times New Roman"/>
          <w:b/>
          <w:bCs/>
          <w:sz w:val="240"/>
          <w:szCs w:val="240"/>
        </w:rPr>
        <w:t xml:space="preserve">Rest of World.  </w:t>
      </w:r>
      <w:r>
        <w:rPr>
          <w:rFonts w:ascii="Times New Roman" w:cs="Times New Roman" w:eastAsia="Times New Roman" w:hAnsi="Times New Roman"/>
          <w:sz w:val="240"/>
          <w:szCs w:val="240"/>
        </w:rPr>
        <w:t xml:space="preserve">ROW GDP falls 3.8 percent under the full model, versus 1.1 percent under trade channels alone. The 3.45× amplification from financial contagion is the paper's central quantitative finding; Section V.C decomposes it by channel.</w:t>
      </w:r>
    </w:p>
    <w:p>
      <w:pPr>
        <w:spacing w:after="160" w:line="360"/>
        <w:ind w:firstLine="720"/>
      </w:pPr>
      <w:r>
        <w:rPr>
          <w:rFonts w:ascii="Times New Roman" w:cs="Times New Roman" w:eastAsia="Times New Roman" w:hAnsi="Times New Roman"/>
          <w:b/>
          <w:bCs/>
          <w:sz w:val="240"/>
          <w:szCs w:val="240"/>
        </w:rPr>
        <w:t xml:space="preserve">Oil prices.  </w:t>
      </w:r>
      <w:r>
        <w:rPr>
          <w:rFonts w:ascii="Times New Roman" w:cs="Times New Roman" w:eastAsia="Times New Roman" w:hAnsi="Times New Roman"/>
          <w:sz w:val="240"/>
          <w:szCs w:val="240"/>
        </w:rPr>
        <w:t xml:space="preserve">Global oil prices peak at +63 percent. China's stabilization reduces that peak by approximately 5 percentage points, primarily through SPR releases in the first two years.</w:t>
      </w:r>
    </w:p>
    <w:p>
      <w:pPr>
        <w:pStyle w:val="Heading2"/>
        <w:spacing w:after="80" w:before="280" w:line="360"/>
      </w:pPr>
      <w:r>
        <w:rPr>
          <w:rFonts w:ascii="Times New Roman" w:cs="Times New Roman" w:eastAsia="Times New Roman" w:hAnsi="Times New Roman"/>
          <w:b/>
          <w:bCs/>
          <w:i/>
          <w:iCs/>
          <w:sz w:val="240"/>
          <w:szCs w:val="240"/>
        </w:rPr>
        <w:t xml:space="preserve">V.B  The Energy Price Channel Dominates Bilateral Trade</w:t>
      </w:r>
    </w:p>
    <w:p>
      <w:pPr>
        <w:spacing w:after="160" w:line="360"/>
        <w:ind w:firstLine="720"/>
      </w:pPr>
      <w:r>
        <w:rPr>
          <w:rFonts w:ascii="Times New Roman" w:cs="Times New Roman" w:eastAsia="Times New Roman" w:hAnsi="Times New Roman"/>
          <w:sz w:val="240"/>
          <w:szCs w:val="240"/>
        </w:rPr>
        <w:t xml:space="preserve">Figure 2 disaggregates the trade channel into its components. The Hormuz blockade's trade channel operates primarily through energy prices, not bilateral goods trade. The energy price component accounts for roughly 75 percent of the trade-channel GDP loss for third countries. Federle et al. (2026) find bilateral trade exposure is the primary spillover in their cross-country panel; that finding holds for typical wars. The Hormuz scenario is atypical: a chokepoint closure converts a bilateral disruption into a global oil supply shock, so the energy price channel dominates bilateral trade by a factor of approximately 3:1. Interventions that buffer the oil price shock generate larger welfare gains than interventions that restore bilateral trade flows.</w:t>
      </w:r>
    </w:p>
    <w:p>
      <w:pPr>
        <w:pStyle w:val="Heading2"/>
        <w:spacing w:after="80" w:before="280" w:line="360"/>
      </w:pPr>
      <w:r>
        <w:rPr>
          <w:rFonts w:ascii="Times New Roman" w:cs="Times New Roman" w:eastAsia="Times New Roman" w:hAnsi="Times New Roman"/>
          <w:b/>
          <w:bCs/>
          <w:i/>
          <w:iCs/>
          <w:sz w:val="240"/>
          <w:szCs w:val="240"/>
        </w:rPr>
        <w:t xml:space="preserve">V.C  Financial Contagion Amplifies Third-Country Losses by 3.45×</w:t>
      </w:r>
    </w:p>
    <w:p>
      <w:pPr>
        <w:spacing w:after="160" w:line="360"/>
        <w:ind w:firstLine="720"/>
      </w:pPr>
      <w:r>
        <w:rPr>
          <w:rFonts w:ascii="Times New Roman" w:cs="Times New Roman" w:eastAsia="Times New Roman" w:hAnsi="Times New Roman"/>
          <w:sz w:val="240"/>
          <w:szCs w:val="240"/>
        </w:rPr>
        <w:t xml:space="preserve">Figure 3 presents the financial channel variables for all four regions.</w:t>
      </w:r>
    </w:p>
    <w:p>
      <w:pPr>
        <w:spacing w:after="160" w:line="360"/>
        <w:ind w:firstLine="720"/>
      </w:pPr>
      <w:r>
        <w:rPr>
          <w:rFonts w:ascii="Times New Roman" w:cs="Times New Roman" w:eastAsia="Times New Roman" w:hAnsi="Times New Roman"/>
          <w:b/>
          <w:bCs/>
          <w:sz w:val="240"/>
          <w:szCs w:val="240"/>
        </w:rPr>
        <w:t xml:space="preserve">Sovereign spreads.  </w:t>
      </w:r>
      <w:r>
        <w:rPr>
          <w:rFonts w:ascii="Times New Roman" w:cs="Times New Roman" w:eastAsia="Times New Roman" w:hAnsi="Times New Roman"/>
          <w:sz w:val="240"/>
          <w:szCs w:val="240"/>
        </w:rPr>
        <w:t xml:space="preserve">Iran's sovereign spread surges to over 1,400 basis points at peak. ROW spreads rise by approximately 50–80 basis points, consistent with the empirical pattern of emerging market spread widening during Middle Eastern conflicts.</w:t>
      </w:r>
    </w:p>
    <w:p>
      <w:pPr>
        <w:spacing w:after="160" w:line="360"/>
        <w:ind w:firstLine="720"/>
      </w:pPr>
      <w:r>
        <w:rPr>
          <w:rFonts w:ascii="Times New Roman" w:cs="Times New Roman" w:eastAsia="Times New Roman" w:hAnsi="Times New Roman"/>
          <w:b/>
          <w:bCs/>
          <w:sz w:val="240"/>
          <w:szCs w:val="240"/>
        </w:rPr>
        <w:t xml:space="preserve">Capital flows.  </w:t>
      </w:r>
      <w:r>
        <w:rPr>
          <w:rFonts w:ascii="Times New Roman" w:cs="Times New Roman" w:eastAsia="Times New Roman" w:hAnsi="Times New Roman"/>
          <w:sz w:val="240"/>
          <w:szCs w:val="240"/>
        </w:rPr>
        <w:t xml:space="preserve">Capital flows exhibit the classic 'risk-off' pattern: massive outflows from Iran (−15 percent of GDP at peak), safe-haven inflows to the US, and moderate outflows from China and ROW. China's forex intervention partially stabilizes its capital account.</w:t>
      </w:r>
    </w:p>
    <w:p>
      <w:pPr>
        <w:spacing w:after="160" w:line="360"/>
        <w:ind w:firstLine="720"/>
      </w:pPr>
      <w:r>
        <w:rPr>
          <w:rFonts w:ascii="Times New Roman" w:cs="Times New Roman" w:eastAsia="Times New Roman" w:hAnsi="Times New Roman"/>
          <w:b/>
          <w:bCs/>
          <w:sz w:val="240"/>
          <w:szCs w:val="240"/>
        </w:rPr>
        <w:t xml:space="preserve">Amplification magnitude.  </w:t>
      </w:r>
      <w:r>
        <w:rPr>
          <w:rFonts w:ascii="Times New Roman" w:cs="Times New Roman" w:eastAsia="Times New Roman" w:hAnsi="Times New Roman"/>
          <w:sz w:val="240"/>
          <w:szCs w:val="240"/>
        </w:rPr>
        <w:t xml:space="preserve">Table 3 quantifies the amplification. ROW experiences a 3.45× amplification—its output loss increases from 1.1 to 3.8 percent—because emerging and developing economies face rising spreads, capital outflows, and tightening financial conditions that compound the trade shock. China, by contrast, shows no amplification (1.00×), as its managed capital account insulates the domestic financial system from global risk-off dynamics (Rey 2015).</w:t>
      </w:r>
    </w:p>
    <w:p>
      <w:pPr>
        <w:pStyle w:val="Heading2"/>
        <w:spacing w:after="80" w:before="280" w:line="360"/>
      </w:pPr>
      <w:r>
        <w:rPr>
          <w:rFonts w:ascii="Times New Roman" w:cs="Times New Roman" w:eastAsia="Times New Roman" w:hAnsi="Times New Roman"/>
          <w:b/>
          <w:bCs/>
          <w:i/>
          <w:iCs/>
          <w:sz w:val="240"/>
          <w:szCs w:val="240"/>
        </w:rPr>
        <w:t xml:space="preserve">V.D  China's Stabilization Role</w:t>
      </w:r>
    </w:p>
    <w:p>
      <w:pPr>
        <w:spacing w:after="160" w:line="360"/>
        <w:ind w:firstLine="720"/>
      </w:pPr>
      <w:r>
        <w:rPr>
          <w:rFonts w:ascii="Times New Roman" w:cs="Times New Roman" w:eastAsia="Times New Roman" w:hAnsi="Times New Roman"/>
          <w:sz w:val="240"/>
          <w:szCs w:val="240"/>
        </w:rPr>
        <w:t xml:space="preserve">Figure 4 decomposes China's triple stabilization mechanism. Table 4 reports the marginal contribution of each channel. SPR releases are the most immediate channel, cutting global GDP losses by 0.05 percentage points and oil prices by 5 percentage points in the first two years. Manufacturing export expansion delivers the larger cumulative contribution (0.09 percentage points) through supply-chain substitution that builds as the war persists. Renewable energy substitution contributes only 0.01 percentage point within the 32-quarter window because the deployment lag exceeds the acute shock horizon—though its contribution would dominate in a longer-horizon analysis. The manufacturing-over-reserves ranking motivates the endogenous-rules exercise in Section VI.B.</w:t>
      </w:r>
    </w:p>
    <w:p>
      <w:pPr>
        <w:pStyle w:val="Heading2"/>
        <w:spacing w:after="80" w:before="280" w:line="360"/>
      </w:pPr>
      <w:r>
        <w:rPr>
          <w:rFonts w:ascii="Times New Roman" w:cs="Times New Roman" w:eastAsia="Times New Roman" w:hAnsi="Times New Roman"/>
          <w:b/>
          <w:bCs/>
          <w:i/>
          <w:iCs/>
          <w:sz w:val="240"/>
          <w:szCs w:val="240"/>
        </w:rPr>
        <w:t xml:space="preserve">V.E  War Severity Scenarios: Concave Global Losses</w:t>
      </w:r>
    </w:p>
    <w:p>
      <w:pPr>
        <w:spacing w:after="160" w:line="360"/>
        <w:ind w:firstLine="720"/>
      </w:pPr>
      <w:r>
        <w:rPr>
          <w:rFonts w:ascii="Times New Roman" w:cs="Times New Roman" w:eastAsia="Times New Roman" w:hAnsi="Times New Roman"/>
          <w:sz w:val="240"/>
          <w:szCs w:val="240"/>
        </w:rPr>
        <w:t xml:space="preserve">Figure 5 compares outcomes across three war intensity scenarios. Table 5 reports summary statistics. The relationship between war intensity and global output losses is concave: moving from mild to baseline roughly doubles global GDP losses (from 0.37 to 0.65 percent), but moving from baseline to severe adds only 0.04 percentage points. This concavity reflects diminishing oil-price elasticity beyond a threshold and demand destruction in the severe scenario.</w:t>
      </w:r>
    </w:p>
    <w:p>
      <w:pPr>
        <w:pStyle w:val="Heading2"/>
        <w:spacing w:after="80" w:before="280" w:line="360"/>
      </w:pPr>
      <w:r>
        <w:rPr>
          <w:rFonts w:ascii="Times New Roman" w:cs="Times New Roman" w:eastAsia="Times New Roman" w:hAnsi="Times New Roman"/>
          <w:b/>
          <w:bCs/>
          <w:i/>
          <w:iCs/>
          <w:sz w:val="240"/>
          <w:szCs w:val="240"/>
        </w:rPr>
        <w:t xml:space="preserve">V.F  Welfare: Military GDP Gains Mask Consumption Losses</w:t>
      </w:r>
    </w:p>
    <w:p>
      <w:pPr>
        <w:spacing w:after="160" w:line="360"/>
        <w:ind w:firstLine="720"/>
      </w:pPr>
      <w:r>
        <w:rPr>
          <w:rFonts w:ascii="Times New Roman" w:cs="Times New Roman" w:eastAsia="Times New Roman" w:hAnsi="Times New Roman"/>
          <w:sz w:val="240"/>
          <w:szCs w:val="240"/>
        </w:rPr>
        <w:t xml:space="preserve">Consumption-equivalent welfare losses, computed following Lucas (1987) and discounted at β = 0.99 per quarter, reveal three patterns that GDP dynamics obscure. Figure 6 reports the results. Iran's welfare loss (−16.5 percent consumption equivalent) is approximately twice its peak GDP loss, because the output decline is persistent and the stagflation tax compounds the direct income loss. The US-Israel bloc experiences a welfare loss despite its positive 1.7 percent GDP effect: military spending raises measured output but substitutes for private consumption. China's stabilization reduces global welfare loss from 0.61 to 0.43 percent of permanent consumption—equivalent to approximately $2.2 trillion in present value at current global GDP.</w:t>
      </w:r>
    </w:p>
    <w:p>
      <w:pPr>
        <w:pStyle w:val="Heading1"/>
        <w:spacing w:after="120" w:before="360" w:line="360"/>
      </w:pPr>
      <w:r>
        <w:rPr>
          <w:rFonts w:ascii="Times New Roman" w:cs="Times New Roman" w:eastAsia="Times New Roman" w:hAnsi="Times New Roman"/>
          <w:b/>
          <w:bCs/>
          <w:caps/>
          <w:sz w:val="260"/>
          <w:szCs w:val="260"/>
        </w:rPr>
        <w:t xml:space="preserve">VI. Robustness and Extensions</w:t>
      </w:r>
    </w:p>
    <w:p>
      <w:pPr>
        <w:spacing w:after="160" w:line="360"/>
        <w:ind w:firstLine="720"/>
      </w:pPr>
      <w:r>
        <w:rPr>
          <w:rFonts w:ascii="Times New Roman" w:cs="Times New Roman" w:eastAsia="Times New Roman" w:hAnsi="Times New Roman"/>
          <w:sz w:val="240"/>
          <w:szCs w:val="240"/>
        </w:rPr>
        <w:t xml:space="preserve">The 27 percent peak GDP collapse in Iran and the 63 percent oil price spike are large enough that several modeling choices in the baseline—first-order perturbation, deterministic stabilization paths, and a hand-calibrated linkage matrix—require explicit defense. This section reports four robustness exercises. Full technical details, data sources, and additional sensitivity checks are in the Online Appendix.</w:t>
      </w:r>
    </w:p>
    <w:p>
      <w:pPr>
        <w:pStyle w:val="Heading2"/>
        <w:spacing w:after="80" w:before="280" w:line="360"/>
      </w:pPr>
      <w:r>
        <w:rPr>
          <w:rFonts w:ascii="Times New Roman" w:cs="Times New Roman" w:eastAsia="Times New Roman" w:hAnsi="Times New Roman"/>
          <w:b/>
          <w:bCs/>
          <w:i/>
          <w:iCs/>
          <w:sz w:val="240"/>
          <w:szCs w:val="240"/>
        </w:rPr>
        <w:t xml:space="preserve">VI.A  Higher-Order Perturbation: Quantifying Linearization Bias</w:t>
      </w:r>
    </w:p>
    <w:p>
      <w:pPr>
        <w:spacing w:after="160" w:line="360"/>
        <w:ind w:firstLine="720"/>
      </w:pPr>
      <w:r>
        <w:rPr>
          <w:rFonts w:ascii="Times New Roman" w:cs="Times New Roman" w:eastAsia="Times New Roman" w:hAnsi="Times New Roman"/>
          <w:sz w:val="240"/>
          <w:szCs w:val="240"/>
        </w:rPr>
        <w:t xml:space="preserve">The baseline solution iterates linearized policy functions period-by-period, which is standard in the rare-disaster literature (Barro 2006) but can understate amplification when shocks push the economy into convex regions of the Phillips curve, the financial accelerator, and the sovereign-spread doom loop. We re-solve the model with second-order perturbation capturing (i) convex inflation pass-through, (ii) precautionary saving in response to elevated uncertainty, (iii) a financial accelerator interacting credit spreads with the depth of recession, and (iv) a doom-loop term in which sovereign spreads feed back through deteriorating fiscal expectations.</w:t>
      </w:r>
    </w:p>
    <w:p>
      <w:pPr>
        <w:spacing w:after="160" w:line="360"/>
        <w:ind w:firstLine="720"/>
      </w:pPr>
      <w:r>
        <w:rPr>
          <w:rFonts w:ascii="Times New Roman" w:cs="Times New Roman" w:eastAsia="Times New Roman" w:hAnsi="Times New Roman"/>
          <w:sz w:val="240"/>
          <w:szCs w:val="240"/>
        </w:rPr>
        <w:t xml:space="preserve">Figure 7 reports the comparison. The second-order solution deepens Iran's peak GDP loss from −28.8 percent to −34.8 percent, a linearization bias of 5.9 percentage points concentrated in the first six quarters. The cross-regional pattern is essentially unchanged: the US-Israel bloc, China, and ROW peak responses each move by less than 0.6 percentage points. The bias is quantitatively meaningful for the war site but does not overturn the structural conclusions about spillovers or stabilization.</w:t>
      </w:r>
    </w:p>
    <w:p>
      <w:pPr>
        <w:pStyle w:val="Heading2"/>
        <w:spacing w:after="80" w:before="280" w:line="360"/>
      </w:pPr>
      <w:r>
        <w:rPr>
          <w:rFonts w:ascii="Times New Roman" w:cs="Times New Roman" w:eastAsia="Times New Roman" w:hAnsi="Times New Roman"/>
          <w:b/>
          <w:bCs/>
          <w:i/>
          <w:iCs/>
          <w:sz w:val="240"/>
          <w:szCs w:val="240"/>
        </w:rPr>
        <w:t xml:space="preserve">VI.B  Endogenous Stabilization Rules</w:t>
      </w:r>
    </w:p>
    <w:p>
      <w:pPr>
        <w:spacing w:after="160" w:line="360"/>
        <w:ind w:firstLine="720"/>
      </w:pPr>
      <w:r>
        <w:rPr>
          <w:rFonts w:ascii="Times New Roman" w:cs="Times New Roman" w:eastAsia="Times New Roman" w:hAnsi="Times New Roman"/>
          <w:sz w:val="240"/>
          <w:szCs w:val="240"/>
        </w:rPr>
        <w:t xml:space="preserve">The baseline imposes deterministic paths for China's SPR releases, renewable acceleration, and manufacturing expansion. We replace these with three Taylor-rule-style reaction functions:</w:t>
      </w:r>
    </w:p>
    <w:p>
      <w:pPr>
        <w:tabs>
          <w:tab w:val="right" w:pos="9360"/>
        </w:tabs>
        <w:spacing w:after="120" w:before="120" w:line="360"/>
        <w:jc w:val="center"/>
      </w:pPr>
      <w:r>
        <w:rPr>
          <w:rFonts w:ascii="Times New Roman" w:cs="Times New Roman" w:eastAsia="Times New Roman" w:hAnsi="Times New Roman"/>
          <w:i/>
          <w:iCs/>
          <w:sz w:val="240"/>
          <w:szCs w:val="240"/>
        </w:rPr>
        <w:t xml:space="preserve">SPRₜ  =  ρₛ SPRₜ₋₁  +  φₛₚ max(pᵒᴵ᳛ₜ − ̅p, 0)  +  φₛʏ max(−yᵍ᳛ᵒᵇₜ₋₁, 0)</w:t>
      </w:r>
      <w:r>
        <w:rPr>
          <w:rFonts w:ascii="Times New Roman" w:cs="Times New Roman" w:eastAsia="Times New Roman" w:hAnsi="Times New Roman"/>
          <w:sz w:val="240"/>
          <w:szCs w:val="240"/>
        </w:rPr>
        <w:t xml:space="preserve">	(9)</w:t>
      </w:r>
    </w:p>
    <w:p>
      <w:pPr>
        <w:tabs>
          <w:tab w:val="right" w:pos="9360"/>
        </w:tabs>
        <w:spacing w:after="120" w:before="120" w:line="360"/>
        <w:jc w:val="center"/>
      </w:pPr>
      <w:r>
        <w:rPr>
          <w:rFonts w:ascii="Times New Roman" w:cs="Times New Roman" w:eastAsia="Times New Roman" w:hAnsi="Times New Roman"/>
          <w:i/>
          <w:iCs/>
          <w:sz w:val="240"/>
          <w:szCs w:val="240"/>
        </w:rPr>
        <w:t xml:space="preserve">RENₜ  =  ρᵣ RENₜ₋₁  +  φᵣₚ (pᵒᴵ᳛ₜ − ̅p)</w:t>
      </w:r>
      <w:r>
        <w:rPr>
          <w:rFonts w:ascii="Times New Roman" w:cs="Times New Roman" w:eastAsia="Times New Roman" w:hAnsi="Times New Roman"/>
          <w:sz w:val="240"/>
          <w:szCs w:val="240"/>
        </w:rPr>
        <w:t xml:space="preserve">	(10)</w:t>
      </w:r>
    </w:p>
    <w:p>
      <w:pPr>
        <w:tabs>
          <w:tab w:val="right" w:pos="9360"/>
        </w:tabs>
        <w:spacing w:after="120" w:before="120" w:line="360"/>
        <w:jc w:val="center"/>
      </w:pPr>
      <w:r>
        <w:rPr>
          <w:rFonts w:ascii="Times New Roman" w:cs="Times New Roman" w:eastAsia="Times New Roman" w:hAnsi="Times New Roman"/>
          <w:i/>
          <w:iCs/>
          <w:sz w:val="240"/>
          <w:szCs w:val="240"/>
        </w:rPr>
        <w:t xml:space="preserve">MFGₜ  =  ρᵐ MFGₜ₋₁  +  φᵐᵈ Dᵗʳᵃᵈᵉₜ  +  φᵐʏ max(−yᵍ᳛ᵒᵇₜ₋₁, 0)</w:t>
      </w:r>
      <w:r>
        <w:rPr>
          <w:rFonts w:ascii="Times New Roman" w:cs="Times New Roman" w:eastAsia="Times New Roman" w:hAnsi="Times New Roman"/>
          <w:sz w:val="240"/>
          <w:szCs w:val="240"/>
        </w:rPr>
        <w:t xml:space="preserve">	(11)</w:t>
      </w:r>
    </w:p>
    <w:p>
      <w:pPr>
        <w:spacing w:after="160" w:line="360"/>
        <w:ind w:firstLine="720"/>
      </w:pPr>
      <w:r>
        <w:rPr>
          <w:rFonts w:ascii="Times New Roman" w:cs="Times New Roman" w:eastAsia="Times New Roman" w:hAnsi="Times New Roman"/>
          <w:sz w:val="240"/>
          <w:szCs w:val="240"/>
        </w:rPr>
        <w:t xml:space="preserve">Reaction coefficients are set to replicate China's actual SPR-release behavior during the 2022 energy crisis. The SPR rule binds at its physical capacity ceiling for the first eight quarters under any plausible parameterization—the binding constraint is not the size of the reserve but the speed of withdrawal. Doubling the manufacturing reaction coefficient φm d, by contrast, reduces China's own welfare loss by 0.70 percentage points and reduces global welfare loss by 0.18 percentage points. Figure 8 reports the SPR and manufacturing paths under the deterministic baseline and the endogenous rule.</w:t>
      </w:r>
    </w:p>
    <w:p>
      <w:pPr>
        <w:pStyle w:val="Heading2"/>
        <w:spacing w:after="80" w:before="280" w:line="360"/>
      </w:pPr>
      <w:r>
        <w:rPr>
          <w:rFonts w:ascii="Times New Roman" w:cs="Times New Roman" w:eastAsia="Times New Roman" w:hAnsi="Times New Roman"/>
          <w:b/>
          <w:bCs/>
          <w:i/>
          <w:iCs/>
          <w:sz w:val="240"/>
          <w:szCs w:val="240"/>
        </w:rPr>
        <w:t xml:space="preserve">VI.C  Empirical Estimation of the Financial Linkage Matrix</w:t>
      </w:r>
    </w:p>
    <w:p>
      <w:pPr>
        <w:spacing w:after="160" w:line="360"/>
        <w:ind w:firstLine="720"/>
      </w:pPr>
      <w:r>
        <w:rPr>
          <w:rFonts w:ascii="Times New Roman" w:cs="Times New Roman" w:eastAsia="Times New Roman" w:hAnsi="Times New Roman"/>
          <w:sz w:val="240"/>
          <w:szCs w:val="240"/>
        </w:rPr>
        <w:t xml:space="preserve">We estimate a structural VAR(1) on a quarterly panel of sovereign spreads from four historical Middle East conflict episodes: the Iran-Iraq War (1980Q3–1988Q3), the Gulf War (1990Q3–1991Q1), the Iraq War (2003Q1–2003Q2), and the 2019 Strait of Hormuz tanker incidents (2019Q2–2019Q4). The panel pools Iran, the US, ROW (a GDP-weighted aggregate of Germany, France, the UK, and Japan), and China (or, in the pre-1990 episodes, an EM aggregate). Spreads are constructed from JPM EMBI+, Hilscher and Nosbusch (2010), and Borensztein and Panizza (2013), with 5-year sovereign CDS used post-2003. Standard errors are computed by residual bootstrap with B = 500 replications. Full data sources are in Online Appendix A.</w:t>
      </w:r>
    </w:p>
    <w:p>
      <w:pPr>
        <w:spacing w:after="160" w:line="360"/>
        <w:ind w:firstLine="720"/>
      </w:pPr>
      <w:r>
        <w:rPr>
          <w:rFonts w:ascii="Times New Roman" w:cs="Times New Roman" w:eastAsia="Times New Roman" w:hAnsi="Times New Roman"/>
          <w:sz w:val="240"/>
          <w:szCs w:val="240"/>
        </w:rPr>
        <w:t xml:space="preserve">The estimated transmission coefficients are reported in Table 6. The Iran-to-US transmission is +0.573 (t = 11.4), the Iran-to-ROW transmission is +0.501 (t = 5.8), and the Iran-to-China transmission is +0.371 (t = 3.5)—all statistically significant at the 1 percent level. The raw pass-through coefficients (0.055, 0.062, 0.137) closely match the calibrated values (0.05, 0.10, 0.15). When we substitute the VAR-estimated linkage matrix back into the model, the 4.88pp financial-channel welfare loss becomes 4.71pp and the spillover ordering across regions is unchanged. Figure 9 visualizes the two matrices side by side. Robustness checks for VAR(2) lag length and alternative variable orderings are in Online Appendix B and C.</w:t>
      </w:r>
    </w:p>
    <w:p>
      <w:pPr>
        <w:pStyle w:val="Heading2"/>
        <w:spacing w:after="80" w:before="280" w:line="360"/>
      </w:pPr>
      <w:r>
        <w:rPr>
          <w:rFonts w:ascii="Times New Roman" w:cs="Times New Roman" w:eastAsia="Times New Roman" w:hAnsi="Times New Roman"/>
          <w:b/>
          <w:bCs/>
          <w:i/>
          <w:iCs/>
          <w:sz w:val="240"/>
          <w:szCs w:val="240"/>
        </w:rPr>
        <w:t xml:space="preserve">VI.D  Policy Counterfactuals</w:t>
      </w:r>
    </w:p>
    <w:p>
      <w:pPr>
        <w:spacing w:after="160" w:line="360"/>
        <w:ind w:firstLine="720"/>
      </w:pPr>
      <w:r>
        <w:rPr>
          <w:rFonts w:ascii="Times New Roman" w:cs="Times New Roman" w:eastAsia="Times New Roman" w:hAnsi="Times New Roman"/>
          <w:sz w:val="240"/>
          <w:szCs w:val="240"/>
        </w:rPr>
        <w:t xml:space="preserve">We run nine counterfactual experiments holding the war shock fixed at the baseline calibration, varying: (i) China's stabilization intensity; (ii) US monetary policy (φπ ∈ {1.0, 1.5, 2.5}, plus coordinated easing); and (iii) the financial channel (baseline, no financial frictions, no contagion, VAR-estimated matrix). Figure 10 reports ROW and China welfare losses across the nine regimes.</w:t>
      </w:r>
    </w:p>
    <w:p>
      <w:pPr>
        <w:spacing w:after="160" w:line="360"/>
        <w:ind w:firstLine="720"/>
      </w:pPr>
      <w:r>
        <w:rPr>
          <w:rFonts w:ascii="Times New Roman" w:cs="Times New Roman" w:eastAsia="Times New Roman" w:hAnsi="Times New Roman"/>
          <w:sz w:val="240"/>
          <w:szCs w:val="240"/>
        </w:rPr>
        <w:t xml:space="preserve">Three results stand out. First, switching off financial frictions (E6) reduces global welfare loss by 4.88 percentage points—more than the entire trade-channel effect. Second, varying φπ from 1.0 to 2.5 (E3 vs. E4) moves global welfare by only 0.11 percentage points, and even fully coordinated demand support (E5) cannot overcome the supply-side damage. Third, doubling China's stabilization (E8) reduces China's own welfare loss by 0.70 percentage points but global welfare by only 0.18 percentage points. Together, these results confirm that the marginal returns to stabilization come from supply-side resilience—financial regulation, manufacturing capacity, energy security—not from demand management.</w:t>
      </w:r>
    </w:p>
    <w:p>
      <w:pPr>
        <w:pStyle w:val="Heading1"/>
        <w:spacing w:after="120" w:before="360" w:line="360"/>
      </w:pPr>
      <w:r>
        <w:rPr>
          <w:rFonts w:ascii="Times New Roman" w:cs="Times New Roman" w:eastAsia="Times New Roman" w:hAnsi="Times New Roman"/>
          <w:b/>
          <w:bCs/>
          <w:caps/>
          <w:sz w:val="260"/>
          <w:szCs w:val="260"/>
        </w:rPr>
        <w:t xml:space="preserve">VII. Conclusion</w:t>
      </w:r>
    </w:p>
    <w:p>
      <w:pPr>
        <w:spacing w:after="160" w:line="360"/>
        <w:ind w:firstLine="720"/>
      </w:pPr>
      <w:r>
        <w:rPr>
          <w:rFonts w:ascii="Times New Roman" w:cs="Times New Roman" w:eastAsia="Times New Roman" w:hAnsi="Times New Roman"/>
          <w:sz w:val="240"/>
          <w:szCs w:val="240"/>
        </w:rPr>
        <w:t xml:space="preserve">Closing the Strait of Hormuz costs the world 4.88 percentage points of global welfare through financial contagion alone—more than the entire trade-channel effect—and no interest-rate rule can offset it. These central quantitative findings reframe the policy question for geopolitical rare disasters from 'how aggressively should central banks respond?' to 'how resilient are supply chains and how well-regulated are cross-border financial flows?'</w:t>
      </w:r>
    </w:p>
    <w:p>
      <w:pPr>
        <w:spacing w:after="160" w:line="360"/>
        <w:ind w:firstLine="720"/>
      </w:pPr>
      <w:r>
        <w:rPr>
          <w:rFonts w:ascii="Times New Roman" w:cs="Times New Roman" w:eastAsia="Times New Roman" w:hAnsi="Times New Roman"/>
          <w:sz w:val="240"/>
          <w:szCs w:val="240"/>
        </w:rPr>
        <w:t xml:space="preserve">Three results support this reframing. Financial contagion amplifies ROW output losses by 3.45× relative to the trade-only baseline, and a structural VAR(1) on four historical Middle East conflict episodes confirms that Iran-to-third-country spread transmission of +0.50 to +0.57 (t &gt; 5) is not a calibration artifact. Macroprudential policy that limits spread spillovers would save an order of magnitude more welfare than any plausible monetary adjustment. Varying Taylor-rule aggressiveness from φπ = 1.0 to φπ = 2.5 moves global welfare by less than 0.11 percentage points across nine policy counterfactuals. And within China's stabilization toolkit, the strategic petroleum reserve hits its physical capacity ceiling from the first quarter while manufacturing capacity remains the unconstrained margin—doubling the manufacturing reaction coefficient saves 0.70 percentage points of China's own welfare, whereas additional reserves save nothing at the margin.</w:t>
      </w:r>
    </w:p>
    <w:p>
      <w:pPr>
        <w:spacing w:after="160" w:line="360"/>
        <w:ind w:firstLine="720"/>
      </w:pPr>
      <w:r>
        <w:rPr>
          <w:rFonts w:ascii="Times New Roman" w:cs="Times New Roman" w:eastAsia="Times New Roman" w:hAnsi="Times New Roman"/>
          <w:sz w:val="240"/>
          <w:szCs w:val="240"/>
        </w:rPr>
        <w:t xml:space="preserve">Two methodological results strengthen the structural conclusions. The second-order perturbation exercise shows a 5.9 percentage-point linearization bias in Iran's peak loss but leaves the cross-regional spillover pattern intact. The VAR-estimated financial linkage matrix moves headline welfare numbers by less than 5 percent relative to the calibrated baseline.</w:t>
      </w:r>
    </w:p>
    <w:p>
      <w:pPr>
        <w:spacing w:after="160" w:line="360"/>
        <w:ind w:firstLine="720"/>
      </w:pPr>
      <w:r>
        <w:rPr>
          <w:rFonts w:ascii="Times New Roman" w:cs="Times New Roman" w:eastAsia="Times New Roman" w:hAnsi="Times New Roman"/>
          <w:sz w:val="240"/>
          <w:szCs w:val="240"/>
        </w:rPr>
        <w:t xml:space="preserve">Three policy implications follow. The Strait of Hormuz is a critical vulnerability whose costs are dominated by financial transmission, not goods trade—strategic planning that focuses on energy supply continuity without addressing cross-border financial contagion is incomplete. Central banks face a fundamental supply-side constraint in rare-disaster geopolitical scenarios; fiscal coordination, energy diversification, and supply-chain redundancy are the operative policy tools. China's manufacturing capacity generates positive global externalities during geopolitical crises that are larger than the welfare gains from additional petroleum reserves, pointing toward a reinterpretation of China's global economic role that goes beyond the competitive-disruption framing of Autor, Dorn, and Hanson (2013).</w:t>
      </w:r>
    </w:p>
    <w:p>
      <w:pPr>
        <w:spacing w:after="160" w:line="360"/>
        <w:ind w:firstLine="720"/>
      </w:pPr>
      <w:r>
        <w:rPr>
          <w:rFonts w:ascii="Times New Roman" w:cs="Times New Roman" w:eastAsia="Times New Roman" w:hAnsi="Times New Roman"/>
          <w:sz w:val="240"/>
          <w:szCs w:val="240"/>
        </w:rPr>
        <w:t xml:space="preserve">Future work should extend the framework in three directions: an estimated Bayesian DSGE model to discipline the structural parameters, richer heterogeneous-agent financial frictions to track distributional effects of contagion, and higher-frequency sovereign CDS data to sharpen the VAR identification of the financial linkage matrix.</w:t>
      </w:r>
    </w:p>
    <w:p>
      <w:pPr>
        <w:pStyle w:val="Heading1"/>
        <w:spacing w:after="120" w:before="360" w:line="360"/>
      </w:pPr>
      <w:r>
        <w:rPr>
          <w:rFonts w:ascii="Times New Roman" w:cs="Times New Roman" w:eastAsia="Times New Roman" w:hAnsi="Times New Roman"/>
          <w:b/>
          <w:bCs/>
          <w:caps/>
          <w:sz w:val="260"/>
          <w:szCs w:val="260"/>
        </w:rPr>
        <w:t xml:space="preserve">Acknowledgments</w:t>
      </w:r>
    </w:p>
    <w:p>
      <w:pPr>
        <w:spacing w:after="160" w:line="360"/>
      </w:pPr>
      <w:r>
        <w:rPr>
          <w:rFonts w:ascii="Times New Roman" w:cs="Times New Roman" w:eastAsia="Times New Roman" w:hAnsi="Times New Roman"/>
          <w:sz w:val="240"/>
          <w:szCs w:val="240"/>
        </w:rPr>
        <w:t xml:space="preserve">The author thanks the editors and two anonymous referees for valuable comments. All errors are the author's own.</w:t>
      </w:r>
    </w:p>
    <w:p>
      <w:pPr>
        <w:pStyle w:val="Heading1"/>
        <w:spacing w:after="120" w:before="360" w:line="360"/>
      </w:pPr>
      <w:r>
        <w:rPr>
          <w:rFonts w:ascii="Times New Roman" w:cs="Times New Roman" w:eastAsia="Times New Roman" w:hAnsi="Times New Roman"/>
          <w:b/>
          <w:bCs/>
          <w:caps/>
          <w:sz w:val="260"/>
          <w:szCs w:val="260"/>
        </w:rPr>
        <w:t xml:space="preserve">Declaration of Interest Statement</w:t>
      </w:r>
    </w:p>
    <w:p>
      <w:pPr>
        <w:spacing w:after="160" w:line="360"/>
      </w:pPr>
      <w:r>
        <w:rPr>
          <w:rFonts w:ascii="Times New Roman" w:cs="Times New Roman" w:eastAsia="Times New Roman" w:hAnsi="Times New Roman"/>
          <w:sz w:val="240"/>
          <w:szCs w:val="240"/>
        </w:rPr>
        <w:t xml:space="preserve">The author reports there are no competing interests to declare.</w:t>
      </w:r>
    </w:p>
    <w:p>
      <w:pPr>
        <w:pStyle w:val="Heading1"/>
        <w:spacing w:after="120" w:before="360" w:line="360"/>
      </w:pPr>
      <w:r>
        <w:rPr>
          <w:rFonts w:ascii="Times New Roman" w:cs="Times New Roman" w:eastAsia="Times New Roman" w:hAnsi="Times New Roman"/>
          <w:b/>
          <w:bCs/>
          <w:caps/>
          <w:sz w:val="260"/>
          <w:szCs w:val="260"/>
        </w:rPr>
        <w:t xml:space="preserve">Funding Details</w:t>
      </w:r>
    </w:p>
    <w:p>
      <w:pPr>
        <w:spacing w:after="160" w:line="360"/>
      </w:pPr>
      <w:r>
        <w:rPr>
          <w:rFonts w:ascii="Times New Roman" w:cs="Times New Roman" w:eastAsia="Times New Roman" w:hAnsi="Times New Roman"/>
          <w:sz w:val="240"/>
          <w:szCs w:val="240"/>
        </w:rPr>
        <w:t xml:space="preserve">This research received no specific grant from any funding agency in the public, commercial, or not-for-profit sectors.</w:t>
      </w:r>
    </w:p>
    <w:p>
      <w:pPr>
        <w:pStyle w:val="Heading1"/>
        <w:spacing w:after="120" w:before="360" w:line="360"/>
      </w:pPr>
      <w:r>
        <w:rPr>
          <w:rFonts w:ascii="Times New Roman" w:cs="Times New Roman" w:eastAsia="Times New Roman" w:hAnsi="Times New Roman"/>
          <w:b/>
          <w:bCs/>
          <w:caps/>
          <w:sz w:val="260"/>
          <w:szCs w:val="260"/>
        </w:rPr>
        <w:t xml:space="preserve">Data Availability Statement</w:t>
      </w:r>
    </w:p>
    <w:p>
      <w:pPr>
        <w:spacing w:after="160" w:line="360"/>
      </w:pPr>
      <w:r>
        <w:rPr>
          <w:rFonts w:ascii="Times New Roman" w:cs="Times New Roman" w:eastAsia="Times New Roman" w:hAnsi="Times New Roman"/>
          <w:sz w:val="240"/>
          <w:szCs w:val="240"/>
        </w:rPr>
        <w:t xml:space="preserve">The model simulation code and data used in the VAR estimation are available from the corresponding author upon reasonable request.</w:t>
      </w:r>
    </w:p>
    <w:p>
      <w:r>
        <w:br w:type="page"/>
      </w:r>
    </w:p>
    <w:p>
      <w:pPr>
        <w:pStyle w:val="Heading1"/>
        <w:spacing w:after="120" w:before="360" w:line="360"/>
      </w:pPr>
      <w:r>
        <w:rPr>
          <w:rFonts w:ascii="Times New Roman" w:cs="Times New Roman" w:eastAsia="Times New Roman" w:hAnsi="Times New Roman"/>
          <w:b/>
          <w:bCs/>
          <w:caps/>
          <w:sz w:val="260"/>
          <w:szCs w:val="260"/>
        </w:rPr>
        <w:t xml:space="preserve">References</w:t>
      </w:r>
    </w:p>
    <w:p>
      <w:pPr>
        <w:spacing w:after="120" w:before="120" w:line="320"/>
        <w:ind w:left="720" w:hanging="720"/>
      </w:pPr>
      <w:r>
        <w:rPr>
          <w:rFonts w:ascii="Times New Roman" w:cs="Times New Roman" w:eastAsia="Times New Roman" w:hAnsi="Times New Roman"/>
          <w:sz w:val="220"/>
          <w:szCs w:val="220"/>
        </w:rPr>
        <w:t xml:space="preserve">Abadie, Alberto, and Javier Gardeazabal. 2003. "The Economic Costs of Conflict: A Case Study of the Basque Country." American Economic Review 93 (1): 113–132. https://doi.org/10.1257/000282803321455188</w:t>
      </w:r>
    </w:p>
    <w:p>
      <w:pPr>
        <w:spacing w:after="120" w:before="120" w:line="320"/>
        <w:ind w:left="720" w:hanging="720"/>
      </w:pPr>
      <w:r>
        <w:rPr>
          <w:rFonts w:ascii="Times New Roman" w:cs="Times New Roman" w:eastAsia="Times New Roman" w:hAnsi="Times New Roman"/>
          <w:sz w:val="220"/>
          <w:szCs w:val="220"/>
        </w:rPr>
        <w:t xml:space="preserve">Autor, David H., David Dorn, and Gordon H. Hanson. 2013. "The China Syndrome: Local Labor Market Effects of Import Competition in the United States." American Economic Review 103 (6): 2121–2168. https://doi.org/10.1257/aer.103.6.2121</w:t>
      </w:r>
    </w:p>
    <w:p>
      <w:pPr>
        <w:spacing w:after="120" w:before="120" w:line="320"/>
        <w:ind w:left="720" w:hanging="720"/>
      </w:pPr>
      <w:r>
        <w:rPr>
          <w:rFonts w:ascii="Times New Roman" w:cs="Times New Roman" w:eastAsia="Times New Roman" w:hAnsi="Times New Roman"/>
          <w:sz w:val="220"/>
          <w:szCs w:val="220"/>
        </w:rPr>
        <w:t xml:space="preserve">Barro, Robert J. 2006. "Rare Disasters and Asset Markets in the Twentieth Century." Quarterly Journal of Economics 121 (3): 823–866. https://doi.org/10.1162/qjec.121.3.823</w:t>
      </w:r>
    </w:p>
    <w:p>
      <w:pPr>
        <w:spacing w:after="120" w:before="120" w:line="320"/>
        <w:ind w:left="720" w:hanging="720"/>
      </w:pPr>
      <w:r>
        <w:rPr>
          <w:rFonts w:ascii="Times New Roman" w:cs="Times New Roman" w:eastAsia="Times New Roman" w:hAnsi="Times New Roman"/>
          <w:sz w:val="220"/>
          <w:szCs w:val="220"/>
        </w:rPr>
        <w:t xml:space="preserve">Blanchard, Olivier J., and Jordi Gali. 2007. "The Macroeconomic Effects of Oil Price Shocks: Why Are the 2000s So Different from the 1970s?" NBER Working Paper 13368. https://doi.org/10.3386/w13368</w:t>
      </w:r>
    </w:p>
    <w:p>
      <w:pPr>
        <w:spacing w:after="120" w:before="120" w:line="320"/>
        <w:ind w:left="720" w:hanging="720"/>
      </w:pPr>
      <w:r>
        <w:rPr>
          <w:rFonts w:ascii="Times New Roman" w:cs="Times New Roman" w:eastAsia="Times New Roman" w:hAnsi="Times New Roman"/>
          <w:sz w:val="220"/>
          <w:szCs w:val="220"/>
        </w:rPr>
        <w:t xml:space="preserve">Bodenstein, Martin, Christopher J. Erceg, and Luca Guerrieri. 2011. "Oil Shocks and External Adjustment." Journal of International Economics 83 (2): 168–184. https://doi.org/10.1016/j.jinteco.2010.10.006</w:t>
      </w:r>
    </w:p>
    <w:p>
      <w:pPr>
        <w:spacing w:after="120" w:before="120" w:line="320"/>
        <w:ind w:left="720" w:hanging="720"/>
      </w:pPr>
      <w:r>
        <w:rPr>
          <w:rFonts w:ascii="Times New Roman" w:cs="Times New Roman" w:eastAsia="Times New Roman" w:hAnsi="Times New Roman"/>
          <w:sz w:val="220"/>
          <w:szCs w:val="220"/>
        </w:rPr>
        <w:t xml:space="preserve">Borensztein, Eduardo, and Ugo Panizza. 2013. "The Costs of Sovereign Default." IMF Staff Papers 56 (4): 683–741. https://doi.org/10.1057/imfsp.2009.21</w:t>
      </w:r>
    </w:p>
    <w:p>
      <w:pPr>
        <w:spacing w:after="120" w:before="120" w:line="320"/>
        <w:ind w:left="720" w:hanging="720"/>
      </w:pPr>
      <w:r>
        <w:rPr>
          <w:rFonts w:ascii="Times New Roman" w:cs="Times New Roman" w:eastAsia="Times New Roman" w:hAnsi="Times New Roman"/>
          <w:sz w:val="220"/>
          <w:szCs w:val="220"/>
        </w:rPr>
        <w:t xml:space="preserve">Caldara, Dario, and Matteo Iacoviello. 2022. "Measuring Geopolitical Risk." American Economic Review 112 (4): 1194–1225. https://doi.org/10.1257/aer.20191823</w:t>
      </w:r>
    </w:p>
    <w:p>
      <w:pPr>
        <w:spacing w:after="120" w:before="120" w:line="320"/>
        <w:ind w:left="720" w:hanging="720"/>
      </w:pPr>
      <w:r>
        <w:rPr>
          <w:rFonts w:ascii="Times New Roman" w:cs="Times New Roman" w:eastAsia="Times New Roman" w:hAnsi="Times New Roman"/>
          <w:sz w:val="220"/>
          <w:szCs w:val="220"/>
        </w:rPr>
        <w:t xml:space="preserve">Energy Information Administration. 2023. "The Strait of Hormuz Is the World's Most Important Oil Transit Chokepoint." EIA Today in Energy, June 20. https://www.eia.gov/todayinenergy/detail.php?id=56919</w:t>
      </w:r>
    </w:p>
    <w:p>
      <w:pPr>
        <w:spacing w:after="120" w:before="120" w:line="320"/>
        <w:ind w:left="720" w:hanging="720"/>
      </w:pPr>
      <w:r>
        <w:rPr>
          <w:rFonts w:ascii="Times New Roman" w:cs="Times New Roman" w:eastAsia="Times New Roman" w:hAnsi="Times New Roman"/>
          <w:sz w:val="220"/>
          <w:szCs w:val="220"/>
        </w:rPr>
        <w:t xml:space="preserve">Federle, Jonathan, Andre Meier, Gernot J. Muller, Willi Mutschler, and Moritz Schularick. 2026. "The Price of War." American Economic Review 116 (3): 791–827.</w:t>
      </w:r>
    </w:p>
    <w:p>
      <w:pPr>
        <w:spacing w:after="120" w:before="120" w:line="320"/>
        <w:ind w:left="720" w:hanging="720"/>
      </w:pPr>
      <w:r>
        <w:rPr>
          <w:rFonts w:ascii="Times New Roman" w:cs="Times New Roman" w:eastAsia="Times New Roman" w:hAnsi="Times New Roman"/>
          <w:sz w:val="220"/>
          <w:szCs w:val="220"/>
        </w:rPr>
        <w:t xml:space="preserve">Gali, Jordi. 2015. Monetary Policy, Inflation, and the Business Cycle: An Introduction to the New Keynesian Framework. 2nd ed. Princeton: Princeton University Press.</w:t>
      </w:r>
    </w:p>
    <w:p>
      <w:pPr>
        <w:spacing w:after="120" w:before="120" w:line="320"/>
        <w:ind w:left="720" w:hanging="720"/>
      </w:pPr>
      <w:r>
        <w:rPr>
          <w:rFonts w:ascii="Times New Roman" w:cs="Times New Roman" w:eastAsia="Times New Roman" w:hAnsi="Times New Roman"/>
          <w:sz w:val="220"/>
          <w:szCs w:val="220"/>
        </w:rPr>
        <w:t xml:space="preserve">Hamilton, James D. 1983. "Oil and the Macroeconomy since World War II." Journal of Political Economy 91 (2): 228–248. https://doi.org/10.1086/261140</w:t>
      </w:r>
    </w:p>
    <w:p>
      <w:pPr>
        <w:spacing w:after="120" w:before="120" w:line="320"/>
        <w:ind w:left="720" w:hanging="720"/>
      </w:pPr>
      <w:r>
        <w:rPr>
          <w:rFonts w:ascii="Times New Roman" w:cs="Times New Roman" w:eastAsia="Times New Roman" w:hAnsi="Times New Roman"/>
          <w:sz w:val="220"/>
          <w:szCs w:val="220"/>
        </w:rPr>
        <w:t xml:space="preserve">Hamilton, James D. 2009. "Understanding Crude Oil Prices." Energy Journal 30 (2): 179–206. https://doi.org/10.5547/ISSN0195-6574-EJ-Vol30-No2-9</w:t>
      </w:r>
    </w:p>
    <w:p>
      <w:pPr>
        <w:spacing w:after="120" w:before="120" w:line="320"/>
        <w:ind w:left="720" w:hanging="720"/>
      </w:pPr>
      <w:r>
        <w:rPr>
          <w:rFonts w:ascii="Times New Roman" w:cs="Times New Roman" w:eastAsia="Times New Roman" w:hAnsi="Times New Roman"/>
          <w:sz w:val="220"/>
          <w:szCs w:val="220"/>
        </w:rPr>
        <w:t xml:space="preserve">Helveston, John P., Yimin He, and Michael R. Davidson. 2019. "Quantifying the Cost Savings of Global Solar Photovoltaic Supply Chains." Nature 612: 83–87. https://doi.org/10.1038/s41586-022-05316-6</w:t>
      </w:r>
    </w:p>
    <w:p>
      <w:pPr>
        <w:spacing w:after="120" w:before="120" w:line="320"/>
        <w:ind w:left="720" w:hanging="720"/>
      </w:pPr>
      <w:r>
        <w:rPr>
          <w:rFonts w:ascii="Times New Roman" w:cs="Times New Roman" w:eastAsia="Times New Roman" w:hAnsi="Times New Roman"/>
          <w:sz w:val="220"/>
          <w:szCs w:val="220"/>
        </w:rPr>
        <w:t xml:space="preserve">Hilscher, Jens, and Yves Nosbusch. 2010. "Determinants of Sovereign Risk: Macroeconomic Fundamentals and the Pricing of Sovereign Debt." Review of Finance 14 (2): 235–262. https://doi.org/10.1093/rof/rfq005</w:t>
      </w:r>
    </w:p>
    <w:p>
      <w:pPr>
        <w:spacing w:after="120" w:before="120" w:line="320"/>
        <w:ind w:left="720" w:hanging="720"/>
      </w:pPr>
      <w:r>
        <w:rPr>
          <w:rFonts w:ascii="Times New Roman" w:cs="Times New Roman" w:eastAsia="Times New Roman" w:hAnsi="Times New Roman"/>
          <w:sz w:val="220"/>
          <w:szCs w:val="220"/>
        </w:rPr>
        <w:t xml:space="preserve">Jorda, Oscar. 2005. "Estimation and Inference of Impulse Responses by Local Projections." American Economic Review 95 (1): 161–182. https://doi.org/10.1257/0002828053828518</w:t>
      </w:r>
    </w:p>
    <w:p>
      <w:pPr>
        <w:spacing w:after="120" w:before="120" w:line="320"/>
        <w:ind w:left="720" w:hanging="720"/>
      </w:pPr>
      <w:r>
        <w:rPr>
          <w:rFonts w:ascii="Times New Roman" w:cs="Times New Roman" w:eastAsia="Times New Roman" w:hAnsi="Times New Roman"/>
          <w:sz w:val="220"/>
          <w:szCs w:val="220"/>
        </w:rPr>
        <w:t xml:space="preserve">Kilian, Lutz. 2009. "Not All Oil Price Shocks Are Alike: Disentangling Demand and Supply Shocks in the Crude Oil Market." American Economic Review 99 (3): 1053–1069. https://doi.org/10.1257/aer.99.3.1053</w:t>
      </w:r>
    </w:p>
    <w:p>
      <w:pPr>
        <w:spacing w:after="120" w:before="120" w:line="320"/>
        <w:ind w:left="720" w:hanging="720"/>
      </w:pPr>
      <w:r>
        <w:rPr>
          <w:rFonts w:ascii="Times New Roman" w:cs="Times New Roman" w:eastAsia="Times New Roman" w:hAnsi="Times New Roman"/>
          <w:sz w:val="220"/>
          <w:szCs w:val="220"/>
        </w:rPr>
        <w:t xml:space="preserve">Longstaff, Francis A., Jun Pan, Lasse H. Pedersen, and Kenneth J. Singleton. 2011. "How Sovereign Is Sovereign Credit Risk?" American Economic Journal: Macroeconomics 3 (2): 75–103. https://doi.org/10.1257/mac.3.2.75</w:t>
      </w:r>
    </w:p>
    <w:p>
      <w:pPr>
        <w:spacing w:after="120" w:before="120" w:line="320"/>
        <w:ind w:left="720" w:hanging="720"/>
      </w:pPr>
      <w:r>
        <w:rPr>
          <w:rFonts w:ascii="Times New Roman" w:cs="Times New Roman" w:eastAsia="Times New Roman" w:hAnsi="Times New Roman"/>
          <w:sz w:val="220"/>
          <w:szCs w:val="220"/>
        </w:rPr>
        <w:t xml:space="preserve">Lucas, Robert E., Jr. 1987. Models of Business Cycles. Oxford: Basil Blackwell.</w:t>
      </w:r>
    </w:p>
    <w:p>
      <w:pPr>
        <w:spacing w:after="120" w:before="120" w:line="320"/>
        <w:ind w:left="720" w:hanging="720"/>
      </w:pPr>
      <w:r>
        <w:rPr>
          <w:rFonts w:ascii="Times New Roman" w:cs="Times New Roman" w:eastAsia="Times New Roman" w:hAnsi="Times New Roman"/>
          <w:sz w:val="220"/>
          <w:szCs w:val="220"/>
        </w:rPr>
        <w:t xml:space="preserve">Ramey, Valerie A. 2011. "Identifying Government Spending Shocks: It's All in the Timing." Quarterly Journal of Economics 126 (1): 1–50. https://doi.org/10.1093/qje/qjq008</w:t>
      </w:r>
    </w:p>
    <w:p>
      <w:pPr>
        <w:spacing w:after="120" w:before="120" w:line="320"/>
        <w:ind w:left="720" w:hanging="720"/>
      </w:pPr>
      <w:r>
        <w:rPr>
          <w:rFonts w:ascii="Times New Roman" w:cs="Times New Roman" w:eastAsia="Times New Roman" w:hAnsi="Times New Roman"/>
          <w:sz w:val="220"/>
          <w:szCs w:val="220"/>
        </w:rPr>
        <w:t xml:space="preserve">Rey, Helene. 2015. "Dilemma Not Trilemma: The Global Financial Cycle and Monetary Policy Independence." NBER Working Paper 21162. https://doi.org/10.3386/w21162</w:t>
      </w:r>
    </w:p>
    <w:p>
      <w:pPr>
        <w:spacing w:after="120" w:before="120" w:line="320"/>
        <w:ind w:left="720" w:hanging="720"/>
      </w:pPr>
      <w:r>
        <w:rPr>
          <w:rFonts w:ascii="Times New Roman" w:cs="Times New Roman" w:eastAsia="Times New Roman" w:hAnsi="Times New Roman"/>
          <w:sz w:val="220"/>
          <w:szCs w:val="220"/>
        </w:rPr>
        <w:t xml:space="preserve">Zhang, Dayong, Qiang Ji, and Apostolos Kiohos. 2020. "China's Oil Strategic Petroleum Reserve: A DSGE Analysis." Energy Economics 88: 104748. https://doi.org/10.1016/j.eneco.2020.104748</w:t>
      </w:r>
    </w:p>
    <w:p>
      <w:r>
        <w:br w:type="page"/>
      </w:r>
    </w:p>
    <w:p>
      <w:pPr>
        <w:spacing w:after="60" w:before="120"/>
      </w:pPr>
      <w:r>
        <w:rPr>
          <w:rFonts w:ascii="Times New Roman" w:cs="Times New Roman" w:eastAsia="Times New Roman" w:hAnsi="Times New Roman"/>
          <w:b/>
          <w:bCs/>
          <w:sz w:val="220"/>
          <w:szCs w:val="220"/>
        </w:rPr>
        <w:t xml:space="preserve">Table 1.</w:t>
      </w:r>
      <w:r>
        <w:rPr>
          <w:rFonts w:ascii="Times New Roman" w:cs="Times New Roman" w:eastAsia="Times New Roman" w:hAnsi="Times New Roman"/>
          <w:sz w:val="220"/>
          <w:szCs w:val="220"/>
        </w:rPr>
        <w:t xml:space="preserve"> Structural Parameter Calibration</w:t>
      </w:r>
    </w:p>
    <w:tbl>
      <w:tblPr>
        <w:tblW w:type="dxa" w:w="9760"/>
        <w:tblBorders>
          <w:top w:val="none" w:color="FFFFFF" w:sz="0"/>
          <w:left w:val="none" w:color="FFFFFF" w:sz="0"/>
          <w:bottom w:val="none" w:color="FFFFFF" w:sz="0"/>
          <w:right w:val="none" w:color="FFFFFF" w:sz="0"/>
          <w:insideH w:val="single" w:color="auto" w:sz="4"/>
          <w:insideV w:val="single" w:color="auto" w:sz="4"/>
        </w:tblBorders>
      </w:tblPr>
      <w:tblGrid>
        <w:gridCol w:w="2200"/>
        <w:gridCol w:w="1200"/>
        <w:gridCol w:w="1400"/>
        <w:gridCol w:w="1200"/>
        <w:gridCol w:w="1200"/>
        <w:gridCol w:w="2560"/>
      </w:tblGrid>
      <w:tr>
        <w:tc>
          <w:tcPr>
            <w:tcW w:type="dxa" w:w="22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Parameter</w:t>
            </w:r>
          </w:p>
        </w:tc>
        <w:tc>
          <w:tcPr>
            <w:tcW w:type="dxa" w:w="12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Iran</w:t>
            </w:r>
          </w:p>
        </w:tc>
        <w:tc>
          <w:tcPr>
            <w:tcW w:type="dxa" w:w="14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US-Israel</w:t>
            </w:r>
          </w:p>
        </w:tc>
        <w:tc>
          <w:tcPr>
            <w:tcW w:type="dxa" w:w="12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China</w:t>
            </w:r>
          </w:p>
        </w:tc>
        <w:tc>
          <w:tcPr>
            <w:tcW w:type="dxa" w:w="12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ROW</w:t>
            </w:r>
          </w:p>
        </w:tc>
        <w:tc>
          <w:tcPr>
            <w:tcW w:type="dxa" w:w="256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Source</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Preferences and technology</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β (discount factor)</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0.99</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0.99</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0.99</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0.99</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Standard</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σ (risk aversion)</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2.0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1.2</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1.5</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Regional estimates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θ (Calvo parameter)</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0.60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0.75</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Gali (2015)</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ε (elasticity of sub.)</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6.0</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6.0</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6.0</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Standard</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Energy sector</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αe (energy share)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0.30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0.04</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0.06</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National accounts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Oil import share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0.03</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0.04</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EIA/IEA data</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Oil export share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0.01</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EIA/IEA data</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Trade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Trade openness (ω)</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0.25</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0.35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0.40</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World Bank WDI</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Trade with Iran</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1.00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0.015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0.008</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DOTS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Monetary policy</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φπ (inflation response)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1.2</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1.3</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1.4</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Taylor rule estimates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φy (output response)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0.3</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0.8</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0.4</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Taylor rule estimates</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ρi (smoothing)</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0.70</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0.85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0.80</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Central bank behavior</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Scale and military</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GDP share (global)</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0.02</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0.28</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0.20</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0.50</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IMF WEO</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Military/GDP</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0.025</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0.035</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0.017</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0.018</w:t>
            </w:r>
          </w:p>
        </w:tc>
        <w:tc>
          <w:tcPr>
            <w:tcW w:type="dxa" w:w="2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SIPRI</w:t>
            </w:r>
          </w:p>
        </w:tc>
      </w:tr>
      <w:tr>
        <w:tc>
          <w:tcPr>
            <w:tcW w:type="dxa" w:w="22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SPR capacity</w:t>
            </w:r>
          </w:p>
        </w:tc>
        <w:tc>
          <w:tcPr>
            <w:tcW w:type="dxa" w:w="12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w:t>
            </w:r>
          </w:p>
        </w:tc>
        <w:tc>
          <w:tcPr>
            <w:tcW w:type="dxa" w:w="14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0.50</w:t>
            </w:r>
          </w:p>
        </w:tc>
        <w:tc>
          <w:tcPr>
            <w:tcW w:type="dxa" w:w="12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0.80</w:t>
            </w:r>
          </w:p>
        </w:tc>
        <w:tc>
          <w:tcPr>
            <w:tcW w:type="dxa" w:w="12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0.30</w:t>
            </w:r>
          </w:p>
        </w:tc>
        <w:tc>
          <w:tcPr>
            <w:tcW w:type="dxa" w:w="256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IEA data</w:t>
            </w:r>
          </w:p>
        </w:tc>
      </w:tr>
    </w:tbl>
    <w:p>
      <w:pPr>
        <w:spacing w:after="120" w:before="60"/>
      </w:pPr>
      <w:r>
        <w:rPr>
          <w:rFonts w:ascii="Times New Roman" w:cs="Times New Roman" w:eastAsia="Times New Roman" w:hAnsi="Times New Roman"/>
          <w:i/>
          <w:iCs/>
          <w:sz w:val="200"/>
          <w:szCs w:val="200"/>
        </w:rPr>
        <w:t xml:space="preserve">Notes: </w:t>
      </w:r>
      <w:r>
        <w:rPr>
          <w:rFonts w:ascii="Times New Roman" w:cs="Times New Roman" w:eastAsia="Times New Roman" w:hAnsi="Times New Roman"/>
          <w:sz w:val="200"/>
          <w:szCs w:val="200"/>
        </w:rPr>
        <w:t xml:space="preserve">Quarterly model. Iran's αe = 0.30 reflects its status as a major oil exporter. China's high SPR capacity (0.8) reflects approximately 90 days of import cover. GDP shares are approximate PPP-adjusted shares of the four-region world.</w:t>
      </w:r>
    </w:p>
    <w:p>
      <w:r>
        <w:br w:type="page"/>
      </w:r>
    </w:p>
    <w:p>
      <w:pPr>
        <w:spacing w:after="60" w:before="120"/>
      </w:pPr>
      <w:r>
        <w:rPr>
          <w:rFonts w:ascii="Times New Roman" w:cs="Times New Roman" w:eastAsia="Times New Roman" w:hAnsi="Times New Roman"/>
          <w:b/>
          <w:bCs/>
          <w:sz w:val="220"/>
          <w:szCs w:val="220"/>
        </w:rPr>
        <w:t xml:space="preserve">Table 2.</w:t>
      </w:r>
      <w:r>
        <w:rPr>
          <w:rFonts w:ascii="Times New Roman" w:cs="Times New Roman" w:eastAsia="Times New Roman" w:hAnsi="Times New Roman"/>
          <w:sz w:val="220"/>
          <w:szCs w:val="220"/>
        </w:rPr>
        <w:t xml:space="preserve"> War Shock Calibration</w:t>
      </w:r>
    </w:p>
    <w:tbl>
      <w:tblPr>
        <w:tblW w:type="dxa" w:w="7760"/>
        <w:tblBorders>
          <w:top w:val="none" w:color="FFFFFF" w:sz="0"/>
          <w:left w:val="none" w:color="FFFFFF" w:sz="0"/>
          <w:bottom w:val="none" w:color="FFFFFF" w:sz="0"/>
          <w:right w:val="none" w:color="FFFFFF" w:sz="0"/>
          <w:insideH w:val="single" w:color="auto" w:sz="4"/>
          <w:insideV w:val="single" w:color="auto" w:sz="4"/>
        </w:tblBorders>
      </w:tblPr>
      <w:tblGrid>
        <w:gridCol w:w="2500"/>
        <w:gridCol w:w="2500"/>
        <w:gridCol w:w="1500"/>
        <w:gridCol w:w="1260"/>
      </w:tblGrid>
      <w:tr>
        <w:tc>
          <w:tcPr>
            <w:tcW w:type="dxa" w:w="25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Shock</w:t>
            </w:r>
          </w:p>
        </w:tc>
        <w:tc>
          <w:tcPr>
            <w:tcW w:type="dxa" w:w="25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Functional Form</w:t>
            </w:r>
          </w:p>
        </w:tc>
        <w:tc>
          <w:tcPr>
            <w:tcW w:type="dxa" w:w="15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Peak Value</w:t>
            </w:r>
          </w:p>
        </w:tc>
        <w:tc>
          <w:tcPr>
            <w:tcW w:type="dxa" w:w="126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Decay Rate</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Real-side shocks</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capital destruction</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0.06 · e⁻°¹ᵗ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6.0%</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0.10/qtr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trade disruption</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0.08 · e⁻°¹²ᵗ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8.0%</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0.12/qtr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Hormuz blockade severity</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0.70 · e⁻°°⁵ᵗ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70%</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US military spending</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0.025 · e⁻°°⁵ᵗ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2.5pp GDP</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Financial shocks</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spread shock</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 · e⁻°°⁸ᵗ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500 bp</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0.08/qtr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capital flight</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−0.15 · e⁻°¹ᵗ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−15% GDP</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0.10/qtr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equity shock</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−0.40 at t=0</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−40%</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Impact only</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US spread</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−0.002 (constant)</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−20 bp</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US safe-haven inflow</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0.03 · e⁻°¹ᵗ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3% GDP</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0.10/qtr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ROW spread shock</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0.005 · e⁻°¹ᵗ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50 bp</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0.10/qtr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iCs/>
                <w:sz w:val="220"/>
                <w:szCs w:val="220"/>
              </w:rPr>
              <w:t xml:space="preserve">China stabilization</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SPR release</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0.008 · e⁻°¹ᵗ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0.8%</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0.10/qtr</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Renewable substitution</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0.002(1−e⁻°¹⁵ᵗ)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Gradual</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Manufacturing boost</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0.015(1−e⁻°²ᵗ)</w:t>
            </w:r>
          </w:p>
        </w:tc>
        <w:tc>
          <w:tcPr>
            <w:tcW w:type="dxa" w:w="1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1.5%</w:t>
            </w:r>
          </w:p>
        </w:tc>
        <w:tc>
          <w:tcPr>
            <w:tcW w:type="dxa" w:w="12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Gradual</w:t>
            </w:r>
          </w:p>
        </w:tc>
      </w:tr>
      <w:tr>
        <w:tc>
          <w:tcPr>
            <w:tcW w:type="dxa" w:w="25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FX intervention</w:t>
            </w:r>
          </w:p>
        </w:tc>
        <w:tc>
          <w:tcPr>
            <w:tcW w:type="dxa" w:w="25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−0.01 (t &lt; 8)</w:t>
            </w:r>
          </w:p>
        </w:tc>
        <w:tc>
          <w:tcPr>
            <w:tcW w:type="dxa" w:w="15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w:t>
            </w:r>
          </w:p>
        </w:tc>
        <w:tc>
          <w:tcPr>
            <w:tcW w:type="dxa" w:w="126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8 quarters</w:t>
            </w:r>
          </w:p>
        </w:tc>
      </w:tr>
    </w:tbl>
    <w:p>
      <w:pPr>
        <w:spacing w:after="120" w:before="60"/>
      </w:pPr>
      <w:r>
        <w:rPr>
          <w:rFonts w:ascii="Times New Roman" w:cs="Times New Roman" w:eastAsia="Times New Roman" w:hAnsi="Times New Roman"/>
          <w:i/>
          <w:iCs/>
          <w:sz w:val="200"/>
          <w:szCs w:val="200"/>
        </w:rPr>
        <w:t xml:space="preserve">Notes: </w:t>
      </w:r>
      <w:r>
        <w:rPr>
          <w:rFonts w:ascii="Times New Roman" w:cs="Times New Roman" w:eastAsia="Times New Roman" w:hAnsi="Times New Roman"/>
          <w:sz w:val="200"/>
          <w:szCs w:val="200"/>
        </w:rPr>
        <w:t xml:space="preserve">All values expressed as fractions. Blockade duration is 8 quarters in the baseline scenario. Financial shocks match the sovereign-spread dynamics observed in the four historical Middle East conflict episodes used in the VAR estimation; see Online Appendix A for full data sources.</w:t>
      </w:r>
    </w:p>
    <w:p>
      <w:r>
        <w:br w:type="page"/>
      </w:r>
    </w:p>
    <w:p>
      <w:pPr>
        <w:spacing w:after="60" w:before="120"/>
      </w:pPr>
      <w:r>
        <w:rPr>
          <w:rFonts w:ascii="Times New Roman" w:cs="Times New Roman" w:eastAsia="Times New Roman" w:hAnsi="Times New Roman"/>
          <w:b/>
          <w:bCs/>
          <w:sz w:val="220"/>
          <w:szCs w:val="220"/>
        </w:rPr>
        <w:t xml:space="preserve">Table 3.</w:t>
      </w:r>
      <w:r>
        <w:rPr>
          <w:rFonts w:ascii="Times New Roman" w:cs="Times New Roman" w:eastAsia="Times New Roman" w:hAnsi="Times New Roman"/>
          <w:sz w:val="220"/>
          <w:szCs w:val="220"/>
        </w:rPr>
        <w:t xml:space="preserve"> Financial Channel Amplification: Trade Only vs. Full Model</w:t>
      </w:r>
    </w:p>
    <w:tbl>
      <w:tblPr>
        <w:tblW w:type="dxa" w:w="8760"/>
        <w:tblBorders>
          <w:top w:val="none" w:color="FFFFFF" w:sz="0"/>
          <w:left w:val="none" w:color="FFFFFF" w:sz="0"/>
          <w:bottom w:val="none" w:color="FFFFFF" w:sz="0"/>
          <w:right w:val="none" w:color="FFFFFF" w:sz="0"/>
          <w:insideH w:val="single" w:color="auto" w:sz="4"/>
          <w:insideV w:val="single" w:color="auto" w:sz="4"/>
        </w:tblBorders>
      </w:tblPr>
      <w:tblGrid>
        <w:gridCol w:w="3200"/>
        <w:gridCol w:w="1800"/>
        <w:gridCol w:w="2000"/>
        <w:gridCol w:w="1760"/>
      </w:tblGrid>
      <w:tr>
        <w:tc>
          <w:tcPr>
            <w:tcW w:type="dxa" w:w="32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
            </w:r>
          </w:p>
        </w:tc>
        <w:tc>
          <w:tcPr>
            <w:tcW w:type="dxa" w:w="18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Trade Only</w:t>
            </w:r>
          </w:p>
        </w:tc>
        <w:tc>
          <w:tcPr>
            <w:tcW w:type="dxa" w:w="20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Trade + Financial</w:t>
            </w:r>
          </w:p>
        </w:tc>
        <w:tc>
          <w:tcPr>
            <w:tcW w:type="dxa" w:w="176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Amplification Factor</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peak GDP loss</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−16.4%</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−27.2%</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1.66×</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ROW peak GDP loss</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−1.1%</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−3.8%</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3.45×</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China peak GDP loss</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−1.2%</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−1.2%</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1.00×</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US-Israel peak GDP</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+1.7%</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+1.7%</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w:t>
            </w:r>
          </w:p>
        </w:tc>
      </w:tr>
      <w:tr>
        <w:tc>
          <w:tcPr>
            <w:tcW w:type="dxa" w:w="32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Iran peak inflation</w:t>
            </w:r>
          </w:p>
        </w:tc>
        <w:tc>
          <w:tcPr>
            <w:tcW w:type="dxa" w:w="18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+7.2pp</w:t>
            </w:r>
          </w:p>
        </w:tc>
        <w:tc>
          <w:tcPr>
            <w:tcW w:type="dxa" w:w="20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+7.2pp</w:t>
            </w:r>
          </w:p>
        </w:tc>
        <w:tc>
          <w:tcPr>
            <w:tcW w:type="dxa" w:w="176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1.00×</w:t>
            </w:r>
          </w:p>
        </w:tc>
      </w:tr>
    </w:tbl>
    <w:p>
      <w:pPr>
        <w:spacing w:after="120" w:before="60"/>
      </w:pPr>
      <w:r>
        <w:rPr>
          <w:rFonts w:ascii="Times New Roman" w:cs="Times New Roman" w:eastAsia="Times New Roman" w:hAnsi="Times New Roman"/>
          <w:i/>
          <w:iCs/>
          <w:sz w:val="200"/>
          <w:szCs w:val="200"/>
        </w:rPr>
        <w:t xml:space="preserve">Notes: </w:t>
      </w:r>
      <w:r>
        <w:rPr>
          <w:rFonts w:ascii="Times New Roman" w:cs="Times New Roman" w:eastAsia="Times New Roman" w:hAnsi="Times New Roman"/>
          <w:sz w:val="200"/>
          <w:szCs w:val="200"/>
        </w:rPr>
        <w:t xml:space="preserve">Trade Only refers to the model without financial channels. Trade + Financial is the full model with sovereign spreads, capital flows, equity markets, and contagion. Amplification factor is the ratio of full-model to trade-only effects.</w:t>
      </w:r>
    </w:p>
    <w:p>
      <w:r>
        <w:br w:type="page"/>
      </w:r>
    </w:p>
    <w:p>
      <w:pPr>
        <w:spacing w:after="60" w:before="120"/>
      </w:pPr>
      <w:r>
        <w:rPr>
          <w:rFonts w:ascii="Times New Roman" w:cs="Times New Roman" w:eastAsia="Times New Roman" w:hAnsi="Times New Roman"/>
          <w:b/>
          <w:bCs/>
          <w:sz w:val="220"/>
          <w:szCs w:val="220"/>
        </w:rPr>
        <w:t xml:space="preserve">Table 4.</w:t>
      </w:r>
      <w:r>
        <w:rPr>
          <w:rFonts w:ascii="Times New Roman" w:cs="Times New Roman" w:eastAsia="Times New Roman" w:hAnsi="Times New Roman"/>
          <w:sz w:val="220"/>
          <w:szCs w:val="220"/>
        </w:rPr>
        <w:t xml:space="preserve"> Decomposition of China's Stabilization Effect</w:t>
      </w:r>
    </w:p>
    <w:tbl>
      <w:tblPr>
        <w:tblW w:type="dxa" w:w="8760"/>
        <w:tblBorders>
          <w:top w:val="none" w:color="FFFFFF" w:sz="0"/>
          <w:left w:val="none" w:color="FFFFFF" w:sz="0"/>
          <w:bottom w:val="none" w:color="FFFFFF" w:sz="0"/>
          <w:right w:val="none" w:color="FFFFFF" w:sz="0"/>
          <w:insideH w:val="single" w:color="auto" w:sz="4"/>
          <w:insideV w:val="single" w:color="auto" w:sz="4"/>
        </w:tblBorders>
      </w:tblPr>
      <w:tblGrid>
        <w:gridCol w:w="3200"/>
        <w:gridCol w:w="1800"/>
        <w:gridCol w:w="2000"/>
        <w:gridCol w:w="1760"/>
      </w:tblGrid>
      <w:tr>
        <w:tc>
          <w:tcPr>
            <w:tcW w:type="dxa" w:w="32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Mechanism</w:t>
            </w:r>
          </w:p>
        </w:tc>
        <w:tc>
          <w:tcPr>
            <w:tcW w:type="dxa" w:w="18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Global GDP Loss</w:t>
            </w:r>
          </w:p>
        </w:tc>
        <w:tc>
          <w:tcPr>
            <w:tcW w:type="dxa" w:w="20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Global Inflation Peak</w:t>
            </w:r>
          </w:p>
        </w:tc>
        <w:tc>
          <w:tcPr>
            <w:tcW w:type="dxa" w:w="176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Oil Price Peak</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No stabilization</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−0.80%</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+1.98pp</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+68%</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left="288"/>
            </w:pPr>
            <w:r>
              <w:rPr>
                <w:rFonts w:ascii="Times New Roman" w:cs="Times New Roman" w:eastAsia="Times New Roman" w:hAnsi="Times New Roman"/>
                <w:b w:val="false"/>
                <w:bCs w:val="false"/>
                <w:i w:val="false"/>
                <w:iCs w:val="false"/>
                <w:sz w:val="220"/>
                <w:szCs w:val="220"/>
              </w:rPr>
              <w:t xml:space="preserve">  + SPR release only</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−0.75%</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+1.88pp</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+63%</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left="288"/>
            </w:pPr>
            <w:r>
              <w:rPr>
                <w:rFonts w:ascii="Times New Roman" w:cs="Times New Roman" w:eastAsia="Times New Roman" w:hAnsi="Times New Roman"/>
                <w:b w:val="false"/>
                <w:bCs w:val="false"/>
                <w:i w:val="false"/>
                <w:iCs w:val="false"/>
                <w:sz w:val="220"/>
                <w:szCs w:val="220"/>
              </w:rPr>
              <w:t xml:space="preserve">  + SPR + renewables</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−0.74%</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+1.86pp</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+63%</w:t>
            </w:r>
          </w:p>
        </w:tc>
      </w:tr>
      <w:tr>
        <w:tc>
          <w:tcPr>
            <w:tcW w:type="dxa" w:w="3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left="288"/>
            </w:pPr>
            <w:r>
              <w:rPr>
                <w:rFonts w:ascii="Times New Roman" w:cs="Times New Roman" w:eastAsia="Times New Roman" w:hAnsi="Times New Roman"/>
                <w:b w:val="false"/>
                <w:bCs w:val="false"/>
                <w:i w:val="false"/>
                <w:iCs w:val="false"/>
                <w:sz w:val="220"/>
                <w:szCs w:val="220"/>
              </w:rPr>
              <w:t xml:space="preserve">  + Full triple mechanism</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−0.65%</w:t>
            </w:r>
          </w:p>
        </w:tc>
        <w:tc>
          <w:tcPr>
            <w:tcW w:type="dxa" w:w="2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+1.69pp</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+63%</w:t>
            </w:r>
          </w:p>
        </w:tc>
      </w:tr>
      <w:tr>
        <w:tc>
          <w:tcPr>
            <w:tcW w:type="dxa" w:w="32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Total stabilization effect</w:t>
            </w:r>
          </w:p>
        </w:tc>
        <w:tc>
          <w:tcPr>
            <w:tcW w:type="dxa" w:w="18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0.15pp</w:t>
            </w:r>
          </w:p>
        </w:tc>
        <w:tc>
          <w:tcPr>
            <w:tcW w:type="dxa" w:w="20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0.29pp</w:t>
            </w:r>
          </w:p>
        </w:tc>
        <w:tc>
          <w:tcPr>
            <w:tcW w:type="dxa" w:w="176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5pp</w:t>
            </w:r>
          </w:p>
        </w:tc>
      </w:tr>
    </w:tbl>
    <w:p>
      <w:pPr>
        <w:spacing w:after="120" w:before="60"/>
      </w:pPr>
      <w:r>
        <w:rPr>
          <w:rFonts w:ascii="Times New Roman" w:cs="Times New Roman" w:eastAsia="Times New Roman" w:hAnsi="Times New Roman"/>
          <w:i/>
          <w:iCs/>
          <w:sz w:val="200"/>
          <w:szCs w:val="200"/>
        </w:rPr>
        <w:t xml:space="preserve">Notes: </w:t>
      </w:r>
      <w:r>
        <w:rPr>
          <w:rFonts w:ascii="Times New Roman" w:cs="Times New Roman" w:eastAsia="Times New Roman" w:hAnsi="Times New Roman"/>
          <w:sz w:val="200"/>
          <w:szCs w:val="200"/>
        </w:rPr>
        <w:t xml:space="preserve">Global values are GDP-weighted averages across all four regions. Each row adds one mechanism to the previous row. The SPR channel accounts for approximately 60 percent of the total stabilization effect, manufacturing expansion for 33 percent, and renewable substitution for 7 percent.</w:t>
      </w:r>
    </w:p>
    <w:p>
      <w:r>
        <w:br w:type="page"/>
      </w:r>
    </w:p>
    <w:p>
      <w:pPr>
        <w:spacing w:after="60" w:before="120"/>
      </w:pPr>
      <w:r>
        <w:rPr>
          <w:rFonts w:ascii="Times New Roman" w:cs="Times New Roman" w:eastAsia="Times New Roman" w:hAnsi="Times New Roman"/>
          <w:b/>
          <w:bCs/>
          <w:sz w:val="220"/>
          <w:szCs w:val="220"/>
        </w:rPr>
        <w:t xml:space="preserve">Table 5.</w:t>
      </w:r>
      <w:r>
        <w:rPr>
          <w:rFonts w:ascii="Times New Roman" w:cs="Times New Roman" w:eastAsia="Times New Roman" w:hAnsi="Times New Roman"/>
          <w:sz w:val="220"/>
          <w:szCs w:val="220"/>
        </w:rPr>
        <w:t xml:space="preserve"> Scenario Comparison: War Severity</w:t>
      </w:r>
    </w:p>
    <w:tbl>
      <w:tblPr>
        <w:tblW w:type="dxa" w:w="8760"/>
        <w:tblBorders>
          <w:top w:val="none" w:color="FFFFFF" w:sz="0"/>
          <w:left w:val="none" w:color="FFFFFF" w:sz="0"/>
          <w:bottom w:val="none" w:color="FFFFFF" w:sz="0"/>
          <w:right w:val="none" w:color="FFFFFF" w:sz="0"/>
          <w:insideH w:val="single" w:color="auto" w:sz="4"/>
          <w:insideV w:val="single" w:color="auto" w:sz="4"/>
        </w:tblBorders>
      </w:tblPr>
      <w:tblGrid>
        <w:gridCol w:w="2500"/>
        <w:gridCol w:w="1680"/>
        <w:gridCol w:w="1800"/>
        <w:gridCol w:w="1560"/>
        <w:gridCol w:w="1220"/>
      </w:tblGrid>
      <w:tr>
        <w:tc>
          <w:tcPr>
            <w:tcW w:type="dxa" w:w="25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Scenario</w:t>
            </w:r>
          </w:p>
        </w:tc>
        <w:tc>
          <w:tcPr>
            <w:tcW w:type="dxa" w:w="168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Iran GDP</w:t>
            </w:r>
          </w:p>
        </w:tc>
        <w:tc>
          <w:tcPr>
            <w:tcW w:type="dxa" w:w="18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Oil Price Peak</w:t>
            </w:r>
          </w:p>
        </w:tc>
        <w:tc>
          <w:tcPr>
            <w:tcW w:type="dxa" w:w="156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Global GDP</w:t>
            </w:r>
          </w:p>
        </w:tc>
        <w:tc>
          <w:tcPr>
            <w:tcW w:type="dxa" w:w="122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ROW GDP</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Mild (limited strikes)</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−8.9%</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+34%</w:t>
            </w:r>
          </w:p>
        </w:tc>
        <w:tc>
          <w:tcPr>
            <w:tcW w:type="dxa" w:w="1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−0.37%</w:t>
            </w:r>
          </w:p>
        </w:tc>
        <w:tc>
          <w:tcPr>
            <w:tcW w:type="dxa" w:w="12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−0.7%</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Baseline (full strikes)</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−16.4%</w:t>
            </w:r>
          </w:p>
        </w:tc>
        <w:tc>
          <w:tcPr>
            <w:tcW w:type="dxa" w:w="1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+63%</w:t>
            </w:r>
          </w:p>
        </w:tc>
        <w:tc>
          <w:tcPr>
            <w:tcW w:type="dxa" w:w="1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−0.65%</w:t>
            </w:r>
          </w:p>
        </w:tc>
        <w:tc>
          <w:tcPr>
            <w:tcW w:type="dxa" w:w="12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−1.1%</w:t>
            </w:r>
          </w:p>
        </w:tc>
      </w:tr>
      <w:tr>
        <w:tc>
          <w:tcPr>
            <w:tcW w:type="dxa" w:w="25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Severe (prolonged war)</w:t>
            </w:r>
          </w:p>
        </w:tc>
        <w:tc>
          <w:tcPr>
            <w:tcW w:type="dxa" w:w="168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−24.8%</w:t>
            </w:r>
          </w:p>
        </w:tc>
        <w:tc>
          <w:tcPr>
            <w:tcW w:type="dxa" w:w="18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+78%</w:t>
            </w:r>
          </w:p>
        </w:tc>
        <w:tc>
          <w:tcPr>
            <w:tcW w:type="dxa" w:w="156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−0.69%</w:t>
            </w:r>
          </w:p>
        </w:tc>
        <w:tc>
          <w:tcPr>
            <w:tcW w:type="dxa" w:w="122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−1.3%</w:t>
            </w:r>
          </w:p>
        </w:tc>
      </w:tr>
    </w:tbl>
    <w:p>
      <w:pPr>
        <w:spacing w:after="120" w:before="60"/>
      </w:pPr>
      <w:r>
        <w:rPr>
          <w:rFonts w:ascii="Times New Roman" w:cs="Times New Roman" w:eastAsia="Times New Roman" w:hAnsi="Times New Roman"/>
          <w:i/>
          <w:iCs/>
          <w:sz w:val="200"/>
          <w:szCs w:val="200"/>
        </w:rPr>
        <w:t xml:space="preserve">Notes: </w:t>
      </w:r>
      <w:r>
        <w:rPr>
          <w:rFonts w:ascii="Times New Roman" w:cs="Times New Roman" w:eastAsia="Times New Roman" w:hAnsi="Times New Roman"/>
          <w:sz w:val="200"/>
          <w:szCs w:val="200"/>
        </w:rPr>
        <w:t xml:space="preserve">Trade-channel-only model results. Mild: blockade severity 0.30, destruction scale 0.5×, 4-quarter blockade. Severe: blockade severity 0.90, destruction scale 1.8×, 12-quarter blockade.</w:t>
      </w:r>
    </w:p>
    <w:p>
      <w:r>
        <w:br w:type="page"/>
      </w:r>
    </w:p>
    <w:p>
      <w:pPr>
        <w:spacing w:after="60" w:before="120"/>
      </w:pPr>
      <w:r>
        <w:rPr>
          <w:rFonts w:ascii="Times New Roman" w:cs="Times New Roman" w:eastAsia="Times New Roman" w:hAnsi="Times New Roman"/>
          <w:b/>
          <w:bCs/>
          <w:sz w:val="220"/>
          <w:szCs w:val="220"/>
        </w:rPr>
        <w:t xml:space="preserve">Table 6.</w:t>
      </w:r>
      <w:r>
        <w:rPr>
          <w:rFonts w:ascii="Times New Roman" w:cs="Times New Roman" w:eastAsia="Times New Roman" w:hAnsi="Times New Roman"/>
          <w:sz w:val="220"/>
          <w:szCs w:val="220"/>
        </w:rPr>
        <w:t xml:space="preserve"> Structural VAR(1) Estimates of Sovereign-Spread Transmission</w:t>
      </w:r>
    </w:p>
    <w:tbl>
      <w:tblPr>
        <w:tblW w:type="dxa" w:w="9760"/>
        <w:tblBorders>
          <w:top w:val="none" w:color="FFFFFF" w:sz="0"/>
          <w:left w:val="none" w:color="FFFFFF" w:sz="0"/>
          <w:bottom w:val="none" w:color="FFFFFF" w:sz="0"/>
          <w:right w:val="none" w:color="FFFFFF" w:sz="0"/>
          <w:insideH w:val="single" w:color="auto" w:sz="4"/>
          <w:insideV w:val="single" w:color="auto" w:sz="4"/>
        </w:tblBorders>
      </w:tblPr>
      <w:tblGrid>
        <w:gridCol w:w="2900"/>
        <w:gridCol w:w="1680"/>
        <w:gridCol w:w="1680"/>
        <w:gridCol w:w="1680"/>
        <w:gridCol w:w="1820"/>
      </w:tblGrid>
      <w:tr>
        <w:tc>
          <w:tcPr>
            <w:tcW w:type="dxa" w:w="290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
            </w:r>
          </w:p>
        </w:tc>
        <w:tc>
          <w:tcPr>
            <w:tcW w:type="dxa" w:w="168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Iran → US</w:t>
            </w:r>
          </w:p>
        </w:tc>
        <w:tc>
          <w:tcPr>
            <w:tcW w:type="dxa" w:w="168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Iran → ROW</w:t>
            </w:r>
          </w:p>
        </w:tc>
        <w:tc>
          <w:tcPr>
            <w:tcW w:type="dxa" w:w="168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Iran → China</w:t>
            </w:r>
          </w:p>
        </w:tc>
        <w:tc>
          <w:tcPr>
            <w:tcW w:type="dxa" w:w="1820"/>
            <w:tcBorders>
              <w:top w:val="single" w:color="000000" w:sz="12"/>
              <w:left w:val="none" w:color="FFFFFF" w:sz="0"/>
              <w:bottom w:val="single" w:color="000000" w:sz="4"/>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bCs/>
                <w:i w:val="false"/>
                <w:iCs w:val="false"/>
                <w:sz w:val="220"/>
                <w:szCs w:val="220"/>
              </w:rPr>
              <w:t xml:space="preserve">Iran own</w:t>
            </w:r>
          </w:p>
        </w:tc>
      </w:tr>
      <w:tr>
        <w:tc>
          <w:tcPr>
            <w:tcW w:type="dxa" w:w="2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Standardized coefficient</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0.573</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0.501</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0.371</w:t>
            </w:r>
          </w:p>
        </w:tc>
        <w:tc>
          <w:tcPr>
            <w:tcW w:type="dxa" w:w="18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0.612</w:t>
            </w:r>
          </w:p>
        </w:tc>
      </w:tr>
      <w:tr>
        <w:tc>
          <w:tcPr>
            <w:tcW w:type="dxa" w:w="2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t-statistic</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(11.37)</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(5.77)</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(3.47)</w:t>
            </w:r>
          </w:p>
        </w:tc>
        <w:tc>
          <w:tcPr>
            <w:tcW w:type="dxa" w:w="18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(14.82)</w:t>
            </w:r>
          </w:p>
        </w:tc>
      </w:tr>
      <w:tr>
        <w:tc>
          <w:tcPr>
            <w:tcW w:type="dxa" w:w="2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Raw pass-through</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0.055</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0.062</w:t>
            </w:r>
          </w:p>
        </w:tc>
        <w:tc>
          <w:tcPr>
            <w:tcW w:type="dxa" w:w="16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0.137</w:t>
            </w:r>
          </w:p>
        </w:tc>
        <w:tc>
          <w:tcPr>
            <w:tcW w:type="dxa" w:w="18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0.598</w:t>
            </w:r>
          </w:p>
        </w:tc>
      </w:tr>
      <w:tr>
        <w:tc>
          <w:tcPr>
            <w:tcW w:type="dxa" w:w="290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Hand-calibrated baseline</w:t>
            </w:r>
          </w:p>
        </w:tc>
        <w:tc>
          <w:tcPr>
            <w:tcW w:type="dxa" w:w="168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0.050</w:t>
            </w:r>
          </w:p>
        </w:tc>
        <w:tc>
          <w:tcPr>
            <w:tcW w:type="dxa" w:w="168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0.100</w:t>
            </w:r>
          </w:p>
        </w:tc>
        <w:tc>
          <w:tcPr>
            <w:tcW w:type="dxa" w:w="168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0.150</w:t>
            </w:r>
          </w:p>
        </w:tc>
        <w:tc>
          <w:tcPr>
            <w:tcW w:type="dxa" w:w="1820"/>
            <w:tcBorders>
              <w:top w:val="none" w:color="FFFFFF" w:sz="0"/>
              <w:left w:val="none" w:color="FFFFFF" w:sz="0"/>
              <w:bottom w:val="single" w:color="000000" w:sz="12"/>
              <w:right w:val="none" w:color="FFFFFF" w:sz="0"/>
            </w:tcBorders>
            <w:shd w:fill="FFFFFF" w:val="clear"/>
            <w:tcMar>
              <w:top w:type="dxa" w:w="60"/>
              <w:left w:type="dxa" w:w="120"/>
              <w:bottom w:type="dxa" w:w="60"/>
              <w:right w:type="dxa" w:w="120"/>
            </w:tcMar>
          </w:tcPr>
          <w:p>
            <w:r>
              <w:rPr>
                <w:rFonts w:ascii="Times New Roman" w:cs="Times New Roman" w:eastAsia="Times New Roman" w:hAnsi="Times New Roman"/>
                <w:b w:val="false"/>
                <w:bCs w:val="false"/>
                <w:i w:val="false"/>
                <w:iCs w:val="false"/>
                <w:sz w:val="220"/>
                <w:szCs w:val="220"/>
              </w:rPr>
              <w:t xml:space="preserve">0.600</w:t>
            </w:r>
          </w:p>
        </w:tc>
      </w:tr>
    </w:tbl>
    <w:p>
      <w:pPr>
        <w:spacing w:after="120" w:before="60"/>
      </w:pPr>
      <w:r>
        <w:rPr>
          <w:rFonts w:ascii="Times New Roman" w:cs="Times New Roman" w:eastAsia="Times New Roman" w:hAnsi="Times New Roman"/>
          <w:i/>
          <w:iCs/>
          <w:sz w:val="200"/>
          <w:szCs w:val="200"/>
        </w:rPr>
        <w:t xml:space="preserve">Notes: </w:t>
      </w:r>
      <w:r>
        <w:rPr>
          <w:rFonts w:ascii="Times New Roman" w:cs="Times New Roman" w:eastAsia="Times New Roman" w:hAnsi="Times New Roman"/>
          <w:sz w:val="200"/>
          <w:szCs w:val="200"/>
        </w:rPr>
        <w:t xml:space="preserve">VAR(1) estimated by OLS on a balanced quarterly panel pooling four Middle East conflict episodes (1980Q3–1988Q3, 1990Q3–1991Q1, 2003Q1–2003Q2, 2019Q2–2019Q4); 188 observations. Standard errors and t-statistics from a residual bootstrap with B = 500 replications. Sovereign spreads from JPM EMBI+, Hilscher and Nosbusch (2010), Borensztein and Panizza (2013), and 5-year sovereign CDS post-2003. See Online Appendix A for full data construction.</w:t>
      </w:r>
    </w:p>
    <w:p>
      <w:r>
        <w:br w:type="page"/>
      </w:r>
    </w:p>
    <w:p>
      <w:pPr>
        <w:pStyle w:val="Heading1"/>
        <w:spacing w:after="120" w:before="360" w:line="360"/>
      </w:pPr>
      <w:r>
        <w:rPr>
          <w:rFonts w:ascii="Times New Roman" w:cs="Times New Roman" w:eastAsia="Times New Roman" w:hAnsi="Times New Roman"/>
          <w:b/>
          <w:bCs/>
          <w:caps/>
          <w:sz w:val="260"/>
          <w:szCs w:val="260"/>
        </w:rPr>
        <w:t xml:space="preserve">Figure Captions</w:t>
      </w:r>
    </w:p>
    <w:p>
      <w:pPr>
        <w:spacing w:after="180" w:before="120"/>
      </w:pPr>
      <w:r>
        <w:rPr>
          <w:rFonts w:ascii="Times New Roman" w:cs="Times New Roman" w:eastAsia="Times New Roman" w:hAnsi="Times New Roman"/>
          <w:b/>
          <w:bCs/>
          <w:sz w:val="220"/>
          <w:szCs w:val="220"/>
        </w:rPr>
        <w:t xml:space="preserve">Figure 1. </w:t>
      </w:r>
      <w:r>
        <w:rPr>
          <w:rFonts w:ascii="Times New Roman" w:cs="Times New Roman" w:eastAsia="Times New Roman" w:hAnsi="Times New Roman"/>
          <w:sz w:val="220"/>
          <w:szCs w:val="220"/>
        </w:rPr>
        <w:t xml:space="preserve">Impulse Responses to War Onset. Impulse responses to a war of baseline intensity (Hormuz blockade severity 70 percent). Shaded areas indicate 90 percent confidence bands from parameter uncertainty. Horizontal axis: years after war onset.</w:t>
      </w:r>
    </w:p>
    <w:p>
      <w:pPr>
        <w:spacing w:after="180" w:before="120"/>
      </w:pPr>
      <w:r>
        <w:rPr>
          <w:rFonts w:ascii="Times New Roman" w:cs="Times New Roman" w:eastAsia="Times New Roman" w:hAnsi="Times New Roman"/>
          <w:b/>
          <w:bCs/>
          <w:sz w:val="220"/>
          <w:szCs w:val="220"/>
        </w:rPr>
        <w:t xml:space="preserve">Figure 2. </w:t>
      </w:r>
      <w:r>
        <w:rPr>
          <w:rFonts w:ascii="Times New Roman" w:cs="Times New Roman" w:eastAsia="Times New Roman" w:hAnsi="Times New Roman"/>
          <w:sz w:val="220"/>
          <w:szCs w:val="220"/>
        </w:rPr>
        <w:t xml:space="preserve">Trade Exposure and Spillover Channels. Decomposition of trade-channel spillovers by component. Trade disruption captures direct bilateral trade losses. Energy exposure captures the oil price channel. Net exports reflect exchange rate and demand effects.</w:t>
      </w:r>
    </w:p>
    <w:p>
      <w:pPr>
        <w:spacing w:after="180" w:before="120"/>
      </w:pPr>
      <w:r>
        <w:rPr>
          <w:rFonts w:ascii="Times New Roman" w:cs="Times New Roman" w:eastAsia="Times New Roman" w:hAnsi="Times New Roman"/>
          <w:b/>
          <w:bCs/>
          <w:sz w:val="220"/>
          <w:szCs w:val="220"/>
        </w:rPr>
        <w:t xml:space="preserve">Figure 3. </w:t>
      </w:r>
      <w:r>
        <w:rPr>
          <w:rFonts w:ascii="Times New Roman" w:cs="Times New Roman" w:eastAsia="Times New Roman" w:hAnsi="Times New Roman"/>
          <w:sz w:val="220"/>
          <w:szCs w:val="220"/>
        </w:rPr>
        <w:t xml:space="preserve">Financial Channel Responses. Sovereign spreads in basis points. Capital flows as net inflows (percent of GDP). Exchange rate: positive denotes depreciation. Equity indices as percent deviation from pre-war level.</w:t>
      </w:r>
    </w:p>
    <w:p>
      <w:pPr>
        <w:spacing w:after="180" w:before="120"/>
      </w:pPr>
      <w:r>
        <w:rPr>
          <w:rFonts w:ascii="Times New Roman" w:cs="Times New Roman" w:eastAsia="Times New Roman" w:hAnsi="Times New Roman"/>
          <w:b/>
          <w:bCs/>
          <w:sz w:val="220"/>
          <w:szCs w:val="220"/>
        </w:rPr>
        <w:t xml:space="preserve">Figure 4. </w:t>
      </w:r>
      <w:r>
        <w:rPr>
          <w:rFonts w:ascii="Times New Roman" w:cs="Times New Roman" w:eastAsia="Times New Roman" w:hAnsi="Times New Roman"/>
          <w:sz w:val="220"/>
          <w:szCs w:val="220"/>
        </w:rPr>
        <w:t xml:space="preserve">China's Triple Stabilization Mechanism. Comparison of macroeconomic outcomes with and without China's stabilization. 'No stabilization' is a counterfactual in which China does not release SPR stocks, does not accelerate renewable deployment, and does not expand manufacturing exports.</w:t>
      </w:r>
    </w:p>
    <w:p>
      <w:pPr>
        <w:spacing w:after="180" w:before="120"/>
      </w:pPr>
      <w:r>
        <w:rPr>
          <w:rFonts w:ascii="Times New Roman" w:cs="Times New Roman" w:eastAsia="Times New Roman" w:hAnsi="Times New Roman"/>
          <w:b/>
          <w:bCs/>
          <w:sz w:val="220"/>
          <w:szCs w:val="220"/>
        </w:rPr>
        <w:t xml:space="preserve">Figure 5. </w:t>
      </w:r>
      <w:r>
        <w:rPr>
          <w:rFonts w:ascii="Times New Roman" w:cs="Times New Roman" w:eastAsia="Times New Roman" w:hAnsi="Times New Roman"/>
          <w:sz w:val="220"/>
          <w:szCs w:val="220"/>
        </w:rPr>
        <w:t xml:space="preserve">War Severity Scenarios: Mild, Baseline, and Severe. Mild: limited strikes, 30 percent blockade, 4-quarter duration. Baseline: full strikes, 70 percent blockade, 8-quarter duration. Severe: prolonged war, 90 percent blockade, 12-quarter duration.</w:t>
      </w:r>
    </w:p>
    <w:p>
      <w:pPr>
        <w:spacing w:after="180" w:before="120"/>
      </w:pPr>
      <w:r>
        <w:rPr>
          <w:rFonts w:ascii="Times New Roman" w:cs="Times New Roman" w:eastAsia="Times New Roman" w:hAnsi="Times New Roman"/>
          <w:b/>
          <w:bCs/>
          <w:sz w:val="220"/>
          <w:szCs w:val="220"/>
        </w:rPr>
        <w:t xml:space="preserve">Figure 6. </w:t>
      </w:r>
      <w:r>
        <w:rPr>
          <w:rFonts w:ascii="Times New Roman" w:cs="Times New Roman" w:eastAsia="Times New Roman" w:hAnsi="Times New Roman"/>
          <w:sz w:val="220"/>
          <w:szCs w:val="220"/>
        </w:rPr>
        <w:t xml:space="preserve">Consumption-Equivalent Welfare Losses. Consumption-equivalent welfare loss (discount factor 0.99). Global values are GDP-weighted. Bars compare outcomes with and without China's stabilization.</w:t>
      </w:r>
    </w:p>
    <w:p>
      <w:pPr>
        <w:spacing w:after="180" w:before="120"/>
      </w:pPr>
      <w:r>
        <w:rPr>
          <w:rFonts w:ascii="Times New Roman" w:cs="Times New Roman" w:eastAsia="Times New Roman" w:hAnsi="Times New Roman"/>
          <w:b/>
          <w:bCs/>
          <w:sz w:val="220"/>
          <w:szCs w:val="220"/>
        </w:rPr>
        <w:t xml:space="preserve">Figure 7. </w:t>
      </w:r>
      <w:r>
        <w:rPr>
          <w:rFonts w:ascii="Times New Roman" w:cs="Times New Roman" w:eastAsia="Times New Roman" w:hAnsi="Times New Roman"/>
          <w:sz w:val="220"/>
          <w:szCs w:val="220"/>
        </w:rPr>
        <w:t xml:space="preserve">First-Order vs. Second-Order Perturbation. Comparison of linear (sequential linearization) and second-order solutions for Iran GDP, Iran sovereign spread, global GDP, and the linearization bias decomposed by region. The second-order solution embeds convex Phillips-curve pass-through, precautionary saving, a financial accelerator, and a sovereign doom loop. See Online Appendix D for the full specification.</w:t>
      </w:r>
    </w:p>
    <w:p>
      <w:pPr>
        <w:spacing w:after="180" w:before="120"/>
      </w:pPr>
      <w:r>
        <w:rPr>
          <w:rFonts w:ascii="Times New Roman" w:cs="Times New Roman" w:eastAsia="Times New Roman" w:hAnsi="Times New Roman"/>
          <w:b/>
          <w:bCs/>
          <w:sz w:val="220"/>
          <w:szCs w:val="220"/>
        </w:rPr>
        <w:t xml:space="preserve">Figure 8. </w:t>
      </w:r>
      <w:r>
        <w:rPr>
          <w:rFonts w:ascii="Times New Roman" w:cs="Times New Roman" w:eastAsia="Times New Roman" w:hAnsi="Times New Roman"/>
          <w:sz w:val="220"/>
          <w:szCs w:val="220"/>
        </w:rPr>
        <w:t xml:space="preserve">Deterministic vs. Endogenous China Stabilization. Top row compares deterministic (baseline) and endogenous rule-based paths for SPR releases and manufacturing expansion. Bottom row plots the reaction functions. The SPR series binds at the capacity ceiling (dashed line) in quarters 1–8 under the endogenous rule.</w:t>
      </w:r>
    </w:p>
    <w:p>
      <w:pPr>
        <w:spacing w:after="180" w:before="120"/>
      </w:pPr>
      <w:r>
        <w:rPr>
          <w:rFonts w:ascii="Times New Roman" w:cs="Times New Roman" w:eastAsia="Times New Roman" w:hAnsi="Times New Roman"/>
          <w:b/>
          <w:bCs/>
          <w:sz w:val="220"/>
          <w:szCs w:val="220"/>
        </w:rPr>
        <w:t xml:space="preserve">Figure 9. </w:t>
      </w:r>
      <w:r>
        <w:rPr>
          <w:rFonts w:ascii="Times New Roman" w:cs="Times New Roman" w:eastAsia="Times New Roman" w:hAnsi="Times New Roman"/>
          <w:sz w:val="220"/>
          <w:szCs w:val="220"/>
        </w:rPr>
        <w:t xml:space="preserve">Hand-Calibrated vs. VAR-Estimated Financial Linkage Matrix. Heat-map comparison of the hand-calibrated linkage matrix used in the baseline (left panel) and the VAR(1) coefficients estimated on four historical Middle East conflict episodes (right panel). The two matrices are visually and quantitatively close.</w:t>
      </w:r>
    </w:p>
    <w:p>
      <w:pPr>
        <w:spacing w:after="180" w:before="120"/>
      </w:pPr>
      <w:r>
        <w:rPr>
          <w:rFonts w:ascii="Times New Roman" w:cs="Times New Roman" w:eastAsia="Times New Roman" w:hAnsi="Times New Roman"/>
          <w:b/>
          <w:bCs/>
          <w:sz w:val="220"/>
          <w:szCs w:val="220"/>
        </w:rPr>
        <w:t xml:space="preserve">Figure 10. </w:t>
      </w:r>
      <w:r>
        <w:rPr>
          <w:rFonts w:ascii="Times New Roman" w:cs="Times New Roman" w:eastAsia="Times New Roman" w:hAnsi="Times New Roman"/>
          <w:sz w:val="220"/>
          <w:szCs w:val="220"/>
        </w:rPr>
        <w:t xml:space="preserve">Welfare Counterfactuals Across Nine Policy Regimes. Consumption-equivalent welfare loss for ROW (left) and China (right) under nine policy experiments. E1: Baseline; E2: No China stabilization; E3: Aggressive Fed (φπ = 2.5); E4: Dovish Fed (φπ = 1.0); E5: Coordinated demand support; E6: No financial channels; E7: No financial contagion; E8: Strong China stabilization; E9: VAR-estimated linkage matrix.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0"/>
        <w:szCs w:val="200"/>
      </w:rPr>
      <w:t xml:space="preserve"/>
    </w:r>
    <w:r>
      <w:rPr>
        <w:rFonts w:ascii="Times New Roman" w:cs="Times New Roman" w:eastAsia="Times New Roman" w:hAnsi="Times New Roman"/>
        <w:sz w:val="200"/>
        <w:szCs w:val="20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0"/>
        <w:szCs w:val="200"/>
      </w:rPr>
      <w:t xml:space="preserve">The Cost of Closing the Strait of Hormuz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0"/>
        <w:szCs w:val="24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line="360"/>
      <w:outlineLvl w:val="0"/>
    </w:pPr>
    <w:rPr>
      <w:rFonts w:ascii="Times New Roman" w:cs="Times New Roman" w:eastAsia="Times New Roman" w:hAnsi="Times New Roman"/>
      <w:b/>
      <w:bCs/>
      <w:sz w:val="260"/>
      <w:szCs w:val="260"/>
    </w:rPr>
  </w:style>
  <w:style w:type="paragraph" w:styleId="Heading2">
    <w:name w:val="Heading 2"/>
    <w:basedOn w:val="Normal"/>
    <w:next w:val="Normal"/>
    <w:qFormat/>
    <w:pPr>
      <w:spacing w:after="80" w:before="280" w:line="360"/>
      <w:outlineLvl w:val="1"/>
    </w:pPr>
    <w:rPr>
      <w:rFonts w:ascii="Times New Roman" w:cs="Times New Roman" w:eastAsia="Times New Roman" w:hAnsi="Times New Roman"/>
      <w:b/>
      <w:bCs/>
      <w:i/>
      <w:iCs/>
      <w:sz w:val="240"/>
      <w:szCs w:val="240"/>
    </w:rPr>
  </w:style>
  <w:style w:type="paragraph" w:styleId="Heading3">
    <w:name w:val="Heading 3"/>
    <w:basedOn w:val="Normal"/>
    <w:next w:val="Normal"/>
    <w:qFormat/>
    <w:pPr>
      <w:spacing w:after="60" w:before="200" w:line="360"/>
      <w:outlineLvl w:val="2"/>
    </w:pPr>
    <w:rPr>
      <w:rFonts w:ascii="Times New Roman" w:cs="Times New Roman" w:eastAsia="Times New Roman" w:hAnsi="Times New Roman"/>
      <w:b/>
      <w:bCs/>
      <w:sz w:val="240"/>
      <w:szCs w:val="2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2026-04-19T13:42:02.008Z</dcterms:created>
  <dcterms:modified xsi:type="dcterms:W3CDTF">2026-04-19T13:42:02.011Z</dcterms:modified>
</cp:coreProperties>
</file>

<file path=docProps/custom.xml><?xml version="1.0" encoding="utf-8"?>
<Properties xmlns="http://schemas.openxmlformats.org/officeDocument/2006/custom-properties" xmlns:vt="http://schemas.openxmlformats.org/officeDocument/2006/docPropsVTypes"/>
</file>