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B98B2D"/>
          <w:sz w:val="23"/>
        </w:rPr>
        <w:t>2026 人工智能创业大赛参赛项目</w:t>
      </w:r>
    </w:p>
    <w:p>
      <w:pPr>
        <w:spacing w:before="0" w:after="80" w:line="252" w:lineRule="auto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56"/>
        </w:rPr>
        <w:t>黔智脑 Cognitive OS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基于大模型与多智能体协同的认知操作系统平台</w:t>
      </w:r>
    </w:p>
    <w:p>
      <w:pPr>
        <w:spacing w:before="0" w:after="560" w:line="300" w:lineRule="auto"/>
        <w:jc w:val="center"/>
        <w:pBdr>
          <w:bottom w:val="single" w:sz="6" w:space="8" w:color="D7DBE2"/>
        </w:pBdr>
      </w:pPr>
      <w:r>
        <w:rPr>
          <w:rFonts w:ascii="Microsoft YaHei" w:hAnsi="Microsoft YaHei" w:eastAsia="Microsoft YaHei"/>
          <w:b w:val="0"/>
          <w:i w:val="0"/>
          <w:color w:val="5B677A"/>
          <w:sz w:val="21"/>
        </w:rPr>
        <w:t>面向贵州政企数字化、产业升级与公共服务智能化的 AI 基础设施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14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项目定位</w:t>
            </w:r>
          </w:p>
        </w:tc>
        <w:tc>
          <w:tcPr>
            <w:tcW w:type="dxa" w:w="1814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目标客户</w:t>
            </w:r>
          </w:p>
        </w:tc>
        <w:tc>
          <w:tcPr>
            <w:tcW w:type="dxa" w:w="3175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核心能力</w:t>
            </w:r>
          </w:p>
        </w:tc>
        <w:tc>
          <w:tcPr>
            <w:tcW w:type="dxa" w:w="1928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交付形态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AI 认知操作系统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政府 / 企业 / 公众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数据整合、知识沉淀、多智能体协同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SaaS / 政务云 / 私有化</w:t>
            </w:r>
          </w:p>
        </w:tc>
      </w:tr>
    </w:tbl>
    <w:p>
      <w:pPr>
        <w:spacing w:after="80"/>
      </w:pPr>
    </w:p>
    <w:p>
      <w:pPr>
        <w:spacing w:before="440" w:after="20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本参赛计划书基于现有项目初稿重构，重点呈现项目的技术创新、合规安全、应用价值、商业模型与实施路径。参赛材料坚持正确政治方向、舆论导向和价值取向，不涉及国家秘密，不包含任何形式的有害信息。</w:t>
      </w:r>
    </w:p>
    <w:p>
      <w:pPr>
        <w:spacing w:before="440" w:after="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77A"/>
          <w:sz w:val="19"/>
        </w:rPr>
        <w:t>版本：参赛完善版 | 日期：2026 年 6 月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目录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1. 摘要与项目亮点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2. 项目概述与贵州场景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3. 行业背景与痛点分析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4. 解决方案与总体架构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5. 核心创新与技术方案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6. 应用场景与社会价值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7. 合规、安全与价值导向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8. 市场规模、竞争优势与商业模式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9. 实施计划、团队与财务预测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10. 风险应对、融资需求与项目愿景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1. 摘要与项目亮点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黔智脑 Cognitive OS 是一个面向政府、企业和公众的 AI 认知操作系统，基于大模型、知识库、知识图谱和多智能体协同技术，帮助组织把分散数据转化为可检索、可推理、可协同执行的数字认知能力。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项目以贵州数字经济和大数据产业基础为起点，聚焦产业升级、社会治理和生活服务三类高价值场景。与传统 OA、普通知识库或单点问答工具不同，黔智脑强调“数据接入-知识沉淀-Agent 编排-安全审计-业务输出”的闭环，能够在可控边界内形成持续进化的组织知识体系。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71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评审维度</w:t>
            </w:r>
          </w:p>
        </w:tc>
        <w:tc>
          <w:tcPr>
            <w:tcW w:type="dxa" w:w="6803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参赛亮点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技术创新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多智能体协同、RAG 证据引用、模型网关与知识图谱联动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应用价值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智能招商、产业链诊断、城市风险预警、AI 市民助手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合规安全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数据不出域、最小权限、审计留痕、生成内容标识与内容安全治理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商业潜力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To G 标杆项目 + To B SaaS 规模化 + 数据/报告服务复购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区域适配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围绕贵州大数据、算力和政企数字化需求形成本地化示范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1：黔智脑 Cognitive OS 总体架构。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2. 项目概述与贵州场景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2.1 一句话介绍</w:t>
      </w:r>
    </w:p>
    <w:p>
      <w:pPr>
        <w:spacing w:before="0" w:after="14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黔智脑 Cognitive OS 是一个面向政府、企业和公众的 AI 认知操作系统，基于大模型与多智能体协同技术，实现数据整合、知识沉淀、流程协同和智能决策，助力贵州数字经济高质量发展。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2.2 项目定位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AI Agent 协同平台：多个专业智能体分饰不同角色，在统一编排引擎下协作完成复杂业务。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企业知识大脑：将文档、经验与流程自动转化为可检索、可推理的组织知识图谱。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城市治理智能中枢：融合政务数据与公共数据，为决策者提供实时态势感知和辅助研判。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数据要素应用平台：将贵州的数据、算力和要素流通基础设施转化为可调用的智能服务。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2.3 为什么是贵州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贵州是全国首个大数据综合试验区，拥有贵阳大数据交易所和多个国家级数据中心集群，数据要素流通基础设施和算力资源具备基础优势。“数字贵州”建设持续推进，为 AI 应用落地提供了政策、产业和客户场景。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与此同时，企业数字化程度参差不齐、政务数据跨部门共享成本高、公共数据利用率不足等问题仍然存在。黔智脑的切入点不是替代已有系统，而是在现有业务系统之上补上一层“认知操作层”，让数据资源真正转化为治理效能和产业服务能力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3. 行业背景与痛点分析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47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主体</w:t>
            </w:r>
          </w:p>
        </w:tc>
        <w:tc>
          <w:tcPr>
            <w:tcW w:type="dxa" w:w="351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关键痛点</w:t>
            </w:r>
          </w:p>
        </w:tc>
        <w:tc>
          <w:tcPr>
            <w:tcW w:type="dxa" w:w="39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黔智脑对应能力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企业侧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系统割裂、知识流失、管理决策依赖经验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企业知识图谱、AI 搜索、经营分析 Agent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政府侧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跨部门协同难、数据清洗成本高、风险预警不足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政务知识库、风险预警 Agent、协同处置建议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群众侧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服务入口分散、办事流程复杂、政策理解门槛高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AI 市民助手、政策问答、办事导航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竞争侧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传统 OA 强在流程，普通知识库弱在语义和协同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AI 原生、本地化服务、国产模型适配、多场景覆盖</w:t>
            </w:r>
          </w:p>
        </w:tc>
      </w:tr>
    </w:tbl>
    <w:p>
      <w:pPr>
        <w:spacing w:after="80"/>
      </w:pP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当前市场上已有 OA/协同厂商、互联网办公平台和省外 AI 创业公司，但贵州本地仍缺少以多智能体协同和组织知识工程为核心的 AI 原生认知操作系统。黔智脑的差异化优势在于同时具备本地化场景理解、国产模型适配、政企交付能力和多场景复用能力。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4. 解决方案与总体架构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4.1 Cognitive OS 四层架构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黔智脑采用数据层、知识层、Agent 层、应用层的四层架构，并以安全合规层贯穿全栈。数据层接入企业业务系统、文档库、政务开放数据和 IoT 数据；知识层完成向量化、实体抽取、关系建模和知识图谱构建；Agent 层部署产业、政务、服务与风险等专业智能体；应用层面向政企客户和公众提供控制台、小程序、API 与数据看板。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4.2 多智能体协同流程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01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0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2：多智能体协同流程，以智能招商场景为例。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一次典型智能招商任务中，用户输入招商目标行业和区域约束后，产业分析 Agent 先提取产业链现状和企业分布，招商 Agent 进行目标企业筛选和投资价值评估，政策 Agent 匹配可用政策并进行合规审核，风险 Agent 补充落地风险、信用风险和舆情风险，最终形成结构化招商方案。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5. 核心创新与技术方案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51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nnovation_mechan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5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3：技术创新机制，从数据到可进化认知。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5.1 核心创新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AI Agent 协同网络：多个专业 Agent 分工协作，复杂任务由统一编排引擎拆解、执行、观察和反思。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企业认知大脑：把文档、会议纪要、项目复盘和客户记录转化为实体、关系与可推理知识图谱。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公共数据智能利用：将公共数据与企业数据在授权和脱敏边界内融合，形成产业趋势、政策效果和风险态势洞察。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国产化全栈适配：支持 DeepSeek、Qwen、GLM 等模型接入，并支持本地化私有部署。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5.2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30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层级</w:t>
            </w:r>
          </w:p>
        </w:tc>
        <w:tc>
          <w:tcPr>
            <w:tcW w:type="dxa" w:w="3061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技术选型</w:t>
            </w:r>
          </w:p>
        </w:tc>
        <w:tc>
          <w:tcPr>
            <w:tcW w:type="dxa" w:w="4309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设计目的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后端服务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FastAPI + Python 微服务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提供 Agent 运行时、知识库服务、任务编排和 API 网关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知识检索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向量检索 + PostgreSQL + Elasticsearch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兼顾语义召回、结构化查询和全文检索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模型层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DeepSeek / Qwen / GLM + 统一模型网关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支持模型热切换、fallback 和私有化部署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前端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Next.js + React + TypeScript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提供管理控制台、智能助手和数据分析看板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部署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Docker / Kubernetes / GPU 服务器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适配 SaaS、政务云和私有化三种模式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5.3 当前开发进展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根据当前项目目录 D:\dma\day2 的代码进展，平台已从概念设计进入工程化原型阶段。仓库包含约 155 个 Python 源文件和 64 个测试文件，已形成后端服务、核心认知能力、企业级 SaaS 能力和多智能体工作流的初步代码资产。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17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进展模块</w:t>
            </w:r>
          </w:p>
        </w:tc>
        <w:tc>
          <w:tcPr>
            <w:tcW w:type="dxa" w:w="4139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已体现能力</w:t>
            </w:r>
          </w:p>
        </w:tc>
        <w:tc>
          <w:tcPr>
            <w:tcW w:type="dxa" w:w="311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参赛价值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架构基础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FastAPI 入口、六边形架构、core/adapters/api/tools 分层、配置注入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证明项目不是纯概念，已有可扩展工程边界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认知记忆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SQLite + ChromaDB 双写、本地 embedding、Context Builder、RRF 检索思路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支撑 Cognitive OS 的长期记忆与知识检索核心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多智能体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Agent Registry、Workflow Engine、人工确认节点、条件分支、并行执行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支撑复杂任务拆解、流转和人工确认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企业级能力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认证、工作区、多租户、RBAC、审计、合规、用量、订阅、计费与增长分析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满足政企客户对权限、审计、计费和组织管理的要求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数据接入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文件上传、音频、视频、导入 Hub、同步 Hub、本地文件夹白名单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支持文件、音视频、导入和同步等多源数据入口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测试资产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当前仓库约 64 个测试文件，为后续参赛演示和交付稳定性提供基础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提升参赛演示、评审答辩和后续交付可信度</w:t>
            </w:r>
          </w:p>
        </w:tc>
      </w:tr>
    </w:tbl>
    <w:p>
      <w:pPr>
        <w:spacing w:after="80"/>
      </w:pP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0"/>
        </w:rPr>
        <w:t>这部分进展建议在答辩中作为“已有 MVP 基础”的证明：现场可展示 FastAPI 服务、Agent 注册/工作流接口、知识导入与权限合规模块，而不是只展示静态商业计划。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6. 应用场景与社会价值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01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alue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0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4：应用场景价值矩阵。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6.1 产业升级：智能招商与产业链诊断</w:t>
      </w:r>
    </w:p>
    <w:p>
      <w:pPr>
        <w:spacing w:before="0" w:after="14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面向各级投促局和产业园区，系统自动分析目标行业的全国格局、本地产业链现状、上下游配套情况，结合企业工商、专利、公开舆情和政策资料生成企业画像、投资价值评估和个性化推介材料。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6.2 社会治理：城市风险智能预警</w:t>
      </w:r>
    </w:p>
    <w:p>
      <w:pPr>
        <w:spacing w:before="0" w:after="14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面向应急、政法、信访等部门，系统融合热线、网格上报、公开舆情和 IoT 数据，通过事件聚类和风险分级识别苗头性问题，并生成多部门协同处置建议。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6.3 生活服务：AI 市民助手</w:t>
      </w:r>
    </w:p>
    <w:p>
      <w:pPr>
        <w:spacing w:before="0" w:after="14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面向群众和企业办事人，提供统一智能入口，支持政策咨询、办事导航和服务推荐，回答结果附来源、链接和风险提示，减少群众在多个网站和公众号之间反复查找的成本。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7. 合规、安全与价值导向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pliance_deplo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5：安全合规与部署架构。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参赛项目内容坚持正确政治方向、舆论导向和价值取向，符合国家法律法规和社会道德规范。项目方案不涉及国家秘密，不采集或传播有害信息，不将未经授权的敏感数据用于模型训练或公共输出。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31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治理主题</w:t>
            </w:r>
          </w:p>
        </w:tc>
        <w:tc>
          <w:tcPr>
            <w:tcW w:type="dxa" w:w="3798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实施措施</w:t>
            </w:r>
          </w:p>
        </w:tc>
        <w:tc>
          <w:tcPr>
            <w:tcW w:type="dxa" w:w="3345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参赛表达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数据安全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分类分级、传输加密、存储加密、备份恢复、访问控制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敏感数据不出域，重要数据按客户制度处理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个人信息保护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最小必要、授权同意、脱敏展示、权限分级、日志审计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不以个人画像为商业化滥用目的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生成式 AI 安全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提示词治理、内容审核、人工复核、敏感场景拒答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提升准确性、可靠性与透明度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算法与内容标识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对生成内容进行显式提示，保留模型调用和来源记录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符合生成合成内容标识要求的实施方向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政务场景边界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私有化部署、专网访问、角色权限、人工确认</w:t>
            </w:r>
          </w:p>
        </w:tc>
        <w:tc>
          <w:tcPr>
            <w:tcW w:type="dxa" w:w="334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仅做辅助决策，不替代法定审批和人工责任</w:t>
            </w:r>
          </w:p>
        </w:tc>
      </w:tr>
    </w:tbl>
    <w:p>
      <w:pPr>
        <w:spacing w:after="80"/>
      </w:pP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合规参考包括《生成式人工智能服务管理暂行办法》《人工智能生成合成内容标识办法》《中华人民共和国数据安全法》《中华人民共和国个人信息保护法》和 2026 年修正版《中华人民共和国网络安全法》。项目执行阶段将根据客户场景进一步判断算法备案、安全评估、等级保护和数据出境等适用要求。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8. 市场规模、竞争优势与商业模式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8.1 市场机会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人工智能、政务数字化、企业知识管理和数据要素市场均处于增长阶段。对于贵州本地市场，数字经济占比提升、算力集聚和政企数字化需求叠加，为 AI 原生应用提供了示范窗口。参赛阶段建议进一步补充官方统计或权威研究来源，以支撑市场规模测算。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8.2 竞争优势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30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维度</w:t>
            </w:r>
          </w:p>
        </w:tc>
        <w:tc>
          <w:tcPr>
            <w:tcW w:type="dxa" w:w="2835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黔智脑</w:t>
            </w:r>
          </w:p>
        </w:tc>
        <w:tc>
          <w:tcPr>
            <w:tcW w:type="dxa" w:w="23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传统 OA/知识库</w:t>
            </w:r>
          </w:p>
        </w:tc>
        <w:tc>
          <w:tcPr>
            <w:tcW w:type="dxa" w:w="2211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通用办公平台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AI 能力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多智能体协同，深度语义理解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以流程和关键词检索为主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通用问答强，场景深度有限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知识沉淀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文档-实体-关系-图谱自动流水线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人工整理和标签分类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碎片化知识库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本地化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围绕贵州政企场景设计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部署成熟但 AI 原生弱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平台能力强但定制边界有限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国产适配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DeepSeek/Qwen/GLM 与私有化部署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依赖传统中间件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公有云依赖较高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安全合规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数据不出域、审计留痕、人工复核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通常需二次建设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政务私有化适配成本高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8.3 商业模式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47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venue_m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4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6：商业模式与收入结构。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To G：以数字化项目形式交付，收入包括平台建设费、定制开发费和年度运维服务费。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To B：采用 SaaS 订阅制，基础版、专业版和企业版分别覆盖知识库、知识图谱、多智能体协同和私有化部署需求。</w:t>
      </w:r>
    </w:p>
    <w:p>
      <w:pPr>
        <w:pStyle w:val="ListBullet"/>
        <w:spacing w:after="80" w:line="288" w:lineRule="auto"/>
        <w:ind w:left="312" w:hanging="142"/>
      </w:pPr>
      <w:r>
        <w:rPr>
          <w:rFonts w:ascii="Microsoft YaHei" w:hAnsi="Microsoft YaHei" w:eastAsia="Microsoft YaHei"/>
          <w:color w:val="1F2933"/>
          <w:sz w:val="21"/>
        </w:rPr>
        <w:t>数据/报告服务：面向研究机构、园区和企业提供产业分析报告、行业洞察和专题数据包。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9. 实施计划、团队与财务预测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9.1 12 个月实施计划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0022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0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8：12 个月实施路线图。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9.2 团队配置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项目核心团队建议保持产品、算法、工程、前端、数据五个方向的全栈覆盖。项目负责人统筹产品定义、资源协调和客户试点；算法负责人主导大模型选型、微调、RAG 与 Agent 框架；后端负责人建设核心引擎和数据处理管线；前端负责人交付控制台、智能助手和数据看板；数据工程负责人负责多源数据接入、清洗和质量治理。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9.3 三年财务预测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03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nance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0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77A"/>
          <w:sz w:val="18"/>
        </w:rPr>
        <w:t>图 7：三年财务预测。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247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年份</w:t>
            </w:r>
          </w:p>
        </w:tc>
        <w:tc>
          <w:tcPr>
            <w:tcW w:type="dxa" w:w="170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政府客户数</w:t>
            </w:r>
          </w:p>
        </w:tc>
        <w:tc>
          <w:tcPr>
            <w:tcW w:type="dxa" w:w="170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企业客户数</w:t>
            </w:r>
          </w:p>
        </w:tc>
        <w:tc>
          <w:tcPr>
            <w:tcW w:type="dxa" w:w="204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年收入（万元）</w:t>
            </w:r>
          </w:p>
        </w:tc>
        <w:tc>
          <w:tcPr>
            <w:tcW w:type="dxa" w:w="19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年净利润（万元）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第 1 年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3-5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20-30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80-150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-50 至 -20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第 2 年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10-15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80-120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300-500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50-100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第 3 年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20-30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200-300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800-1200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150-300</w:t>
            </w:r>
          </w:p>
        </w:tc>
      </w:tr>
    </w:tbl>
    <w:p>
      <w:pPr>
        <w:spacing w:after="80"/>
      </w:pPr>
    </w:p>
    <w:p>
      <w:pPr>
        <w:spacing w:before="0" w:after="140" w:line="300" w:lineRule="auto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财务预测采用区间表达，避免对早期项目形成过度确定性承诺。第 1 年以研发和标杆案例为主，第 2 年实现盈亏平衡并进入规模复制，第 3 年形成稳定盈利能力。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10. 风险应对、融资需求与项目愿景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10.1 风险分析与应对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361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风险类型</w:t>
            </w:r>
          </w:p>
        </w:tc>
        <w:tc>
          <w:tcPr>
            <w:tcW w:type="dxa" w:w="2891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主要表现</w:t>
            </w:r>
          </w:p>
        </w:tc>
        <w:tc>
          <w:tcPr>
            <w:tcW w:type="dxa" w:w="4422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8"/>
              </w:rPr>
              <w:t>应对策略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技术风险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模型 API 成本波动、复杂任务准确率不足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多模型供应商、本地化部署、人工复核和评测集建设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市场风险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政务客户决策周期长、预算节奏不确定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To G 与 To B 双轮驱动，以 SaaS 收入平滑项目波动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竞争风险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大厂低价或生态捆绑进入本地市场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深耕本地服务、政务合规交付和行业知识沉淀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数据安全风险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涉及政企敏感数据、权限和审计要求高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私有化部署、数据不出域、权限分级、等保合规建设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交付风险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试点需求变化、数据质量不稳定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  <w:insideH w:val="single" w:sz="6" w:space="0" w:color="D7DBE2"/>
              <w:insideV w:val="single" w:sz="6" w:space="0" w:color="D7DBE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标准化实施包、数据治理前置和阶段性验收机制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10.2 融资与资源需求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本轮建议以天使轮或赛事资源对接为主，融资金额 100 万元人民币，出让 10%-15% 股权。资金用途包括产品研发 50 万元、市场推广 30 万元、运营储备 20 万元，覆盖算力资源、模型 API、研发设备、试点客户交付、参展参会、样板案例包装、合规审查和知识产权申请。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color w:val="2E74B5"/>
          <w:sz w:val="26"/>
        </w:rPr>
        <w:t>10.3 项目愿景</w:t>
      </w:r>
    </w:p>
    <w:p>
      <w:pPr>
        <w:spacing w:before="0" w:after="140" w:line="300" w:lineRule="auto"/>
        <w:jc w:val="both"/>
      </w:pPr>
      <w:r>
        <w:rPr>
          <w:rFonts w:ascii="Microsoft YaHei" w:hAnsi="Microsoft YaHei" w:eastAsia="Microsoft YaHei"/>
          <w:b w:val="0"/>
          <w:i w:val="0"/>
          <w:color w:val="1F2933"/>
          <w:sz w:val="21"/>
        </w:rPr>
        <w:t>黔智脑的使命是“让每个组织都拥有可进化的数字大脑”。短期目标是在 12 个月内成为贵州 AI+政务/产业赛道标杆产品；中期目标是 3 年内覆盖贵州 9 个市州并拓展至西南周边省份；长期目标是成长为面向全国的产业协同与社会治理智能平台，助力数字经济高质量发展。</w:t>
      </w:r>
    </w:p>
    <w:p>
      <w:pPr>
        <w:pStyle w:val="Heading1"/>
        <w:keepNext/>
        <w:spacing w:before="320" w:after="140"/>
      </w:pPr>
      <w:r>
        <w:rPr>
          <w:rFonts w:ascii="Microsoft YaHei" w:hAnsi="Microsoft YaHei" w:eastAsia="Microsoft YaHei"/>
          <w:b/>
          <w:color w:val="2E74B5"/>
          <w:sz w:val="32"/>
        </w:rPr>
        <w:t>附录：合规参考来源</w:t>
      </w:r>
    </w:p>
    <w:p>
      <w:pPr>
        <w:spacing w:after="60"/>
      </w:pPr>
      <w:r>
        <w:rPr>
          <w:rFonts w:ascii="Microsoft YaHei" w:hAnsi="Microsoft YaHei" w:eastAsia="Microsoft YaHei"/>
          <w:color w:val="5B677A"/>
          <w:sz w:val="19"/>
        </w:rPr>
        <w:t xml:space="preserve">• </w:t>
      </w:r>
      <w:hyperlink r:id="rId19">
        <w:r>
          <w:rPr>
            <w:color w:val="0563C1"/>
            <w:u w:val="single"/>
          </w:rPr>
          <w:t>生成式人工智能服务管理暂行办法</w:t>
        </w:r>
      </w:hyperlink>
      <w:r>
        <w:rPr>
          <w:rFonts w:ascii="Microsoft YaHei" w:hAnsi="Microsoft YaHei" w:eastAsia="Microsoft YaHei"/>
          <w:color w:val="5B677A"/>
          <w:sz w:val="18"/>
        </w:rPr>
        <w:t>：https://www.cac.gov.cn/2023-07/13/c_1690898326795531.htm</w:t>
      </w:r>
    </w:p>
    <w:p>
      <w:pPr>
        <w:spacing w:after="60"/>
      </w:pPr>
      <w:r>
        <w:rPr>
          <w:rFonts w:ascii="Microsoft YaHei" w:hAnsi="Microsoft YaHei" w:eastAsia="Microsoft YaHei"/>
          <w:color w:val="5B677A"/>
          <w:sz w:val="19"/>
        </w:rPr>
        <w:t xml:space="preserve">• </w:t>
      </w:r>
      <w:hyperlink r:id="rId20">
        <w:r>
          <w:rPr>
            <w:color w:val="0563C1"/>
            <w:u w:val="single"/>
          </w:rPr>
          <w:t>人工智能生成合成内容标识办法</w:t>
        </w:r>
      </w:hyperlink>
      <w:r>
        <w:rPr>
          <w:rFonts w:ascii="Microsoft YaHei" w:hAnsi="Microsoft YaHei" w:eastAsia="Microsoft YaHei"/>
          <w:color w:val="5B677A"/>
          <w:sz w:val="18"/>
        </w:rPr>
        <w:t>：https://www.cac.gov.cn/2025-03/14/c_1743654684782215.htm</w:t>
      </w:r>
    </w:p>
    <w:p>
      <w:pPr>
        <w:spacing w:after="60"/>
      </w:pPr>
      <w:r>
        <w:rPr>
          <w:rFonts w:ascii="Microsoft YaHei" w:hAnsi="Microsoft YaHei" w:eastAsia="Microsoft YaHei"/>
          <w:color w:val="5B677A"/>
          <w:sz w:val="19"/>
        </w:rPr>
        <w:t xml:space="preserve">• </w:t>
      </w:r>
      <w:hyperlink r:id="rId21">
        <w:r>
          <w:rPr>
            <w:color w:val="0563C1"/>
            <w:u w:val="single"/>
          </w:rPr>
          <w:t>中华人民共和国数据安全法</w:t>
        </w:r>
      </w:hyperlink>
      <w:r>
        <w:rPr>
          <w:rFonts w:ascii="Microsoft YaHei" w:hAnsi="Microsoft YaHei" w:eastAsia="Microsoft YaHei"/>
          <w:color w:val="5B677A"/>
          <w:sz w:val="18"/>
        </w:rPr>
        <w:t>：https://www.npc.gov.cn/npc/c2/c30834/202106/t20210610_311888.html</w:t>
      </w:r>
    </w:p>
    <w:p>
      <w:pPr>
        <w:spacing w:after="60"/>
      </w:pPr>
      <w:r>
        <w:rPr>
          <w:rFonts w:ascii="Microsoft YaHei" w:hAnsi="Microsoft YaHei" w:eastAsia="Microsoft YaHei"/>
          <w:color w:val="5B677A"/>
          <w:sz w:val="19"/>
        </w:rPr>
        <w:t xml:space="preserve">• </w:t>
      </w:r>
      <w:hyperlink r:id="rId22">
        <w:r>
          <w:rPr>
            <w:color w:val="0563C1"/>
            <w:u w:val="single"/>
          </w:rPr>
          <w:t>中华人民共和国个人信息保护法</w:t>
        </w:r>
      </w:hyperlink>
      <w:r>
        <w:rPr>
          <w:rFonts w:ascii="Microsoft YaHei" w:hAnsi="Microsoft YaHei" w:eastAsia="Microsoft YaHei"/>
          <w:color w:val="5B677A"/>
          <w:sz w:val="18"/>
        </w:rPr>
        <w:t>：https://www.cac.gov.cn/2021-08/20/c_1631050028355286.htm</w:t>
      </w:r>
    </w:p>
    <w:p>
      <w:pPr>
        <w:spacing w:after="60"/>
      </w:pPr>
      <w:r>
        <w:rPr>
          <w:rFonts w:ascii="Microsoft YaHei" w:hAnsi="Microsoft YaHei" w:eastAsia="Microsoft YaHei"/>
          <w:color w:val="5B677A"/>
          <w:sz w:val="19"/>
        </w:rPr>
        <w:t xml:space="preserve">• </w:t>
      </w:r>
      <w:hyperlink r:id="rId23">
        <w:r>
          <w:rPr>
            <w:color w:val="0563C1"/>
            <w:u w:val="single"/>
          </w:rPr>
          <w:t>中华人民共和国网络安全法（2026 年修正版）</w:t>
        </w:r>
      </w:hyperlink>
      <w:r>
        <w:rPr>
          <w:rFonts w:ascii="Microsoft YaHei" w:hAnsi="Microsoft YaHei" w:eastAsia="Microsoft YaHei"/>
          <w:color w:val="5B677A"/>
          <w:sz w:val="18"/>
        </w:rPr>
        <w:t>：https://www.cac.gov.cn/2025-12/29/c_1768735112911946.htm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60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B677A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B67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Microsoft YaHei" w:hAnsi="Microsoft YaHei" w:eastAsia="Microsoft YaHei"/>
        <w:b/>
        <w:color w:val="5B677A"/>
        <w:sz w:val="17"/>
      </w:rPr>
      <w:t>黔智脑 Cognitive OS 参赛项目计划书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www.cac.gov.cn/2023-07/13/c_1690898326795531.htm" TargetMode="External"/><Relationship Id="rId20" Type="http://schemas.openxmlformats.org/officeDocument/2006/relationships/hyperlink" Target="https://www.cac.gov.cn/2025-03/14/c_1743654684782215.htm" TargetMode="External"/><Relationship Id="rId21" Type="http://schemas.openxmlformats.org/officeDocument/2006/relationships/hyperlink" Target="https://www.npc.gov.cn/npc/c2/c30834/202106/t20210610_311888.html" TargetMode="External"/><Relationship Id="rId22" Type="http://schemas.openxmlformats.org/officeDocument/2006/relationships/hyperlink" Target="https://www.cac.gov.cn/2021-08/20/c_1631050028355286.htm" TargetMode="External"/><Relationship Id="rId23" Type="http://schemas.openxmlformats.org/officeDocument/2006/relationships/hyperlink" Target="https://www.cac.gov.cn/2025-12/29/c_176873511291194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黔智脑 Cognitive OS 参赛项目计划书</dc:title>
  <dc:subject>2026 人工智能创业大赛参赛项目</dc:subject>
  <dc:creator>Codex</dc:creator>
  <cp:keywords/>
  <dc:description>Clean competition-ready version generated from the provided draft.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