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112000" cy="723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ognitive_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23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一、项目概述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项目定位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黔智脑 Cognitive OS 是面向政企组织的认知操作系统原型，定位于“数据接入、知识沉淀、多智能体协同、合规审计”一体化平台。项目当前仍处于工程化原型和试点准备阶段，尚未形成大规模商业收入，本文不将未发生的合作、收益或落地效果表述为既成成果。</w:t>
      </w:r>
    </w:p>
    <w:p>
      <w:pPr>
        <w:pStyle w:val="Heading3"/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1.1 当前现状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截至2026年6月5日，本地代码目录 D:\dma\day2 统计显示，项目已形成约155个 Python 源文件和64个 Python 测试文件，覆盖 FastAPI 后端、记忆检索、导入同步、多智能体工作流、权限、审计、合规、计费和多租户等模块。上述数据来源为本地代码目录统计，属于项目内部工程进展，不等同于已完成商业化交付。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表1.1 项目当前进展概览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模块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现有进展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真实性说明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后端服务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FastAPI 入口、配置注入、接口路由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已有代码资产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认知记忆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SQLite、ChromaDB、本地 embedding、检索流程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原型阶段能力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多智能体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Agent Registry、Workflow Engine、人工确认节点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已有模块设计与代码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企业能力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认证、多租户、RBAC、审计、合规、用量和计费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处于工程集成阶段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测试资产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64个 Python 测试文件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以本地目录统计为准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二、项目优势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技术优势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优势主要来自三点：第一，采用六边形架构，将领域核心、外部适配器、接口层和工具层解耦；第二，以知识库和向量检索支撑长期记忆，避免只做一次性问答；第三，通过多智能体工作流把复杂任务拆成可审计、可复核、可人工确认的流程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3388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fig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8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图2.1 黔智脑 Cognitive OS 总体架构</w:t>
      </w:r>
    </w:p>
    <w:p>
      <w:pPr>
        <w:spacing w:before="0" w:after="0" w:line="560" w:lineRule="exact"/>
        <w:jc w:val="both"/>
        <w:snapToGrid w:val="0"/>
      </w:pP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工程优势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与仅停留在商业设想的项目相比，黔智脑已具备可继续演示和迭代的代码基础。项目尚需继续完善前端体验、数据接入规范、模型评测、客户试点和安全合规文档，因此本计划书将其定位为“具备原型基础的早期创业项目”，不夸大为成熟商用平台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2886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fig3_mechani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8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图2.2 数据到认知能力的技术机制</w:t>
      </w:r>
    </w:p>
    <w:p>
      <w:pPr>
        <w:spacing w:before="0" w:after="0" w:line="560" w:lineRule="exact"/>
        <w:jc w:val="both"/>
        <w:snapToGrid w:val="0"/>
      </w:pP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三、市场分析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行业规模与政策背景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人工智能行业具备明确增长基础。中国互联网络信息中心《生成式人工智能应用发展报告（2024）》披露，我国已初步构建较为全面的人工智能产业体系，相关企业超过4500家，核心产业规模接近6000亿元。中国信通院《中国数字经济发展研究报告（2024年）》指出，大模型、算力和数据成为数字经济发展的重要支撑。贵州省大数据发展管理局2024年部门预算公开资料提出，力争2024年数字经济增加值占地区生产总值比重达到45%左右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表3.1 市场与政策数据来源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数据或依据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具体内容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来源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人工智能产业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相关企业超过4500家，核心产业规模接近6000亿元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CNNIC《生成式人工智能应用发展报告（2024）》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数字经济趋势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大模型、算力和数据成为数字经济重要支撑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中国信通院《中国数字经济发展研究报告（2024年）》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贵州场景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力争2024年数字经济增加值占GDP比重45%左右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贵州省大数据发展管理局2024年部门预算公开资料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政务云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2023年中国政务云整体市场规模794.5亿元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IDC研究数据，中国日报网报道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目标客户与需求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优先面向三类客户：一是产业园区和投促部门，需求集中在招商分析、企业画像和产业链诊断；二是中小企业，需求集中在文档知识库、AI检索、内部经验沉淀和经营辅助分析；三是政企服务窗口，需求集中在政策咨询、办事导航和知识问答。上述需求来自现有政企数字化场景观察，后续需通过试点访谈和合同材料进一步验证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2976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fig4_value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7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图3.1 应用场景价值矩阵</w:t>
      </w:r>
    </w:p>
    <w:p>
      <w:pPr>
        <w:spacing w:before="0" w:after="0" w:line="560" w:lineRule="exact"/>
        <w:jc w:val="both"/>
        <w:snapToGrid w:val="0"/>
      </w:pP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四、产品方案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总体方案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产品采用“数据层、知识层、Agent层、应用层、合规安全层”的结构。数据层接入文档、业务系统和公开数据；知识层完成向量化、实体抽取和关系沉淀；Agent层提供任务拆解、工具调用和协同流程；应用层提供管理控制台、智能助手、数据看板和API接口。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智能招商流程示例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以智能招商为例，用户输入目标行业和区域约束后，产业Agent检索产业链现状，招商Agent生成目标企业候选，政策Agent匹配适用政策，风险Agent补充信用、舆情和落地风险提示，最终输出待人工复核的招商建议。该流程当前作为产品设计和原型功能方向，不表述为已产生确定落地成效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2827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fig2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2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图4.1 多智能体协同流程</w:t>
      </w:r>
    </w:p>
    <w:p>
      <w:pPr>
        <w:spacing w:before="0" w:after="0" w:line="560" w:lineRule="exact"/>
        <w:jc w:val="both"/>
        <w:snapToGrid w:val="0"/>
      </w:pP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3. 安全合规设计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坚持正确政治方向、舆论导向和价值取向。系统设计原则包括数据不出域、最小必要、权限分级、日志审计、人工复核和生成内容标识。涉及政务或企业敏感数据时，默认采用私有化或政务云部署，不将未授权数据用于公开模型训练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2856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fig5_compli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5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图4.2 安全合规与部署架构</w:t>
      </w:r>
    </w:p>
    <w:p>
      <w:pPr>
        <w:spacing w:before="0" w:after="0" w:line="560" w:lineRule="exact"/>
        <w:jc w:val="both"/>
        <w:snapToGrid w:val="0"/>
      </w:pP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五、商业模式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收入结构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项目商业模式采用To G项目交付、To B订阅服务和数据报告服务三类收入来源。当前比例为规划目标，不代表已实现收入。To G用于形成标杆案例，To B用于规模化复制，数据报告服务用于提升行业洞察和复购能力。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30513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venue_mix_for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图5.1 规划收入结构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表5.1 商业模式假设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收入类型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收费方式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当前状态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To G项目交付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平台建设费、定制开发费、运维服务费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需以试点和招采材料验证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To B订阅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基础版、专业版、企业版订阅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产品原型阶段，尚需验证付费转化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数据报告服务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按专题报告或数据包收费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适合作为增值服务探索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定价口径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初步定价建议为：基础版面向中小团队，按年订阅；专业版增加知识图谱、多智能体流程和数据分析能力；企业版按私有化部署、数据接入规模和安全合规要求单独报价。具体价格需在试点后结合客户预算、交付成本和竞品价格再修订。</w:t>
      </w: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六、财务分析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三年预测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财务预测采用区间表达，属于经营测算而非收益承诺。测算基于小团队研发成本、云资源费用、试点交付成本和客户拓展节奏，后续应以合同、订单、客户访谈和成本凭证作为申报系统支撑材料。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29682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nance_form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6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图6.1 三年财务预测区间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表6.1 三年财务预测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年份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政府客户数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企业客户数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年收入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年净利润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第1年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3-5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20-30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80-150万元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-50至-20万元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第2年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10-15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80-120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300-500万元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50-100万元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第3年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20-30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200-300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800-1200万元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150-300万元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资金需求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本轮建议按天使轮或赛事资源对接处理，计划融资100万元，出让10%至15%股权。该股权区间应在正式融资时结合公司估值、出资方式、知识产权归属、创始团队持股和后续融资稀释进行法律与财务复核。资金用途建议为产品研发50万元、市场试点30万元、运营及合规20万元。</w:t>
      </w: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七、实施计划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12个月路线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实施节奏以降低不确定性为原则：先完成MVP和内部演示，再进入小范围试点，随后通过真实客户反馈修正产品能力和商业模型。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240" w:lineRule="auto"/>
        <w:jc w:val="center"/>
        <w:keepNext/>
        <w:snapToGrid w:val="0"/>
      </w:pPr>
      <w:r>
        <w:drawing>
          <wp:inline xmlns:a="http://schemas.openxmlformats.org/drawingml/2006/main" xmlns:pic="http://schemas.openxmlformats.org/drawingml/2006/picture">
            <wp:extent cx="5472000" cy="28256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fig8_road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2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60" w:lineRule="exact"/>
        <w:jc w:val="center"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图7.1 12个月实施路线</w:t>
      </w:r>
    </w:p>
    <w:p>
      <w:pPr>
        <w:spacing w:before="0" w:after="0" w:line="560" w:lineRule="exact"/>
        <w:jc w:val="both"/>
        <w:snapToGrid w:val="0"/>
      </w:pP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风险与应对</w:t>
      </w:r>
    </w:p>
    <w:p>
      <w:pPr>
        <w:spacing w:before="0" w:after="0" w:line="560" w:lineRule="exact"/>
        <w:jc w:val="both"/>
        <w:snapToGrid w:val="0"/>
      </w:pPr>
    </w:p>
    <w:p>
      <w:pPr>
        <w:spacing w:before="0" w:after="0" w:line="560" w:lineRule="exact"/>
        <w:jc w:val="center"/>
        <w:keepNext/>
        <w:snapToGrid w:val="0"/>
      </w:pPr>
      <w:r>
        <w:rPr>
          <w:rFonts w:ascii="Times New Roman" w:hAnsi="Times New Roman" w:eastAsia="黑体"/>
          <w:b w:val="0"/>
          <w:color w:val="000000"/>
          <w:sz w:val="24"/>
        </w:rPr>
        <w:t>表7.1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表现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应对措施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技术风险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模型准确率、成本和稳定性存在波动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建立多模型方案、评测集和人工复核流程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市场风险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政务客户周期长，企业付费需验证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以小场景试点验证需求，再扩大销售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数据风险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敏感数据、个人信息和日志审计要求高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采用私有化部署、脱敏、权限分级和审计留痕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center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交付风险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客户数据质量和流程差异影响部署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560" w:lineRule="exact"/>
              <w:jc w:val="left"/>
              <w:snapToGrid w:val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8"/>
              </w:rPr>
              <w:t>制定标准实施清单和阶段验收机制</w:t>
            </w:r>
          </w:p>
        </w:tc>
      </w:tr>
    </w:tbl>
    <w:p>
      <w:pPr>
        <w:spacing w:before="0" w:after="0" w:line="560" w:lineRule="exact"/>
        <w:jc w:val="both"/>
        <w:snapToGrid w:val="0"/>
      </w:pPr>
    </w:p>
    <w:p>
      <w:pPr>
        <w:pStyle w:val="Heading1"/>
        <w:spacing w:before="0" w:after="0" w:line="560" w:lineRule="exact"/>
        <w:jc w:val="both"/>
        <w:snapToGrid w:val="0"/>
      </w:pPr>
      <w:r>
        <w:rPr>
          <w:rFonts w:ascii="Times New Roman" w:hAnsi="Times New Roman" w:eastAsia="黑体"/>
          <w:b w:val="0"/>
          <w:color w:val="000000"/>
          <w:sz w:val="32"/>
        </w:rPr>
        <w:t>八、合规与资料来源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1. 合规承诺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本项目参赛正文不涉及国家秘密，不包含违法或有害信息；涉及生成式人工智能、数据处理和个人信息保护的功能均以合法授权、最小必要、人工复核和安全审计为前提。系统输出定位为辅助分析，不替代法定审批、行政决定或专业人员责任。</w:t>
      </w:r>
    </w:p>
    <w:p>
      <w:pPr>
        <w:pStyle w:val="Heading2"/>
        <w:spacing w:before="0" w:after="0" w:line="560" w:lineRule="exact"/>
        <w:jc w:val="both"/>
        <w:snapToGrid w:val="0"/>
      </w:pPr>
      <w:r>
        <w:rPr>
          <w:rFonts w:ascii="Times New Roman" w:hAnsi="Times New Roman" w:eastAsia="楷体"/>
          <w:b w:val="0"/>
          <w:color w:val="000000"/>
          <w:sz w:val="32"/>
        </w:rPr>
        <w:t>2. 引用来源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国家网信办等七部门，《生成式人工智能服务管理暂行办法》，2023年7月13日，https://www.cac.gov.cn/2023-07/13/c_1690898326795531.htm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国家网信办等四部门，《人工智能生成合成内容标识办法》，2025年3月14日，https://www.cac.gov.cn/2025-03/14/c_1743654684782215.htm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全国人大网，《中华人民共和国数据安全法》，2021年6月10日，https://www.npc.gov.cn/npc/c2/c30834/202106/t20210610_311888.html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全国人大网，《全国人民代表大会常务委员会关于修改〈中华人民共和国网络安全法〉的决定》，2025年10月28日，https://www.npc.gov.cn/npc/c1773/c1848/c21114/wlaqfxz/wlaqfxz002/202511/t20251103_449242.html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CNNIC，《生成式人工智能应用发展报告（2024）》，2024年11月发布，https://www.cnnic.cn/n4/2024/1216/c88-11196.html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中国信通院，《中国数字经济发展研究报告（2024年）》，2024年8月发布，https://www.caict.ac.cn/kxyj/qwfb/bps/202408/P020240830315324580655.pdf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贵州省大数据发展管理局，2024年部门预算公开资料，https://czt.guizhou.gov.cn/ztzl/gzsczzjxxgkzl/sygbmhdwczyjsjsgjf_40736/gzsdsjfzglj/202403/P020240303312233690262.pdf</w:t>
      </w:r>
    </w:p>
    <w:p>
      <w:pPr>
        <w:spacing w:before="0" w:after="0" w:line="560" w:lineRule="exact"/>
        <w:jc w:val="both"/>
        <w:snapToGrid w:val="0"/>
      </w:pPr>
      <w:r>
        <w:rPr>
          <w:rFonts w:ascii="Times New Roman" w:hAnsi="Times New Roman" w:eastAsia="宋体"/>
          <w:b w:val="0"/>
          <w:color w:val="000000"/>
          <w:sz w:val="28"/>
        </w:rPr>
        <w:t>中国日报网转引IDC研究数据，2023年中国政务云整体市场规模794.5亿元，https://tech.chinadaily.com.cn/a/202407/23/WS669f94f9a3107cd55d26c468.html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587" w:bottom="1984" w:left="1587" w:header="85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560" w:lineRule="exact"/>
      <w:jc w:val="center"/>
      <w:snapToGrid w:val="0"/>
    </w:pPr>
    <w:r/>
    <w:r>
      <w:rPr>
        <w:rFonts w:ascii="Times New Roman" w:hAnsi="Times New Roman" w:eastAsia="宋体"/>
        <w:b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5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楷体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560" w:lineRule="exact"/>
      <w:outlineLvl w:val="2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黔智脑 Cognitive OS 参赛商业计划书格式合规版</dc:title>
  <dc:subject/>
  <dc:creator>Codex</dc:creator>
  <cp:keywords/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