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70F2B">
      <w:pPr>
        <w:pStyle w:val="5"/>
        <w:bidi w:val="0"/>
        <w:rPr>
          <w:rFonts w:hint="eastAsia"/>
          <w:lang w:val="en-US" w:eastAsia="zh-CN"/>
        </w:rPr>
      </w:pPr>
      <w:r>
        <w:rPr>
          <w:rFonts w:hint="eastAsia"/>
          <w:lang w:val="en-US" w:eastAsia="zh-CN"/>
        </w:rPr>
        <w:t>一、“三道闸”的定义</w:t>
      </w:r>
    </w:p>
    <w:p w14:paraId="4F2585E9">
      <w:pPr>
        <w:widowControl w:val="0"/>
        <w:numPr>
          <w:ilvl w:val="0"/>
          <w:numId w:val="0"/>
        </w:numPr>
        <w:jc w:val="both"/>
        <w:rPr>
          <w:rFonts w:hint="eastAsia"/>
          <w:b w:val="0"/>
          <w:bCs w:val="0"/>
          <w:lang w:val="en-US" w:eastAsia="zh-CN"/>
        </w:rPr>
      </w:pPr>
      <w:r>
        <w:rPr>
          <w:rFonts w:hint="eastAsia"/>
          <w:b w:val="0"/>
          <w:bCs w:val="0"/>
          <w:lang w:val="en-US" w:eastAsia="zh-CN"/>
        </w:rPr>
        <w:t>在RAG+LLM系统中，合规检测机制被结构化地部署于数据流转的三个关键处理节点。这三个节点即为“三道闸”，负责在系统数据输入、上下文构建和最终生成的全生命周期中执行合规判定。</w:t>
      </w:r>
    </w:p>
    <w:p w14:paraId="1BDF4978">
      <w:pPr>
        <w:widowControl w:val="0"/>
        <w:numPr>
          <w:ilvl w:val="0"/>
          <w:numId w:val="0"/>
        </w:numPr>
        <w:jc w:val="both"/>
        <w:rPr>
          <w:rFonts w:hint="default"/>
          <w:b/>
          <w:bCs/>
          <w:lang w:val="en-US" w:eastAsia="zh-CN"/>
        </w:rPr>
      </w:pPr>
    </w:p>
    <w:p w14:paraId="44CDC322">
      <w:pPr>
        <w:widowControl w:val="0"/>
        <w:numPr>
          <w:ilvl w:val="0"/>
          <w:numId w:val="0"/>
        </w:numPr>
        <w:jc w:val="both"/>
        <w:rPr>
          <w:rFonts w:hint="default"/>
          <w:b/>
          <w:bCs/>
          <w:lang w:val="en-US" w:eastAsia="zh-CN"/>
        </w:rPr>
      </w:pPr>
      <w:r>
        <w:rPr>
          <w:rFonts w:hint="eastAsia"/>
          <w:b/>
          <w:bCs/>
          <w:lang w:val="en-US" w:eastAsia="zh-CN"/>
        </w:rPr>
        <w:t>(</w:t>
      </w:r>
      <w:r>
        <w:rPr>
          <w:rFonts w:hint="default"/>
          <w:b/>
          <w:bCs/>
          <w:lang w:val="en-US" w:eastAsia="zh-CN"/>
        </w:rPr>
        <w:t>输入闸InputGate：用户问题或者用户上传数据刚进入系统时检测，防止违规query或违规原始数据进系统。</w:t>
      </w:r>
    </w:p>
    <w:p w14:paraId="5795959E">
      <w:pPr>
        <w:widowControl w:val="0"/>
        <w:numPr>
          <w:ilvl w:val="0"/>
          <w:numId w:val="0"/>
        </w:numPr>
        <w:jc w:val="both"/>
        <w:rPr>
          <w:rFonts w:hint="default"/>
          <w:b/>
          <w:bCs/>
          <w:lang w:val="en-US" w:eastAsia="zh-CN"/>
        </w:rPr>
      </w:pPr>
      <w:r>
        <w:rPr>
          <w:rFonts w:hint="default"/>
          <w:b/>
          <w:bCs/>
          <w:lang w:val="en-US" w:eastAsia="zh-CN"/>
        </w:rPr>
        <w:t>上下文闸ContextGate：检索完成后、进入大模型上下文前检测，防止敏感数据直接进入LLM。</w:t>
      </w:r>
    </w:p>
    <w:p w14:paraId="4CE1C2CB">
      <w:pPr>
        <w:widowControl w:val="0"/>
        <w:numPr>
          <w:ilvl w:val="0"/>
          <w:numId w:val="0"/>
        </w:numPr>
        <w:jc w:val="both"/>
        <w:rPr>
          <w:rFonts w:hint="default"/>
          <w:b/>
          <w:bCs/>
          <w:lang w:val="en-US" w:eastAsia="zh-CN"/>
        </w:rPr>
      </w:pPr>
      <w:r>
        <w:rPr>
          <w:rFonts w:hint="default"/>
          <w:b/>
          <w:bCs/>
          <w:lang w:val="en-US" w:eastAsia="zh-CN"/>
        </w:rPr>
        <w:t>输出闸OutputGate：大模型生成答案后、返回用户前检测，防止违规内容输出。</w:t>
      </w:r>
      <w:r>
        <w:rPr>
          <w:rFonts w:hint="eastAsia"/>
          <w:b/>
          <w:bCs/>
          <w:lang w:val="en-US" w:eastAsia="zh-CN"/>
        </w:rPr>
        <w:t>)</w:t>
      </w:r>
    </w:p>
    <w:p w14:paraId="265731FA">
      <w:pPr>
        <w:widowControl w:val="0"/>
        <w:numPr>
          <w:ilvl w:val="0"/>
          <w:numId w:val="0"/>
        </w:numPr>
        <w:jc w:val="both"/>
        <w:rPr>
          <w:rFonts w:hint="default"/>
          <w:b/>
          <w:bCs/>
          <w:lang w:val="en-US" w:eastAsia="zh-CN"/>
        </w:rPr>
      </w:pPr>
    </w:p>
    <w:p w14:paraId="73343FF4">
      <w:pPr>
        <w:widowControl w:val="0"/>
        <w:numPr>
          <w:ilvl w:val="0"/>
          <w:numId w:val="0"/>
        </w:numPr>
        <w:jc w:val="both"/>
        <w:rPr>
          <w:rFonts w:hint="default"/>
          <w:b/>
          <w:bCs/>
          <w:lang w:val="en-US" w:eastAsia="zh-CN"/>
        </w:rPr>
      </w:pPr>
    </w:p>
    <w:p w14:paraId="402FDF50">
      <w:pPr>
        <w:widowControl w:val="0"/>
        <w:numPr>
          <w:ilvl w:val="0"/>
          <w:numId w:val="0"/>
        </w:numPr>
        <w:jc w:val="both"/>
        <w:rPr>
          <w:rFonts w:hint="eastAsia"/>
          <w:b w:val="0"/>
          <w:bCs w:val="0"/>
          <w:lang w:val="en-US" w:eastAsia="zh-CN"/>
        </w:rPr>
      </w:pPr>
      <w:r>
        <w:rPr>
          <w:rFonts w:hint="eastAsia"/>
          <w:b/>
          <w:bCs/>
          <w:lang w:val="en-US" w:eastAsia="zh-CN"/>
        </w:rPr>
        <w:t>输入闸（InputGate）</w:t>
      </w:r>
    </w:p>
    <w:p w14:paraId="1CCA80AB">
      <w:pPr>
        <w:widowControl w:val="0"/>
        <w:numPr>
          <w:ilvl w:val="0"/>
          <w:numId w:val="0"/>
        </w:numPr>
        <w:jc w:val="both"/>
        <w:rPr>
          <w:rFonts w:hint="default"/>
          <w:b w:val="0"/>
          <w:bCs w:val="0"/>
          <w:lang w:val="en-US" w:eastAsia="zh-CN"/>
        </w:rPr>
      </w:pPr>
      <w:r>
        <w:rPr>
          <w:rFonts w:hint="eastAsia"/>
          <w:b w:val="0"/>
          <w:bCs w:val="0"/>
          <w:lang w:val="en-US" w:eastAsia="zh-CN"/>
        </w:rPr>
        <w:t>触发时机：</w:t>
      </w:r>
      <w:r>
        <w:rPr>
          <w:rFonts w:hint="default"/>
          <w:b w:val="0"/>
          <w:bCs w:val="0"/>
          <w:lang w:val="en-US" w:eastAsia="zh-CN"/>
        </w:rPr>
        <w:t>该检测模块部署于系统接收外部数据的起始端。当用户提交查询请求（query）或上传业务数据文件，且数据尚未存入系统数据库或进入检索流程时，系统即调用此模块执行检测。</w:t>
      </w:r>
    </w:p>
    <w:p w14:paraId="44823C8F">
      <w:pPr>
        <w:widowControl w:val="0"/>
        <w:numPr>
          <w:ilvl w:val="0"/>
          <w:numId w:val="0"/>
        </w:numPr>
        <w:jc w:val="both"/>
        <w:rPr>
          <w:rFonts w:hint="default"/>
          <w:b w:val="0"/>
          <w:bCs w:val="0"/>
          <w:lang w:val="en-US" w:eastAsia="zh-CN"/>
        </w:rPr>
      </w:pPr>
    </w:p>
    <w:p w14:paraId="4AE306E5">
      <w:pPr>
        <w:widowControl w:val="0"/>
        <w:numPr>
          <w:ilvl w:val="0"/>
          <w:numId w:val="0"/>
        </w:numPr>
        <w:jc w:val="both"/>
        <w:rPr>
          <w:rFonts w:hint="eastAsia"/>
          <w:b w:val="0"/>
          <w:bCs w:val="0"/>
          <w:lang w:val="en-US" w:eastAsia="zh-CN"/>
        </w:rPr>
      </w:pPr>
      <w:r>
        <w:rPr>
          <w:rFonts w:hint="default"/>
          <w:b w:val="0"/>
          <w:bCs w:val="0"/>
          <w:lang w:val="en-US" w:eastAsia="zh-CN"/>
        </w:rPr>
        <w:t>核心功能</w:t>
      </w:r>
      <w:r>
        <w:rPr>
          <w:rFonts w:hint="eastAsia"/>
          <w:b w:val="0"/>
          <w:bCs w:val="0"/>
          <w:lang w:val="en-US" w:eastAsia="zh-CN"/>
        </w:rPr>
        <w:t>：主要任务是执行初始数据的合规审查，防止包含违规属性的查询指令或原始业务数据流入系统内部。例如，代码文件中存在的硬编码凭证（第3类违规），系统仅在该输入节点进行识别与拦截。</w:t>
      </w:r>
    </w:p>
    <w:p w14:paraId="1ADA1686">
      <w:pPr>
        <w:widowControl w:val="0"/>
        <w:numPr>
          <w:ilvl w:val="0"/>
          <w:numId w:val="0"/>
        </w:numPr>
        <w:ind w:leftChars="0"/>
        <w:jc w:val="both"/>
        <w:rPr>
          <w:rFonts w:hint="eastAsia"/>
          <w:b w:val="0"/>
          <w:bCs w:val="0"/>
          <w:lang w:val="en-US" w:eastAsia="zh-CN"/>
        </w:rPr>
      </w:pPr>
      <w:r>
        <w:rPr>
          <w:rFonts w:hint="eastAsia"/>
          <w:b/>
          <w:bCs/>
          <w:lang w:val="en-US" w:eastAsia="zh-CN"/>
        </w:rPr>
        <w:t>上下文闸（ContextGate）</w:t>
      </w:r>
    </w:p>
    <w:p w14:paraId="33DF038C">
      <w:pPr>
        <w:widowControl w:val="0"/>
        <w:numPr>
          <w:ilvl w:val="0"/>
          <w:numId w:val="0"/>
        </w:numPr>
        <w:ind w:leftChars="0"/>
        <w:jc w:val="both"/>
        <w:rPr>
          <w:rFonts w:hint="default"/>
          <w:b w:val="0"/>
          <w:bCs w:val="0"/>
          <w:lang w:val="en-US" w:eastAsia="zh-CN"/>
        </w:rPr>
      </w:pPr>
      <w:r>
        <w:rPr>
          <w:rFonts w:hint="default"/>
          <w:b w:val="0"/>
          <w:bCs w:val="0"/>
          <w:lang w:val="en-US" w:eastAsia="zh-CN"/>
        </w:rPr>
        <w:t>触发时机：该检测模块部署于系统内部的知识检索机制与大语言模型之间。具体而言，在系统完成对数据库的检索之后，且准备将检索出的数据切片拼接组合为大语言模型推理上下文（Context）之前，触发该检测。</w:t>
      </w:r>
    </w:p>
    <w:p w14:paraId="6FE50780">
      <w:pPr>
        <w:widowControl w:val="0"/>
        <w:numPr>
          <w:ilvl w:val="0"/>
          <w:numId w:val="0"/>
        </w:numPr>
        <w:ind w:leftChars="0"/>
        <w:jc w:val="both"/>
        <w:rPr>
          <w:rFonts w:hint="default"/>
          <w:b w:val="0"/>
          <w:bCs w:val="0"/>
          <w:lang w:val="en-US" w:eastAsia="zh-CN"/>
        </w:rPr>
      </w:pPr>
    </w:p>
    <w:p w14:paraId="49F64767">
      <w:pPr>
        <w:widowControl w:val="0"/>
        <w:numPr>
          <w:ilvl w:val="0"/>
          <w:numId w:val="0"/>
        </w:numPr>
        <w:ind w:leftChars="0"/>
        <w:jc w:val="both"/>
        <w:rPr>
          <w:rFonts w:hint="eastAsia"/>
          <w:b w:val="0"/>
          <w:bCs w:val="0"/>
          <w:lang w:val="en-US" w:eastAsia="zh-CN"/>
        </w:rPr>
      </w:pPr>
      <w:r>
        <w:rPr>
          <w:rFonts w:hint="eastAsia"/>
          <w:b w:val="0"/>
          <w:bCs w:val="0"/>
          <w:lang w:val="en-US" w:eastAsia="zh-CN"/>
        </w:rPr>
        <w:t>核心功能：该模块致力于执行大模型输入前的数据审查与隔离。其主要任务是甄别并阻断被系统检索出的敏感内部数据或高涉密文本直接进入大语言模型的上下文环境，从而在推理机制层面，切断模型因摄入敏感输入而诱发违规内容生成的路径。</w:t>
      </w:r>
    </w:p>
    <w:p w14:paraId="612B69E0">
      <w:pPr>
        <w:widowControl w:val="0"/>
        <w:numPr>
          <w:ilvl w:val="0"/>
          <w:numId w:val="0"/>
        </w:numPr>
        <w:ind w:leftChars="0"/>
        <w:jc w:val="both"/>
        <w:rPr>
          <w:rFonts w:hint="eastAsia"/>
          <w:b w:val="0"/>
          <w:bCs w:val="0"/>
          <w:lang w:val="en-US" w:eastAsia="zh-CN"/>
        </w:rPr>
      </w:pPr>
      <w:r>
        <w:rPr>
          <w:rFonts w:hint="eastAsia"/>
          <w:b/>
          <w:bCs/>
          <w:lang w:val="en-US" w:eastAsia="zh-CN"/>
        </w:rPr>
        <w:t>输出闸（OutputGate）</w:t>
      </w:r>
    </w:p>
    <w:p w14:paraId="558A4966">
      <w:pPr>
        <w:widowControl w:val="0"/>
        <w:numPr>
          <w:ilvl w:val="0"/>
          <w:numId w:val="0"/>
        </w:numPr>
        <w:ind w:leftChars="0"/>
        <w:jc w:val="both"/>
        <w:rPr>
          <w:rFonts w:hint="eastAsia"/>
          <w:b w:val="0"/>
          <w:bCs w:val="0"/>
          <w:lang w:val="en-US" w:eastAsia="zh-CN"/>
        </w:rPr>
      </w:pPr>
      <w:r>
        <w:rPr>
          <w:rFonts w:hint="eastAsia"/>
          <w:b w:val="0"/>
          <w:bCs w:val="0"/>
          <w:lang w:val="en-US" w:eastAsia="zh-CN"/>
        </w:rPr>
        <w:t>触发时机：</w:t>
      </w:r>
      <w:r>
        <w:rPr>
          <w:rFonts w:hint="default"/>
          <w:b w:val="0"/>
          <w:bCs w:val="0"/>
          <w:lang w:val="en-US" w:eastAsia="zh-CN"/>
        </w:rPr>
        <w:t>节点位置与触发时机：该检测模块部署于数据流转的末端。当大语言模型完成计算并生成文本内容后，在系统将最终结果推送至用户终端界面前，系统会调用此模块</w:t>
      </w:r>
      <w:r>
        <w:rPr>
          <w:rFonts w:hint="eastAsia"/>
          <w:b w:val="0"/>
          <w:bCs w:val="0"/>
          <w:lang w:val="en-US" w:eastAsia="zh-CN"/>
        </w:rPr>
        <w:t>。</w:t>
      </w:r>
    </w:p>
    <w:p w14:paraId="4A562EC8">
      <w:pPr>
        <w:widowControl w:val="0"/>
        <w:numPr>
          <w:ilvl w:val="0"/>
          <w:numId w:val="0"/>
        </w:numPr>
        <w:ind w:leftChars="0"/>
        <w:jc w:val="both"/>
        <w:rPr>
          <w:rFonts w:hint="default"/>
          <w:b w:val="0"/>
          <w:bCs w:val="0"/>
          <w:lang w:val="en-US" w:eastAsia="zh-CN"/>
        </w:rPr>
      </w:pPr>
    </w:p>
    <w:p w14:paraId="3015DEDC">
      <w:pPr>
        <w:widowControl w:val="0"/>
        <w:numPr>
          <w:ilvl w:val="0"/>
          <w:numId w:val="0"/>
        </w:numPr>
        <w:ind w:leftChars="0"/>
        <w:jc w:val="both"/>
        <w:rPr>
          <w:rFonts w:hint="default"/>
          <w:b w:val="0"/>
          <w:bCs w:val="0"/>
          <w:lang w:val="en-US" w:eastAsia="zh-CN"/>
        </w:rPr>
      </w:pPr>
      <w:r>
        <w:rPr>
          <w:rFonts w:hint="default"/>
          <w:b w:val="0"/>
          <w:bCs w:val="0"/>
          <w:lang w:val="en-US" w:eastAsia="zh-CN"/>
        </w:rPr>
        <w:t>核心功能：该模块致力于执行模型生成结果的最终出口管控。其主要任务是审查大语言模型输出内容的合规性，拦截任何违反公共安全、政策规范或隐私要求的不当</w:t>
      </w:r>
      <w:r>
        <w:rPr>
          <w:rFonts w:hint="eastAsia"/>
          <w:b w:val="0"/>
          <w:bCs w:val="0"/>
          <w:lang w:val="en-US" w:eastAsia="zh-CN"/>
        </w:rPr>
        <w:t>内容</w:t>
      </w:r>
      <w:r>
        <w:rPr>
          <w:rFonts w:hint="default"/>
          <w:b w:val="0"/>
          <w:bCs w:val="0"/>
          <w:lang w:val="en-US" w:eastAsia="zh-CN"/>
        </w:rPr>
        <w:t>。同时，该模块负责审查完整生成的文本逻辑，防范由于多个合法信息要素组合而衍生出的深层级安全风险，确保系统向用户交付的信息绝对安全合规。</w:t>
      </w:r>
    </w:p>
    <w:p w14:paraId="37773495">
      <w:pPr>
        <w:widowControl w:val="0"/>
        <w:numPr>
          <w:ilvl w:val="0"/>
          <w:numId w:val="0"/>
        </w:numPr>
        <w:ind w:leftChars="0"/>
        <w:jc w:val="both"/>
        <w:rPr>
          <w:rFonts w:hint="default"/>
          <w:b w:val="0"/>
          <w:bCs w:val="0"/>
          <w:lang w:val="en-US" w:eastAsia="zh-CN"/>
        </w:rPr>
      </w:pPr>
    </w:p>
    <w:p w14:paraId="35D654A8">
      <w:pPr>
        <w:pStyle w:val="4"/>
        <w:bidi w:val="0"/>
        <w:rPr>
          <w:rFonts w:hint="default"/>
          <w:lang w:val="en-US" w:eastAsia="zh-CN"/>
        </w:rPr>
      </w:pPr>
    </w:p>
    <w:p w14:paraId="19299D16">
      <w:pPr>
        <w:pStyle w:val="5"/>
        <w:bidi w:val="0"/>
        <w:rPr>
          <w:rFonts w:hint="default"/>
          <w:lang w:val="en-US" w:eastAsia="zh-CN"/>
        </w:rPr>
      </w:pPr>
      <w:r>
        <w:rPr>
          <w:rFonts w:hint="eastAsia"/>
          <w:lang w:val="en-US" w:eastAsia="zh-CN"/>
        </w:rPr>
        <w:t>二、“</w:t>
      </w:r>
      <w:r>
        <w:rPr>
          <w:rFonts w:hint="default"/>
          <w:lang w:val="en-US" w:eastAsia="zh-CN"/>
        </w:rPr>
        <w:t>三道闸</w:t>
      </w:r>
      <w:r>
        <w:rPr>
          <w:rFonts w:hint="eastAsia"/>
          <w:lang w:val="en-US" w:eastAsia="zh-CN"/>
        </w:rPr>
        <w:t>”的设计方案：</w:t>
      </w:r>
    </w:p>
    <w:p w14:paraId="2DB64ECC">
      <w:pPr>
        <w:widowControl w:val="0"/>
        <w:numPr>
          <w:ilvl w:val="0"/>
          <w:numId w:val="0"/>
        </w:numPr>
        <w:ind w:leftChars="0"/>
        <w:jc w:val="both"/>
        <w:rPr>
          <w:rFonts w:hint="default"/>
          <w:b w:val="0"/>
          <w:bCs w:val="0"/>
          <w:lang w:val="en-US" w:eastAsia="zh-CN"/>
        </w:rPr>
      </w:pPr>
      <w:r>
        <w:rPr>
          <w:rFonts w:hint="default"/>
          <w:b w:val="0"/>
          <w:bCs w:val="0"/>
          <w:lang w:val="en-US" w:eastAsia="zh-CN"/>
        </w:rPr>
        <w:t>系统不为每个闸口单独开发检测系统，而是采用：“原子检测工具 + 场景化工作流” 的统一架构。</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0"/>
        <w:gridCol w:w="4485"/>
      </w:tblGrid>
      <w:tr w14:paraId="498B3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4CCCBB1">
            <w:pPr>
              <w:widowControl w:val="0"/>
              <w:numPr>
                <w:ilvl w:val="0"/>
                <w:numId w:val="0"/>
              </w:numPr>
              <w:ind w:leftChars="0"/>
              <w:jc w:val="both"/>
              <w:rPr>
                <w:rFonts w:hint="default"/>
                <w:b/>
                <w:bCs/>
                <w:lang w:val="en-US" w:eastAsia="zh-CN"/>
              </w:rPr>
            </w:pPr>
            <w:r>
              <w:rPr>
                <w:rFonts w:hint="default"/>
                <w:b/>
                <w:bCs/>
                <w:lang w:val="en-US" w:eastAsia="zh-CN"/>
              </w:rPr>
              <w:t>工具</w:t>
            </w:r>
          </w:p>
        </w:tc>
        <w:tc>
          <w:tcPr>
            <w:tcW w:w="0" w:type="auto"/>
            <w:shd w:val="clear" w:color="auto" w:fill="auto"/>
            <w:vAlign w:val="center"/>
          </w:tcPr>
          <w:p w14:paraId="2FDC66E7">
            <w:pPr>
              <w:widowControl w:val="0"/>
              <w:numPr>
                <w:ilvl w:val="0"/>
                <w:numId w:val="0"/>
              </w:numPr>
              <w:ind w:leftChars="0"/>
              <w:jc w:val="both"/>
              <w:rPr>
                <w:rFonts w:hint="default"/>
                <w:b/>
                <w:bCs/>
                <w:lang w:val="en-US" w:eastAsia="zh-CN"/>
              </w:rPr>
            </w:pPr>
            <w:r>
              <w:rPr>
                <w:rFonts w:hint="default"/>
                <w:b/>
                <w:bCs/>
                <w:lang w:val="en-US" w:eastAsia="zh-CN"/>
              </w:rPr>
              <w:t>核心能力</w:t>
            </w:r>
          </w:p>
        </w:tc>
      </w:tr>
      <w:tr w14:paraId="35D8B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B9B703">
            <w:pPr>
              <w:widowControl w:val="0"/>
              <w:numPr>
                <w:ilvl w:val="0"/>
                <w:numId w:val="0"/>
              </w:numPr>
              <w:ind w:leftChars="0"/>
              <w:jc w:val="both"/>
              <w:rPr>
                <w:rFonts w:hint="default"/>
                <w:b w:val="0"/>
                <w:bCs w:val="0"/>
                <w:lang w:val="en-US" w:eastAsia="zh-CN"/>
              </w:rPr>
            </w:pPr>
            <w:r>
              <w:rPr>
                <w:rFonts w:hint="default"/>
                <w:b w:val="0"/>
                <w:bCs w:val="0"/>
                <w:lang w:val="en-US" w:eastAsia="zh-CN"/>
              </w:rPr>
              <w:t>T1 正则/格式匹配</w:t>
            </w:r>
          </w:p>
        </w:tc>
        <w:tc>
          <w:tcPr>
            <w:tcW w:w="0" w:type="auto"/>
            <w:shd w:val="clear" w:color="auto" w:fill="auto"/>
            <w:vAlign w:val="center"/>
          </w:tcPr>
          <w:p w14:paraId="3F82F55B">
            <w:pPr>
              <w:widowControl w:val="0"/>
              <w:numPr>
                <w:ilvl w:val="0"/>
                <w:numId w:val="0"/>
              </w:numPr>
              <w:ind w:leftChars="0"/>
              <w:jc w:val="both"/>
              <w:rPr>
                <w:rFonts w:hint="default"/>
                <w:b w:val="0"/>
                <w:bCs w:val="0"/>
                <w:lang w:val="en-US" w:eastAsia="zh-CN"/>
              </w:rPr>
            </w:pPr>
            <w:r>
              <w:rPr>
                <w:rFonts w:hint="default"/>
                <w:b w:val="0"/>
                <w:bCs w:val="0"/>
                <w:lang w:val="en-US" w:eastAsia="zh-CN"/>
              </w:rPr>
              <w:t>检测身份证、手机号、IP、GPS等固定格式数据</w:t>
            </w:r>
          </w:p>
        </w:tc>
      </w:tr>
      <w:tr w14:paraId="4058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F41D50">
            <w:pPr>
              <w:widowControl w:val="0"/>
              <w:numPr>
                <w:ilvl w:val="0"/>
                <w:numId w:val="0"/>
              </w:numPr>
              <w:ind w:leftChars="0"/>
              <w:jc w:val="both"/>
              <w:rPr>
                <w:rFonts w:hint="default"/>
                <w:b w:val="0"/>
                <w:bCs w:val="0"/>
                <w:lang w:val="en-US" w:eastAsia="zh-CN"/>
              </w:rPr>
            </w:pPr>
            <w:r>
              <w:rPr>
                <w:rFonts w:hint="default"/>
                <w:b w:val="0"/>
                <w:bCs w:val="0"/>
                <w:lang w:val="en-US" w:eastAsia="zh-CN"/>
              </w:rPr>
              <w:t>T2 关键词词典</w:t>
            </w:r>
          </w:p>
        </w:tc>
        <w:tc>
          <w:tcPr>
            <w:tcW w:w="0" w:type="auto"/>
            <w:shd w:val="clear" w:color="auto" w:fill="auto"/>
            <w:vAlign w:val="center"/>
          </w:tcPr>
          <w:p w14:paraId="06E5B895">
            <w:pPr>
              <w:widowControl w:val="0"/>
              <w:numPr>
                <w:ilvl w:val="0"/>
                <w:numId w:val="0"/>
              </w:numPr>
              <w:ind w:leftChars="0"/>
              <w:jc w:val="both"/>
              <w:rPr>
                <w:rFonts w:hint="default"/>
                <w:b w:val="0"/>
                <w:bCs w:val="0"/>
                <w:lang w:val="en-US" w:eastAsia="zh-CN"/>
              </w:rPr>
            </w:pPr>
            <w:r>
              <w:rPr>
                <w:rFonts w:hint="default"/>
                <w:b w:val="0"/>
                <w:bCs w:val="0"/>
                <w:lang w:val="en-US" w:eastAsia="zh-CN"/>
              </w:rPr>
              <w:t>检测涉政、涉黄、内部文件、应急预案等敏感词</w:t>
            </w:r>
          </w:p>
        </w:tc>
      </w:tr>
      <w:tr w14:paraId="7F5ED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ECA161">
            <w:pPr>
              <w:widowControl w:val="0"/>
              <w:numPr>
                <w:ilvl w:val="0"/>
                <w:numId w:val="0"/>
              </w:numPr>
              <w:ind w:leftChars="0"/>
              <w:jc w:val="both"/>
              <w:rPr>
                <w:rFonts w:hint="default"/>
                <w:b w:val="0"/>
                <w:bCs w:val="0"/>
                <w:lang w:val="en-US" w:eastAsia="zh-CN"/>
              </w:rPr>
            </w:pPr>
            <w:r>
              <w:rPr>
                <w:rFonts w:hint="default"/>
                <w:b w:val="0"/>
                <w:bCs w:val="0"/>
                <w:lang w:val="en-US" w:eastAsia="zh-CN"/>
              </w:rPr>
              <w:t>T3 NER实体识别</w:t>
            </w:r>
          </w:p>
        </w:tc>
        <w:tc>
          <w:tcPr>
            <w:tcW w:w="0" w:type="auto"/>
            <w:shd w:val="clear" w:color="auto" w:fill="auto"/>
            <w:vAlign w:val="center"/>
          </w:tcPr>
          <w:p w14:paraId="6BBED9A9">
            <w:pPr>
              <w:widowControl w:val="0"/>
              <w:numPr>
                <w:ilvl w:val="0"/>
                <w:numId w:val="0"/>
              </w:numPr>
              <w:ind w:leftChars="0"/>
              <w:jc w:val="both"/>
              <w:rPr>
                <w:rFonts w:hint="default"/>
                <w:b w:val="0"/>
                <w:bCs w:val="0"/>
                <w:lang w:val="en-US" w:eastAsia="zh-CN"/>
              </w:rPr>
            </w:pPr>
            <w:r>
              <w:rPr>
                <w:rFonts w:hint="default"/>
                <w:b w:val="0"/>
                <w:bCs w:val="0"/>
                <w:lang w:val="en-US" w:eastAsia="zh-CN"/>
              </w:rPr>
              <w:t>提取人名、机构、职务等自由文本标识符</w:t>
            </w:r>
          </w:p>
        </w:tc>
      </w:tr>
      <w:tr w14:paraId="20B77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0B9DC7">
            <w:pPr>
              <w:widowControl w:val="0"/>
              <w:numPr>
                <w:ilvl w:val="0"/>
                <w:numId w:val="0"/>
              </w:numPr>
              <w:ind w:leftChars="0"/>
              <w:jc w:val="both"/>
              <w:rPr>
                <w:rFonts w:hint="default"/>
                <w:b w:val="0"/>
                <w:bCs w:val="0"/>
                <w:lang w:val="en-US" w:eastAsia="zh-CN"/>
              </w:rPr>
            </w:pPr>
            <w:r>
              <w:rPr>
                <w:rFonts w:hint="default"/>
                <w:b w:val="0"/>
                <w:bCs w:val="0"/>
                <w:lang w:val="en-US" w:eastAsia="zh-CN"/>
              </w:rPr>
              <w:t>T4 LLM语义判别</w:t>
            </w:r>
          </w:p>
        </w:tc>
        <w:tc>
          <w:tcPr>
            <w:tcW w:w="0" w:type="auto"/>
            <w:shd w:val="clear" w:color="auto" w:fill="auto"/>
            <w:vAlign w:val="center"/>
          </w:tcPr>
          <w:p w14:paraId="1CEA5841">
            <w:pPr>
              <w:widowControl w:val="0"/>
              <w:numPr>
                <w:ilvl w:val="0"/>
                <w:numId w:val="0"/>
              </w:numPr>
              <w:ind w:leftChars="0"/>
              <w:jc w:val="both"/>
              <w:rPr>
                <w:rFonts w:hint="default"/>
                <w:b w:val="0"/>
                <w:bCs w:val="0"/>
                <w:lang w:val="en-US" w:eastAsia="zh-CN"/>
              </w:rPr>
            </w:pPr>
            <w:r>
              <w:rPr>
                <w:rFonts w:hint="default"/>
                <w:b w:val="0"/>
                <w:bCs w:val="0"/>
                <w:lang w:val="en-US" w:eastAsia="zh-CN"/>
              </w:rPr>
              <w:t>理解上下文语义，识别复杂违规意图</w:t>
            </w:r>
          </w:p>
        </w:tc>
      </w:tr>
      <w:tr w14:paraId="398A1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16380D">
            <w:pPr>
              <w:widowControl w:val="0"/>
              <w:numPr>
                <w:ilvl w:val="0"/>
                <w:numId w:val="0"/>
              </w:numPr>
              <w:ind w:leftChars="0"/>
              <w:jc w:val="both"/>
              <w:rPr>
                <w:rFonts w:hint="default"/>
                <w:b w:val="0"/>
                <w:bCs w:val="0"/>
                <w:lang w:val="en-US" w:eastAsia="zh-CN"/>
              </w:rPr>
            </w:pPr>
            <w:r>
              <w:rPr>
                <w:rFonts w:hint="default"/>
                <w:b w:val="0"/>
                <w:bCs w:val="0"/>
                <w:lang w:val="en-US" w:eastAsia="zh-CN"/>
              </w:rPr>
              <w:t>T5 视觉目标检测</w:t>
            </w:r>
          </w:p>
        </w:tc>
        <w:tc>
          <w:tcPr>
            <w:tcW w:w="0" w:type="auto"/>
            <w:shd w:val="clear" w:color="auto" w:fill="auto"/>
            <w:vAlign w:val="center"/>
          </w:tcPr>
          <w:p w14:paraId="52E8D098">
            <w:pPr>
              <w:widowControl w:val="0"/>
              <w:numPr>
                <w:ilvl w:val="0"/>
                <w:numId w:val="0"/>
              </w:numPr>
              <w:ind w:leftChars="0"/>
              <w:jc w:val="both"/>
              <w:rPr>
                <w:rFonts w:hint="default"/>
                <w:b w:val="0"/>
                <w:bCs w:val="0"/>
                <w:lang w:val="en-US" w:eastAsia="zh-CN"/>
              </w:rPr>
            </w:pPr>
            <w:r>
              <w:rPr>
                <w:rFonts w:hint="default"/>
                <w:b w:val="0"/>
                <w:bCs w:val="0"/>
                <w:lang w:val="en-US" w:eastAsia="zh-CN"/>
              </w:rPr>
              <w:t>识别人脸、车牌、敏感设施等视觉信息</w:t>
            </w:r>
          </w:p>
        </w:tc>
      </w:tr>
      <w:tr w14:paraId="7607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D55D90">
            <w:pPr>
              <w:widowControl w:val="0"/>
              <w:numPr>
                <w:ilvl w:val="0"/>
                <w:numId w:val="0"/>
              </w:numPr>
              <w:ind w:leftChars="0"/>
              <w:jc w:val="both"/>
              <w:rPr>
                <w:rFonts w:hint="default"/>
                <w:b w:val="0"/>
                <w:bCs w:val="0"/>
                <w:lang w:val="en-US" w:eastAsia="zh-CN"/>
              </w:rPr>
            </w:pPr>
            <w:r>
              <w:rPr>
                <w:rFonts w:hint="default"/>
                <w:b w:val="0"/>
                <w:bCs w:val="0"/>
                <w:lang w:val="en-US" w:eastAsia="zh-CN"/>
              </w:rPr>
              <w:t>T6 复杂规则计算</w:t>
            </w:r>
          </w:p>
        </w:tc>
        <w:tc>
          <w:tcPr>
            <w:tcW w:w="0" w:type="auto"/>
            <w:shd w:val="clear" w:color="auto" w:fill="auto"/>
            <w:vAlign w:val="center"/>
          </w:tcPr>
          <w:p w14:paraId="7461CCDC">
            <w:pPr>
              <w:widowControl w:val="0"/>
              <w:numPr>
                <w:ilvl w:val="0"/>
                <w:numId w:val="0"/>
              </w:numPr>
              <w:ind w:leftChars="0"/>
              <w:jc w:val="both"/>
              <w:rPr>
                <w:rFonts w:hint="default"/>
                <w:b w:val="0"/>
                <w:bCs w:val="0"/>
                <w:lang w:val="en-US" w:eastAsia="zh-CN"/>
              </w:rPr>
            </w:pPr>
            <w:r>
              <w:rPr>
                <w:rFonts w:hint="default"/>
                <w:b w:val="0"/>
                <w:bCs w:val="0"/>
                <w:lang w:val="en-US" w:eastAsia="zh-CN"/>
              </w:rPr>
              <w:t>检测密钥、高熵字符串、再识别风险等</w:t>
            </w:r>
          </w:p>
        </w:tc>
      </w:tr>
    </w:tbl>
    <w:p w14:paraId="0296A597">
      <w:pPr>
        <w:widowControl w:val="0"/>
        <w:numPr>
          <w:ilvl w:val="0"/>
          <w:numId w:val="0"/>
        </w:numPr>
        <w:ind w:leftChars="0"/>
        <w:jc w:val="both"/>
        <w:rPr>
          <w:rFonts w:hint="default"/>
          <w:b/>
          <w:bCs/>
          <w:lang w:val="en-US" w:eastAsia="zh-CN"/>
        </w:rPr>
      </w:pPr>
      <w:r>
        <w:rPr>
          <w:rFonts w:hint="default"/>
          <w:b/>
          <w:bCs/>
          <w:lang w:val="en-US" w:eastAsia="zh-CN"/>
        </w:rPr>
        <w:t>1. 输入闸（InputGate）</w:t>
      </w:r>
    </w:p>
    <w:p w14:paraId="13EA9BE1">
      <w:pPr>
        <w:widowControl w:val="0"/>
        <w:numPr>
          <w:ilvl w:val="0"/>
          <w:numId w:val="0"/>
        </w:numPr>
        <w:ind w:leftChars="0"/>
        <w:jc w:val="both"/>
        <w:rPr>
          <w:rFonts w:hint="default"/>
          <w:b w:val="0"/>
          <w:bCs w:val="0"/>
          <w:lang w:val="en-US" w:eastAsia="zh-CN"/>
        </w:rPr>
      </w:pPr>
      <w:r>
        <w:rPr>
          <w:rFonts w:hint="default"/>
          <w:b w:val="0"/>
          <w:bCs w:val="0"/>
          <w:lang w:val="en-US" w:eastAsia="zh-CN"/>
        </w:rPr>
        <w:t>用户请求或上传数据刚进入系统时进行首次深度扫描。</w:t>
      </w:r>
    </w:p>
    <w:p w14:paraId="0ABE906D">
      <w:pPr>
        <w:widowControl w:val="0"/>
        <w:numPr>
          <w:ilvl w:val="0"/>
          <w:numId w:val="0"/>
        </w:numPr>
        <w:ind w:leftChars="0"/>
        <w:jc w:val="both"/>
        <w:rPr>
          <w:rFonts w:hint="default"/>
          <w:b/>
          <w:bCs/>
          <w:lang w:val="en-US" w:eastAsia="zh-CN"/>
        </w:rPr>
      </w:pPr>
      <w:r>
        <w:rPr>
          <w:rFonts w:hint="default"/>
          <w:b/>
          <w:bCs/>
          <w:lang w:val="en-US" w:eastAsia="zh-CN"/>
        </w:rPr>
        <w:t>核心特点:</w:t>
      </w:r>
      <w:r>
        <w:rPr>
          <w:rFonts w:hint="default"/>
          <w:b w:val="0"/>
          <w:bCs w:val="0"/>
          <w:lang w:val="en-US" w:eastAsia="zh-CN"/>
        </w:rPr>
        <w:t>检测最全面，可使用较重模型（LLM/CV）。</w:t>
      </w:r>
    </w:p>
    <w:p w14:paraId="34C24807">
      <w:pPr>
        <w:widowControl w:val="0"/>
        <w:numPr>
          <w:ilvl w:val="0"/>
          <w:numId w:val="0"/>
        </w:numPr>
        <w:ind w:leftChars="0"/>
        <w:jc w:val="both"/>
        <w:rPr>
          <w:rFonts w:hint="default"/>
          <w:b/>
          <w:bCs/>
          <w:lang w:val="en-US" w:eastAsia="zh-CN"/>
        </w:rPr>
      </w:pPr>
      <w:r>
        <w:rPr>
          <w:rFonts w:hint="default"/>
          <w:b/>
          <w:bCs/>
          <w:lang w:val="en-US" w:eastAsia="zh-CN"/>
        </w:rPr>
        <w:t>重点能力</w:t>
      </w:r>
      <w:r>
        <w:rPr>
          <w:rFonts w:hint="eastAsia"/>
          <w:b/>
          <w:bCs/>
          <w:lang w:val="en-US" w:eastAsia="zh-CN"/>
        </w:rPr>
        <w:t>:</w:t>
      </w:r>
    </w:p>
    <w:p w14:paraId="57716B3C">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正则检测结构化敏感信息 </w:t>
      </w:r>
    </w:p>
    <w:p w14:paraId="18704D98">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词典 + LLM识别违法/涉政内容 </w:t>
      </w:r>
    </w:p>
    <w:p w14:paraId="6FC72551">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高熵检测识别密钥与凭证 </w:t>
      </w:r>
    </w:p>
    <w:p w14:paraId="228B120E">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OCR + CV识别图像中的人脸、车牌等 </w:t>
      </w:r>
    </w:p>
    <w:p w14:paraId="59B4DA1E">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NER识别人名、机构、内部术语 </w:t>
      </w:r>
    </w:p>
    <w:p w14:paraId="6F5CC21B">
      <w:pPr>
        <w:widowControl w:val="0"/>
        <w:numPr>
          <w:ilvl w:val="0"/>
          <w:numId w:val="0"/>
        </w:numPr>
        <w:ind w:leftChars="0"/>
        <w:jc w:val="both"/>
        <w:rPr>
          <w:rFonts w:hint="default"/>
          <w:b w:val="0"/>
          <w:bCs w:val="0"/>
          <w:lang w:val="en-US" w:eastAsia="zh-CN"/>
        </w:rPr>
      </w:pPr>
    </w:p>
    <w:p w14:paraId="7D54D74B">
      <w:pPr>
        <w:widowControl w:val="0"/>
        <w:numPr>
          <w:ilvl w:val="0"/>
          <w:numId w:val="1"/>
        </w:numPr>
        <w:ind w:leftChars="0"/>
        <w:jc w:val="both"/>
        <w:rPr>
          <w:rFonts w:hint="default"/>
          <w:b/>
          <w:bCs/>
          <w:lang w:val="en-US" w:eastAsia="zh-CN"/>
        </w:rPr>
      </w:pPr>
      <w:r>
        <w:rPr>
          <w:rFonts w:hint="default"/>
          <w:b/>
          <w:bCs/>
          <w:lang w:val="en-US" w:eastAsia="zh-CN"/>
        </w:rPr>
        <w:t>上下文闸（ContextGate）</w:t>
      </w:r>
    </w:p>
    <w:p w14:paraId="35D4BE5E">
      <w:pPr>
        <w:widowControl w:val="0"/>
        <w:numPr>
          <w:ilvl w:val="0"/>
          <w:numId w:val="0"/>
        </w:numPr>
        <w:jc w:val="both"/>
        <w:rPr>
          <w:rFonts w:hint="default"/>
          <w:b w:val="0"/>
          <w:bCs w:val="0"/>
          <w:lang w:val="en-US" w:eastAsia="zh-CN"/>
        </w:rPr>
      </w:pPr>
      <w:r>
        <w:rPr>
          <w:rFonts w:hint="default"/>
          <w:b w:val="0"/>
          <w:bCs w:val="0"/>
          <w:lang w:val="en-US" w:eastAsia="zh-CN"/>
        </w:rPr>
        <w:t>知识库检索完成后、送入LLM前进行过滤。</w:t>
      </w:r>
    </w:p>
    <w:p w14:paraId="5A064C6D">
      <w:pPr>
        <w:widowControl w:val="0"/>
        <w:numPr>
          <w:ilvl w:val="0"/>
          <w:numId w:val="0"/>
        </w:numPr>
        <w:jc w:val="both"/>
        <w:rPr>
          <w:rFonts w:hint="default"/>
          <w:b w:val="0"/>
          <w:bCs w:val="0"/>
          <w:lang w:val="en-US" w:eastAsia="zh-CN"/>
        </w:rPr>
      </w:pPr>
      <w:r>
        <w:rPr>
          <w:rFonts w:hint="default"/>
          <w:b/>
          <w:bCs/>
          <w:lang w:val="en-US" w:eastAsia="zh-CN"/>
        </w:rPr>
        <w:t>核心特点:</w:t>
      </w:r>
      <w:r>
        <w:rPr>
          <w:rFonts w:hint="default"/>
          <w:b w:val="0"/>
          <w:bCs w:val="0"/>
          <w:lang w:val="en-US" w:eastAsia="zh-CN"/>
        </w:rPr>
        <w:t>性能优先，只做规则与实体检测，不调用LLM。</w:t>
      </w:r>
    </w:p>
    <w:p w14:paraId="1E673855">
      <w:pPr>
        <w:widowControl w:val="0"/>
        <w:numPr>
          <w:ilvl w:val="0"/>
          <w:numId w:val="0"/>
        </w:numPr>
        <w:ind w:leftChars="0"/>
        <w:jc w:val="both"/>
        <w:rPr>
          <w:rFonts w:hint="default"/>
          <w:b/>
          <w:bCs/>
          <w:lang w:val="en-US" w:eastAsia="zh-CN"/>
        </w:rPr>
      </w:pPr>
      <w:r>
        <w:rPr>
          <w:rFonts w:hint="default"/>
          <w:b/>
          <w:bCs/>
          <w:lang w:val="en-US" w:eastAsia="zh-CN"/>
        </w:rPr>
        <w:t>重点能力</w:t>
      </w:r>
      <w:r>
        <w:rPr>
          <w:rFonts w:hint="eastAsia"/>
          <w:b/>
          <w:bCs/>
          <w:lang w:val="en-US" w:eastAsia="zh-CN"/>
        </w:rPr>
        <w:t>:</w:t>
      </w:r>
    </w:p>
    <w:p w14:paraId="0ED4B059">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NER识别人名、单位、部门 </w:t>
      </w:r>
    </w:p>
    <w:p w14:paraId="4B3EA574">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领域词典识别商业秘密、治理内部信息 </w:t>
      </w:r>
    </w:p>
    <w:p w14:paraId="12029033">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正则识别精确地址与坐标 </w:t>
      </w:r>
    </w:p>
    <w:p w14:paraId="04F4D110">
      <w:pPr>
        <w:widowControl w:val="0"/>
        <w:numPr>
          <w:ilvl w:val="0"/>
          <w:numId w:val="0"/>
        </w:numPr>
        <w:ind w:leftChars="0"/>
        <w:jc w:val="both"/>
        <w:rPr>
          <w:rFonts w:hint="default"/>
          <w:b/>
          <w:bCs/>
          <w:lang w:val="en-US" w:eastAsia="zh-CN"/>
        </w:rPr>
      </w:pPr>
      <w:r>
        <w:rPr>
          <w:rFonts w:hint="default"/>
          <w:b/>
          <w:bCs/>
          <w:lang w:val="en-US" w:eastAsia="zh-CN"/>
        </w:rPr>
        <w:t>3. 输出闸（OutputGate）</w:t>
      </w:r>
    </w:p>
    <w:p w14:paraId="51367FA6">
      <w:pPr>
        <w:widowControl w:val="0"/>
        <w:numPr>
          <w:ilvl w:val="0"/>
          <w:numId w:val="0"/>
        </w:numPr>
        <w:ind w:leftChars="0"/>
        <w:jc w:val="both"/>
        <w:rPr>
          <w:rFonts w:hint="default"/>
          <w:b w:val="0"/>
          <w:bCs w:val="0"/>
          <w:lang w:val="en-US" w:eastAsia="zh-CN"/>
        </w:rPr>
      </w:pPr>
      <w:r>
        <w:rPr>
          <w:rFonts w:hint="default"/>
          <w:b w:val="0"/>
          <w:bCs w:val="0"/>
          <w:lang w:val="en-US" w:eastAsia="zh-CN"/>
        </w:rPr>
        <w:t>LLM生成答案后，在返回用户前做最终审核。</w:t>
      </w:r>
    </w:p>
    <w:p w14:paraId="62538A95">
      <w:pPr>
        <w:widowControl w:val="0"/>
        <w:numPr>
          <w:ilvl w:val="0"/>
          <w:numId w:val="0"/>
        </w:numPr>
        <w:ind w:leftChars="0"/>
        <w:jc w:val="both"/>
        <w:rPr>
          <w:rFonts w:hint="default"/>
          <w:b w:val="0"/>
          <w:bCs w:val="0"/>
          <w:lang w:val="en-US" w:eastAsia="zh-CN"/>
        </w:rPr>
      </w:pPr>
      <w:r>
        <w:rPr>
          <w:rFonts w:hint="default"/>
          <w:b/>
          <w:bCs/>
          <w:lang w:val="en-US" w:eastAsia="zh-CN"/>
        </w:rPr>
        <w:t>核心特点:</w:t>
      </w:r>
      <w:r>
        <w:rPr>
          <w:rFonts w:hint="default"/>
          <w:b w:val="0"/>
          <w:bCs w:val="0"/>
          <w:lang w:val="en-US" w:eastAsia="zh-CN"/>
        </w:rPr>
        <w:t>重点解决“模型生成风险”和“隐私再识别风险”。</w:t>
      </w:r>
    </w:p>
    <w:p w14:paraId="2DD4E1F9">
      <w:pPr>
        <w:widowControl w:val="0"/>
        <w:numPr>
          <w:ilvl w:val="0"/>
          <w:numId w:val="0"/>
        </w:numPr>
        <w:ind w:leftChars="0"/>
        <w:jc w:val="both"/>
        <w:rPr>
          <w:rFonts w:hint="default"/>
          <w:b/>
          <w:bCs/>
          <w:lang w:val="en-US" w:eastAsia="zh-CN"/>
        </w:rPr>
      </w:pPr>
    </w:p>
    <w:p w14:paraId="63F86AD5">
      <w:pPr>
        <w:widowControl w:val="0"/>
        <w:numPr>
          <w:ilvl w:val="0"/>
          <w:numId w:val="0"/>
        </w:numPr>
        <w:ind w:leftChars="0"/>
        <w:jc w:val="both"/>
        <w:rPr>
          <w:rFonts w:hint="default"/>
          <w:b w:val="0"/>
          <w:bCs w:val="0"/>
          <w:lang w:val="en-US" w:eastAsia="zh-CN"/>
        </w:rPr>
      </w:pPr>
      <w:r>
        <w:rPr>
          <w:rFonts w:hint="default"/>
          <w:b/>
          <w:bCs/>
          <w:lang w:val="en-US" w:eastAsia="zh-CN"/>
        </w:rPr>
        <w:t>重点能力</w:t>
      </w:r>
      <w:r>
        <w:rPr>
          <w:rFonts w:hint="eastAsia"/>
          <w:b/>
          <w:bCs/>
          <w:lang w:val="en-US" w:eastAsia="zh-CN"/>
        </w:rPr>
        <w:t>:</w:t>
      </w:r>
    </w:p>
    <w:p w14:paraId="65AB82B7">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检测违法、涉政输出 </w:t>
      </w:r>
    </w:p>
    <w:p w14:paraId="6D70AC24">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检测模型幻觉生成的敏感信息 </w:t>
      </w:r>
    </w:p>
    <w:p w14:paraId="4B7F43FE">
      <w:pPr>
        <w:widowControl w:val="0"/>
        <w:numPr>
          <w:ilvl w:val="0"/>
          <w:numId w:val="0"/>
        </w:numPr>
        <w:ind w:leftChars="0"/>
        <w:jc w:val="both"/>
        <w:rPr>
          <w:rFonts w:hint="default"/>
          <w:b w:val="0"/>
          <w:bCs w:val="0"/>
          <w:lang w:val="en-US" w:eastAsia="zh-CN"/>
        </w:rPr>
      </w:pPr>
      <w:r>
        <w:rPr>
          <w:rFonts w:hint="default"/>
          <w:b w:val="0"/>
          <w:bCs w:val="0"/>
          <w:lang w:val="en-US" w:eastAsia="zh-CN"/>
        </w:rPr>
        <w:t xml:space="preserve">检测属性组合导致的“再识别风险”（如“地区+年龄+单位”定位个人） </w:t>
      </w:r>
    </w:p>
    <w:p w14:paraId="04A62092">
      <w:pPr>
        <w:widowControl w:val="0"/>
        <w:numPr>
          <w:ilvl w:val="0"/>
          <w:numId w:val="0"/>
        </w:numPr>
        <w:ind w:leftChars="0"/>
        <w:jc w:val="both"/>
        <w:rPr>
          <w:rFonts w:hint="default"/>
          <w:b w:val="0"/>
          <w:bCs w:val="0"/>
          <w:lang w:val="en-US" w:eastAsia="zh-CN"/>
        </w:rPr>
      </w:pPr>
    </w:p>
    <w:p w14:paraId="1AA4473C">
      <w:pPr>
        <w:widowControl w:val="0"/>
        <w:numPr>
          <w:ilvl w:val="0"/>
          <w:numId w:val="0"/>
        </w:numPr>
        <w:ind w:leftChars="0"/>
        <w:jc w:val="both"/>
        <w:rPr>
          <w:rFonts w:hint="default"/>
          <w:b w:val="0"/>
          <w:bCs w:val="0"/>
          <w:lang w:val="en-US" w:eastAsia="zh-CN"/>
        </w:rPr>
      </w:pPr>
    </w:p>
    <w:p w14:paraId="29F783C9">
      <w:pPr>
        <w:pStyle w:val="5"/>
        <w:numPr>
          <w:ilvl w:val="0"/>
          <w:numId w:val="2"/>
        </w:numPr>
        <w:bidi w:val="0"/>
        <w:rPr>
          <w:rFonts w:hint="eastAsia"/>
          <w:lang w:val="en-US" w:eastAsia="zh-CN"/>
        </w:rPr>
      </w:pPr>
      <w:r>
        <w:rPr>
          <w:rFonts w:hint="eastAsia"/>
          <w:lang w:val="en-US" w:eastAsia="zh-CN"/>
        </w:rPr>
        <w:t>五类使用场景</w:t>
      </w:r>
    </w:p>
    <w:p w14:paraId="1CEEE037">
      <w:pPr>
        <w:numPr>
          <w:ilvl w:val="0"/>
          <w:numId w:val="0"/>
        </w:numPr>
        <w:rPr>
          <w:rFonts w:hint="eastAsia"/>
          <w:b/>
          <w:bCs/>
          <w:lang w:val="en-US" w:eastAsia="zh-CN"/>
        </w:rPr>
      </w:pPr>
      <w:r>
        <w:rPr>
          <w:rFonts w:hint="eastAsia"/>
          <w:b/>
          <w:bCs/>
          <w:lang w:val="en-US" w:eastAsia="zh-CN"/>
        </w:rPr>
        <w:t>(self_use：用户查询自己上传的数据，严格度相对宽松；</w:t>
      </w:r>
    </w:p>
    <w:p w14:paraId="6EA94413">
      <w:pPr>
        <w:numPr>
          <w:ilvl w:val="0"/>
          <w:numId w:val="0"/>
        </w:numPr>
        <w:rPr>
          <w:rFonts w:hint="eastAsia"/>
          <w:b/>
          <w:bCs/>
          <w:lang w:val="en-US" w:eastAsia="zh-CN"/>
        </w:rPr>
      </w:pPr>
      <w:r>
        <w:rPr>
          <w:rFonts w:hint="eastAsia"/>
          <w:b/>
          <w:bCs/>
          <w:lang w:val="en-US" w:eastAsia="zh-CN"/>
        </w:rPr>
        <w:t>internal_org：组织内部同部门/同项目分析，需要角色校验；</w:t>
      </w:r>
    </w:p>
    <w:p w14:paraId="070A7771">
      <w:pPr>
        <w:numPr>
          <w:ilvl w:val="0"/>
          <w:numId w:val="0"/>
        </w:numPr>
        <w:rPr>
          <w:rFonts w:hint="eastAsia"/>
          <w:b/>
          <w:bCs/>
          <w:lang w:val="en-US" w:eastAsia="zh-CN"/>
        </w:rPr>
      </w:pPr>
      <w:r>
        <w:rPr>
          <w:rFonts w:hint="eastAsia"/>
          <w:b/>
          <w:bCs/>
          <w:lang w:val="en-US" w:eastAsia="zh-CN"/>
        </w:rPr>
        <w:t>cross_org：跨组织协作，比如跨部门共享，要求更严格；</w:t>
      </w:r>
    </w:p>
    <w:p w14:paraId="174DC586">
      <w:pPr>
        <w:numPr>
          <w:ilvl w:val="0"/>
          <w:numId w:val="0"/>
        </w:numPr>
        <w:rPr>
          <w:rFonts w:hint="eastAsia"/>
          <w:b/>
          <w:bCs/>
          <w:lang w:val="en-US" w:eastAsia="zh-CN"/>
        </w:rPr>
      </w:pPr>
      <w:r>
        <w:rPr>
          <w:rFonts w:hint="eastAsia"/>
          <w:b/>
          <w:bCs/>
          <w:lang w:val="en-US" w:eastAsia="zh-CN"/>
        </w:rPr>
        <w:t>public_release：对外发布或公开报告，最严格；</w:t>
      </w:r>
    </w:p>
    <w:p w14:paraId="536D4FE1">
      <w:pPr>
        <w:numPr>
          <w:ilvl w:val="0"/>
          <w:numId w:val="0"/>
        </w:numPr>
        <w:rPr>
          <w:rFonts w:hint="default"/>
          <w:b/>
          <w:bCs/>
          <w:lang w:val="en-US" w:eastAsia="zh-CN"/>
        </w:rPr>
      </w:pPr>
      <w:r>
        <w:rPr>
          <w:rFonts w:hint="eastAsia"/>
          <w:b/>
          <w:bCs/>
          <w:lang w:val="en-US" w:eastAsia="zh-CN"/>
        </w:rPr>
        <w:t>research_anon：学术研究或统计分析，要求匿名化和聚合化。)</w:t>
      </w:r>
    </w:p>
    <w:p w14:paraId="2CA0041B">
      <w:pPr>
        <w:widowControl w:val="0"/>
        <w:numPr>
          <w:ilvl w:val="0"/>
          <w:numId w:val="0"/>
        </w:numPr>
        <w:ind w:leftChars="0"/>
        <w:jc w:val="both"/>
        <w:rPr>
          <w:rFonts w:hint="default"/>
          <w:b w:val="0"/>
          <w:bCs w:val="0"/>
          <w:lang w:val="en-US" w:eastAsia="zh-CN"/>
        </w:rPr>
      </w:pPr>
      <w:r>
        <w:rPr>
          <w:rFonts w:hint="default"/>
          <w:b w:val="0"/>
          <w:bCs w:val="0"/>
          <w:lang w:val="en-US" w:eastAsia="zh-CN"/>
        </w:rPr>
        <w:t>1. 个人或自用场景 (self_use)</w:t>
      </w:r>
    </w:p>
    <w:p w14:paraId="09B6A7B8">
      <w:pPr>
        <w:widowControl w:val="0"/>
        <w:numPr>
          <w:ilvl w:val="0"/>
          <w:numId w:val="0"/>
        </w:numPr>
        <w:ind w:leftChars="0"/>
        <w:jc w:val="both"/>
        <w:rPr>
          <w:rFonts w:hint="default"/>
          <w:b w:val="0"/>
          <w:bCs w:val="0"/>
          <w:lang w:val="en-US" w:eastAsia="zh-CN"/>
        </w:rPr>
      </w:pPr>
      <w:r>
        <w:rPr>
          <w:rFonts w:hint="default"/>
          <w:b w:val="0"/>
          <w:bCs w:val="0"/>
          <w:lang w:val="en-US" w:eastAsia="zh-CN"/>
        </w:rPr>
        <w:t>核心定义：用户仅仅在查询、分析自己亲自上传的原始数据。</w:t>
      </w:r>
    </w:p>
    <w:p w14:paraId="46C9EC94">
      <w:pPr>
        <w:widowControl w:val="0"/>
        <w:numPr>
          <w:ilvl w:val="0"/>
          <w:numId w:val="0"/>
        </w:numPr>
        <w:ind w:leftChars="0"/>
        <w:jc w:val="both"/>
        <w:rPr>
          <w:rFonts w:hint="default"/>
          <w:b w:val="0"/>
          <w:bCs w:val="0"/>
          <w:lang w:val="en-US" w:eastAsia="zh-CN"/>
        </w:rPr>
      </w:pPr>
      <w:r>
        <w:rPr>
          <w:rFonts w:hint="default"/>
          <w:b w:val="0"/>
          <w:bCs w:val="0"/>
          <w:lang w:val="en-US" w:eastAsia="zh-CN"/>
        </w:rPr>
        <w:t>合规严格度：宽松。</w:t>
      </w:r>
    </w:p>
    <w:p w14:paraId="36029670">
      <w:pPr>
        <w:widowControl w:val="0"/>
        <w:numPr>
          <w:ilvl w:val="0"/>
          <w:numId w:val="0"/>
        </w:numPr>
        <w:ind w:leftChars="0"/>
        <w:jc w:val="both"/>
        <w:rPr>
          <w:rFonts w:hint="default"/>
          <w:b w:val="0"/>
          <w:bCs w:val="0"/>
          <w:lang w:val="en-US" w:eastAsia="zh-CN"/>
        </w:rPr>
      </w:pPr>
      <w:r>
        <w:rPr>
          <w:rFonts w:hint="default"/>
          <w:b w:val="0"/>
          <w:bCs w:val="0"/>
          <w:lang w:val="en-US" w:eastAsia="zh-CN"/>
        </w:rPr>
        <w:t>业务逻辑与处置策略：这是系统中限制最少的场景。因为数据的所有权属于用户本人，用户查看自己的数据通常不会构成广泛的安全威胁。在这一场景下，对于大多数非底线类的合规风险，系统通常采取“放行”或仅在后台“告警”的策略。特殊限制是对于某些特定领域的专有信息，普通用户通常无业务权限接触，因此在此场景下大多被判定为不适用。底线红线是即使是对自己上传的数据，若涉及硬编码凭证、违法有害内容或政治敏感内容，系统依然会强制拦截并执行“拒答”。</w:t>
      </w:r>
    </w:p>
    <w:p w14:paraId="4F04D5B5">
      <w:pPr>
        <w:widowControl w:val="0"/>
        <w:numPr>
          <w:ilvl w:val="0"/>
          <w:numId w:val="0"/>
        </w:numPr>
        <w:ind w:leftChars="0"/>
        <w:jc w:val="both"/>
        <w:rPr>
          <w:rFonts w:hint="default"/>
          <w:b w:val="0"/>
          <w:bCs w:val="0"/>
          <w:lang w:val="en-US" w:eastAsia="zh-CN"/>
        </w:rPr>
      </w:pPr>
    </w:p>
    <w:p w14:paraId="064F552F">
      <w:pPr>
        <w:widowControl w:val="0"/>
        <w:numPr>
          <w:ilvl w:val="0"/>
          <w:numId w:val="0"/>
        </w:numPr>
        <w:ind w:leftChars="0"/>
        <w:jc w:val="both"/>
        <w:rPr>
          <w:rFonts w:hint="default"/>
          <w:b w:val="0"/>
          <w:bCs w:val="0"/>
          <w:lang w:val="en-US" w:eastAsia="zh-CN"/>
        </w:rPr>
      </w:pPr>
      <w:r>
        <w:rPr>
          <w:rFonts w:hint="default"/>
          <w:b w:val="0"/>
          <w:bCs w:val="0"/>
          <w:lang w:val="en-US" w:eastAsia="zh-CN"/>
        </w:rPr>
        <w:t>2. 组织内部协同场景 (internal_org)</w:t>
      </w:r>
    </w:p>
    <w:p w14:paraId="1D75525D">
      <w:pPr>
        <w:widowControl w:val="0"/>
        <w:numPr>
          <w:ilvl w:val="0"/>
          <w:numId w:val="0"/>
        </w:numPr>
        <w:ind w:leftChars="0"/>
        <w:jc w:val="both"/>
        <w:rPr>
          <w:rFonts w:hint="default"/>
          <w:b w:val="0"/>
          <w:bCs w:val="0"/>
          <w:lang w:val="en-US" w:eastAsia="zh-CN"/>
        </w:rPr>
      </w:pPr>
      <w:r>
        <w:rPr>
          <w:rFonts w:hint="default"/>
          <w:b w:val="0"/>
          <w:bCs w:val="0"/>
          <w:lang w:val="en-US" w:eastAsia="zh-CN"/>
        </w:rPr>
        <w:t>核心定义：在同一个组织内部（如相同的部门、同一个项目组）进行数据流转、分析或协同处理。</w:t>
      </w:r>
    </w:p>
    <w:p w14:paraId="30493B06">
      <w:pPr>
        <w:widowControl w:val="0"/>
        <w:numPr>
          <w:ilvl w:val="0"/>
          <w:numId w:val="0"/>
        </w:numPr>
        <w:ind w:leftChars="0"/>
        <w:jc w:val="both"/>
        <w:rPr>
          <w:rFonts w:hint="default"/>
          <w:b w:val="0"/>
          <w:bCs w:val="0"/>
          <w:lang w:val="en-US" w:eastAsia="zh-CN"/>
        </w:rPr>
      </w:pPr>
      <w:r>
        <w:rPr>
          <w:rFonts w:hint="default"/>
          <w:b w:val="0"/>
          <w:bCs w:val="0"/>
          <w:lang w:val="en-US" w:eastAsia="zh-CN"/>
        </w:rPr>
        <w:t>合规严格度：中等。</w:t>
      </w:r>
    </w:p>
    <w:p w14:paraId="7DDB3D91">
      <w:pPr>
        <w:widowControl w:val="0"/>
        <w:numPr>
          <w:ilvl w:val="0"/>
          <w:numId w:val="0"/>
        </w:numPr>
        <w:ind w:leftChars="0"/>
        <w:jc w:val="both"/>
        <w:rPr>
          <w:rFonts w:hint="default"/>
          <w:b w:val="0"/>
          <w:bCs w:val="0"/>
          <w:lang w:val="en-US" w:eastAsia="zh-CN"/>
        </w:rPr>
      </w:pPr>
      <w:r>
        <w:rPr>
          <w:rFonts w:hint="default"/>
          <w:b w:val="0"/>
          <w:bCs w:val="0"/>
          <w:lang w:val="en-US" w:eastAsia="zh-CN"/>
        </w:rPr>
        <w:t>业务逻辑与处置策略：在这个场景中，人员通常具备相似的信任等级，但核心目的是防范“越权访问”或内部无意的数据扩大化泄露。该场景的合规动作重度依赖系统的“角色校验”。例如，当系统检测到“内部敏感信息”或“自由文本标识符”时，不会直接脱敏，而是暂停流转，向鉴权模块核实当前访问者是否具有相应的职务或权限级别。若权限匹配则放行；若不匹配，则触发告警或拦截。</w:t>
      </w:r>
    </w:p>
    <w:p w14:paraId="1BDACB81">
      <w:pPr>
        <w:widowControl w:val="0"/>
        <w:numPr>
          <w:ilvl w:val="0"/>
          <w:numId w:val="0"/>
        </w:numPr>
        <w:ind w:leftChars="0"/>
        <w:jc w:val="both"/>
        <w:rPr>
          <w:rFonts w:hint="default"/>
          <w:b w:val="0"/>
          <w:bCs w:val="0"/>
          <w:lang w:val="en-US" w:eastAsia="zh-CN"/>
        </w:rPr>
      </w:pPr>
    </w:p>
    <w:p w14:paraId="5BAE8056">
      <w:pPr>
        <w:widowControl w:val="0"/>
        <w:numPr>
          <w:ilvl w:val="0"/>
          <w:numId w:val="0"/>
        </w:numPr>
        <w:ind w:leftChars="0"/>
        <w:jc w:val="both"/>
        <w:rPr>
          <w:rFonts w:hint="default"/>
          <w:b w:val="0"/>
          <w:bCs w:val="0"/>
          <w:lang w:val="en-US" w:eastAsia="zh-CN"/>
        </w:rPr>
      </w:pPr>
      <w:r>
        <w:rPr>
          <w:rFonts w:hint="default"/>
          <w:b w:val="0"/>
          <w:bCs w:val="0"/>
          <w:lang w:val="en-US" w:eastAsia="zh-CN"/>
        </w:rPr>
        <w:t>3. 跨组织协作场景 (cross_org)</w:t>
      </w:r>
    </w:p>
    <w:p w14:paraId="781DF60C">
      <w:pPr>
        <w:widowControl w:val="0"/>
        <w:numPr>
          <w:ilvl w:val="0"/>
          <w:numId w:val="0"/>
        </w:numPr>
        <w:ind w:leftChars="0"/>
        <w:jc w:val="both"/>
        <w:rPr>
          <w:rFonts w:hint="default"/>
          <w:b w:val="0"/>
          <w:bCs w:val="0"/>
          <w:lang w:val="en-US" w:eastAsia="zh-CN"/>
        </w:rPr>
      </w:pPr>
      <w:r>
        <w:rPr>
          <w:rFonts w:hint="default"/>
          <w:b w:val="0"/>
          <w:bCs w:val="0"/>
          <w:lang w:val="en-US" w:eastAsia="zh-CN"/>
        </w:rPr>
        <w:t>核心定义：跨越了组织信任边界的协作，例如政府的不同委办局之间共享数据，或者企业与外部审计机构、生态合作伙伴进行联合计算。</w:t>
      </w:r>
    </w:p>
    <w:p w14:paraId="6A90C311">
      <w:pPr>
        <w:widowControl w:val="0"/>
        <w:numPr>
          <w:ilvl w:val="0"/>
          <w:numId w:val="0"/>
        </w:numPr>
        <w:ind w:leftChars="0"/>
        <w:jc w:val="both"/>
        <w:rPr>
          <w:rFonts w:hint="default"/>
          <w:b w:val="0"/>
          <w:bCs w:val="0"/>
          <w:lang w:val="en-US" w:eastAsia="zh-CN"/>
        </w:rPr>
      </w:pPr>
      <w:r>
        <w:rPr>
          <w:rFonts w:hint="default"/>
          <w:b w:val="0"/>
          <w:bCs w:val="0"/>
          <w:lang w:val="en-US" w:eastAsia="zh-CN"/>
        </w:rPr>
        <w:t>合规严格度：严格。</w:t>
      </w:r>
    </w:p>
    <w:p w14:paraId="28B79012">
      <w:pPr>
        <w:widowControl w:val="0"/>
        <w:numPr>
          <w:ilvl w:val="0"/>
          <w:numId w:val="0"/>
        </w:numPr>
        <w:ind w:leftChars="0"/>
        <w:jc w:val="both"/>
        <w:rPr>
          <w:rFonts w:hint="default"/>
          <w:b w:val="0"/>
          <w:bCs w:val="0"/>
          <w:lang w:val="en-US" w:eastAsia="zh-CN"/>
        </w:rPr>
      </w:pPr>
      <w:r>
        <w:rPr>
          <w:rFonts w:hint="default"/>
          <w:b w:val="0"/>
          <w:bCs w:val="0"/>
          <w:lang w:val="en-US" w:eastAsia="zh-CN"/>
        </w:rPr>
        <w:t>业务逻辑与处置策略：跨域数据流转是数据泄露的高发区，系统要求必须有明确的业务授权，并且实施更为强硬的阻断与修改机制。对于商业秘密、城市治理专有信息等，系统通常强制执行“严格脱敏”。对于个人的地理位置或标识符，系统也会强制执行“模糊化”或“脱敏”，以防止另一组织通过数据交叉比对还原出敏感细节。</w:t>
      </w:r>
    </w:p>
    <w:p w14:paraId="707B4D52">
      <w:pPr>
        <w:widowControl w:val="0"/>
        <w:numPr>
          <w:ilvl w:val="0"/>
          <w:numId w:val="0"/>
        </w:numPr>
        <w:ind w:leftChars="0"/>
        <w:jc w:val="both"/>
        <w:rPr>
          <w:rFonts w:hint="default"/>
          <w:b w:val="0"/>
          <w:bCs w:val="0"/>
          <w:lang w:val="en-US" w:eastAsia="zh-CN"/>
        </w:rPr>
      </w:pPr>
    </w:p>
    <w:p w14:paraId="2EA47D6C">
      <w:pPr>
        <w:widowControl w:val="0"/>
        <w:numPr>
          <w:ilvl w:val="0"/>
          <w:numId w:val="0"/>
        </w:numPr>
        <w:ind w:leftChars="0"/>
        <w:jc w:val="both"/>
        <w:rPr>
          <w:rFonts w:hint="default"/>
          <w:b w:val="0"/>
          <w:bCs w:val="0"/>
          <w:lang w:val="en-US" w:eastAsia="zh-CN"/>
        </w:rPr>
      </w:pPr>
      <w:r>
        <w:rPr>
          <w:rFonts w:hint="default"/>
          <w:b w:val="0"/>
          <w:bCs w:val="0"/>
          <w:lang w:val="en-US" w:eastAsia="zh-CN"/>
        </w:rPr>
        <w:t>4. 公开发布场景 (public_release)</w:t>
      </w:r>
    </w:p>
    <w:p w14:paraId="451C9032">
      <w:pPr>
        <w:widowControl w:val="0"/>
        <w:numPr>
          <w:ilvl w:val="0"/>
          <w:numId w:val="0"/>
        </w:numPr>
        <w:ind w:leftChars="0"/>
        <w:jc w:val="both"/>
        <w:rPr>
          <w:rFonts w:hint="default"/>
          <w:b w:val="0"/>
          <w:bCs w:val="0"/>
          <w:lang w:val="en-US" w:eastAsia="zh-CN"/>
        </w:rPr>
      </w:pPr>
      <w:r>
        <w:rPr>
          <w:rFonts w:hint="default"/>
          <w:b w:val="0"/>
          <w:bCs w:val="0"/>
          <w:lang w:val="en-US" w:eastAsia="zh-CN"/>
        </w:rPr>
        <w:t>核心定义：系统对外生成公开报告、发布新闻事实、向公众提供公开查询服务，或将数据直接发布到互联网上。</w:t>
      </w:r>
    </w:p>
    <w:p w14:paraId="075AD7BC">
      <w:pPr>
        <w:widowControl w:val="0"/>
        <w:numPr>
          <w:ilvl w:val="0"/>
          <w:numId w:val="0"/>
        </w:numPr>
        <w:ind w:leftChars="0"/>
        <w:jc w:val="both"/>
        <w:rPr>
          <w:rFonts w:hint="default"/>
          <w:b w:val="0"/>
          <w:bCs w:val="0"/>
          <w:lang w:val="en-US" w:eastAsia="zh-CN"/>
        </w:rPr>
      </w:pPr>
      <w:r>
        <w:rPr>
          <w:rFonts w:hint="default"/>
          <w:b w:val="0"/>
          <w:bCs w:val="0"/>
          <w:lang w:val="en-US" w:eastAsia="zh-CN"/>
        </w:rPr>
        <w:t>合规严格度：最严格。</w:t>
      </w:r>
    </w:p>
    <w:p w14:paraId="598C44D6">
      <w:pPr>
        <w:widowControl w:val="0"/>
        <w:numPr>
          <w:ilvl w:val="0"/>
          <w:numId w:val="0"/>
        </w:numPr>
        <w:ind w:leftChars="0"/>
        <w:jc w:val="both"/>
        <w:rPr>
          <w:rFonts w:hint="default"/>
          <w:b w:val="0"/>
          <w:bCs w:val="0"/>
          <w:lang w:val="en-US" w:eastAsia="zh-CN"/>
        </w:rPr>
      </w:pPr>
      <w:r>
        <w:rPr>
          <w:rFonts w:hint="default"/>
          <w:b w:val="0"/>
          <w:bCs w:val="0"/>
          <w:lang w:val="en-US" w:eastAsia="zh-CN"/>
        </w:rPr>
        <w:t>业务逻辑与处置策略：这是整个合规体系的“重灾区”。一旦违规内容流向公众，将造成不可挽回的法律责任与声誉损失。在该场景下，绝大部分的合规风险都采取“零容忍”态度。原本在其他场景可以放行的商业秘密、专有信息，在此处将遭遇“绝对拒答”或极为严格的“自动脱敏”或“强制打码”。对于可能导致重定位的再识别风险，也必须强制进行“文本改写”甚至“直接拒答”。</w:t>
      </w:r>
    </w:p>
    <w:p w14:paraId="05EDA35D">
      <w:pPr>
        <w:widowControl w:val="0"/>
        <w:numPr>
          <w:ilvl w:val="0"/>
          <w:numId w:val="0"/>
        </w:numPr>
        <w:ind w:leftChars="0"/>
        <w:jc w:val="both"/>
        <w:rPr>
          <w:rFonts w:hint="default"/>
          <w:b w:val="0"/>
          <w:bCs w:val="0"/>
          <w:lang w:val="en-US" w:eastAsia="zh-CN"/>
        </w:rPr>
      </w:pPr>
    </w:p>
    <w:p w14:paraId="2600EB44">
      <w:pPr>
        <w:widowControl w:val="0"/>
        <w:numPr>
          <w:ilvl w:val="0"/>
          <w:numId w:val="0"/>
        </w:numPr>
        <w:ind w:leftChars="0"/>
        <w:jc w:val="both"/>
        <w:rPr>
          <w:rFonts w:hint="default"/>
          <w:b w:val="0"/>
          <w:bCs w:val="0"/>
          <w:lang w:val="en-US" w:eastAsia="zh-CN"/>
        </w:rPr>
      </w:pPr>
      <w:r>
        <w:rPr>
          <w:rFonts w:hint="default"/>
          <w:b w:val="0"/>
          <w:bCs w:val="0"/>
          <w:lang w:val="en-US" w:eastAsia="zh-CN"/>
        </w:rPr>
        <w:t>5. 学术研究与统计场景 (research_anon)</w:t>
      </w:r>
    </w:p>
    <w:p w14:paraId="5CBC135C">
      <w:pPr>
        <w:widowControl w:val="0"/>
        <w:numPr>
          <w:ilvl w:val="0"/>
          <w:numId w:val="0"/>
        </w:numPr>
        <w:ind w:leftChars="0"/>
        <w:jc w:val="both"/>
        <w:rPr>
          <w:rFonts w:hint="default"/>
          <w:b w:val="0"/>
          <w:bCs w:val="0"/>
          <w:lang w:val="en-US" w:eastAsia="zh-CN"/>
        </w:rPr>
      </w:pPr>
      <w:r>
        <w:rPr>
          <w:rFonts w:hint="default"/>
          <w:b w:val="0"/>
          <w:bCs w:val="0"/>
          <w:lang w:val="en-US" w:eastAsia="zh-CN"/>
        </w:rPr>
        <w:t>核心定义：高校、科研机构或内部统计分析部门获取数据，用于进行宏观规律分析、大模型训练或学术论文撰写。</w:t>
      </w:r>
    </w:p>
    <w:p w14:paraId="0A8FE843">
      <w:pPr>
        <w:widowControl w:val="0"/>
        <w:numPr>
          <w:ilvl w:val="0"/>
          <w:numId w:val="0"/>
        </w:numPr>
        <w:ind w:leftChars="0"/>
        <w:jc w:val="both"/>
        <w:rPr>
          <w:rFonts w:hint="default"/>
          <w:b w:val="0"/>
          <w:bCs w:val="0"/>
          <w:lang w:val="en-US" w:eastAsia="zh-CN"/>
        </w:rPr>
      </w:pPr>
      <w:r>
        <w:rPr>
          <w:rFonts w:hint="default"/>
          <w:b w:val="0"/>
          <w:bCs w:val="0"/>
          <w:lang w:val="en-US" w:eastAsia="zh-CN"/>
        </w:rPr>
        <w:t>合规严格度：严格。</w:t>
      </w:r>
    </w:p>
    <w:p w14:paraId="001D46EE">
      <w:pPr>
        <w:widowControl w:val="0"/>
        <w:numPr>
          <w:ilvl w:val="0"/>
          <w:numId w:val="0"/>
        </w:numPr>
        <w:ind w:leftChars="0"/>
        <w:jc w:val="both"/>
        <w:rPr>
          <w:rFonts w:hint="default"/>
          <w:b w:val="0"/>
          <w:bCs w:val="0"/>
          <w:lang w:val="en-US" w:eastAsia="zh-CN"/>
        </w:rPr>
      </w:pPr>
      <w:r>
        <w:rPr>
          <w:rFonts w:hint="default"/>
          <w:b w:val="0"/>
          <w:bCs w:val="0"/>
          <w:lang w:val="en-US" w:eastAsia="zh-CN"/>
        </w:rPr>
        <w:t>业务逻辑与处置策略：学术研究的核心诉求是获取数据的真实分布特性与统计学规律，但绝不允许关联或追踪到具体的数据主体（个人或特定机构）。因此，该场景的合规处置高度聚焦于数据的“去标识化”。系统会大规模启用“K-匿名”和“聚合化”技术。例如，将精确坐标模糊为大区域统计，或者将特定的多属性组合改写为泛化的群体特征。确保研究者能跑通统计模型，但绝对无法反推回微观个体。</w:t>
      </w:r>
    </w:p>
    <w:p w14:paraId="63FE9FC1">
      <w:pPr>
        <w:widowControl w:val="0"/>
        <w:numPr>
          <w:ilvl w:val="0"/>
          <w:numId w:val="0"/>
        </w:numPr>
        <w:ind w:leftChars="0"/>
        <w:jc w:val="both"/>
        <w:rPr>
          <w:rFonts w:hint="default"/>
          <w:b w:val="0"/>
          <w:bCs w:val="0"/>
          <w:lang w:val="en-US" w:eastAsia="zh-CN"/>
        </w:rPr>
      </w:pPr>
    </w:p>
    <w:p w14:paraId="645D2B78">
      <w:pPr>
        <w:widowControl w:val="0"/>
        <w:numPr>
          <w:ilvl w:val="0"/>
          <w:numId w:val="0"/>
        </w:numPr>
        <w:ind w:leftChars="0"/>
        <w:jc w:val="both"/>
        <w:rPr>
          <w:rFonts w:hint="default"/>
          <w:b w:val="0"/>
          <w:bCs w:val="0"/>
          <w:lang w:val="en-US" w:eastAsia="zh-CN"/>
        </w:rPr>
      </w:pPr>
    </w:p>
    <w:p w14:paraId="53576A21">
      <w:pPr>
        <w:widowControl w:val="0"/>
        <w:numPr>
          <w:ilvl w:val="0"/>
          <w:numId w:val="0"/>
        </w:numPr>
        <w:ind w:leftChars="0"/>
        <w:jc w:val="both"/>
        <w:rPr>
          <w:rFonts w:hint="default"/>
          <w:b w:val="0"/>
          <w:bCs w:val="0"/>
          <w:lang w:val="en-US" w:eastAsia="zh-CN"/>
        </w:rPr>
      </w:pPr>
    </w:p>
    <w:p w14:paraId="16C89F15">
      <w:pPr>
        <w:widowControl w:val="0"/>
        <w:numPr>
          <w:ilvl w:val="0"/>
          <w:numId w:val="0"/>
        </w:numPr>
        <w:ind w:leftChars="0"/>
        <w:jc w:val="both"/>
        <w:rPr>
          <w:rFonts w:hint="default"/>
          <w:b w:val="0"/>
          <w:bCs w:val="0"/>
          <w:lang w:val="en-US" w:eastAsia="zh-CN"/>
        </w:rPr>
      </w:pPr>
    </w:p>
    <w:p w14:paraId="0FA689D6">
      <w:pPr>
        <w:widowControl w:val="0"/>
        <w:numPr>
          <w:ilvl w:val="0"/>
          <w:numId w:val="0"/>
        </w:numPr>
        <w:ind w:leftChars="0"/>
        <w:jc w:val="both"/>
        <w:rPr>
          <w:rFonts w:hint="default"/>
          <w:b w:val="0"/>
          <w:bCs w:val="0"/>
          <w:lang w:val="en-US" w:eastAsia="zh-CN"/>
        </w:rPr>
      </w:pPr>
    </w:p>
    <w:p w14:paraId="0D97A39F">
      <w:pPr>
        <w:widowControl w:val="0"/>
        <w:numPr>
          <w:ilvl w:val="0"/>
          <w:numId w:val="0"/>
        </w:numPr>
        <w:ind w:leftChars="0"/>
        <w:jc w:val="both"/>
        <w:rPr>
          <w:rFonts w:hint="default"/>
          <w:b w:val="0"/>
          <w:bCs w:val="0"/>
          <w:lang w:val="en-US" w:eastAsia="zh-CN"/>
        </w:rPr>
      </w:pPr>
    </w:p>
    <w:p w14:paraId="41A633A5">
      <w:pPr>
        <w:widowControl w:val="0"/>
        <w:numPr>
          <w:ilvl w:val="0"/>
          <w:numId w:val="0"/>
        </w:numPr>
        <w:ind w:leftChars="0"/>
        <w:jc w:val="both"/>
        <w:rPr>
          <w:rFonts w:hint="default"/>
          <w:b w:val="0"/>
          <w:bCs w:val="0"/>
          <w:lang w:val="en-US" w:eastAsia="zh-CN"/>
        </w:rPr>
      </w:pPr>
    </w:p>
    <w:p w14:paraId="3973C9C8">
      <w:pPr>
        <w:widowControl w:val="0"/>
        <w:numPr>
          <w:ilvl w:val="0"/>
          <w:numId w:val="0"/>
        </w:numPr>
        <w:ind w:leftChars="0"/>
        <w:jc w:val="both"/>
        <w:rPr>
          <w:rFonts w:hint="default"/>
          <w:b w:val="0"/>
          <w:bCs w:val="0"/>
          <w:lang w:val="en-US" w:eastAsia="zh-CN"/>
        </w:rPr>
      </w:pPr>
    </w:p>
    <w:p w14:paraId="493DBE36">
      <w:pPr>
        <w:widowControl w:val="0"/>
        <w:numPr>
          <w:ilvl w:val="0"/>
          <w:numId w:val="0"/>
        </w:numPr>
        <w:ind w:leftChars="0"/>
        <w:jc w:val="both"/>
        <w:rPr>
          <w:rFonts w:hint="default"/>
          <w:b w:val="0"/>
          <w:bCs w:val="0"/>
          <w:lang w:val="en-US" w:eastAsia="zh-CN"/>
        </w:rPr>
      </w:pPr>
    </w:p>
    <w:p w14:paraId="2C9B6FE5">
      <w:pPr>
        <w:widowControl w:val="0"/>
        <w:numPr>
          <w:ilvl w:val="0"/>
          <w:numId w:val="0"/>
        </w:numPr>
        <w:ind w:leftChars="0"/>
        <w:jc w:val="both"/>
        <w:rPr>
          <w:rFonts w:hint="default"/>
          <w:b w:val="0"/>
          <w:bCs w:val="0"/>
          <w:lang w:val="en-US" w:eastAsia="zh-CN"/>
        </w:rPr>
      </w:pPr>
    </w:p>
    <w:p w14:paraId="64A4500D">
      <w:pPr>
        <w:widowControl w:val="0"/>
        <w:numPr>
          <w:ilvl w:val="0"/>
          <w:numId w:val="0"/>
        </w:numPr>
        <w:ind w:leftChars="0"/>
        <w:jc w:val="both"/>
        <w:rPr>
          <w:rFonts w:hint="default"/>
          <w:b w:val="0"/>
          <w:bCs w:val="0"/>
          <w:lang w:val="en-US" w:eastAsia="zh-CN"/>
        </w:rPr>
      </w:pPr>
    </w:p>
    <w:p w14:paraId="394D56AD">
      <w:pPr>
        <w:widowControl w:val="0"/>
        <w:numPr>
          <w:ilvl w:val="0"/>
          <w:numId w:val="0"/>
        </w:numPr>
        <w:ind w:leftChars="0"/>
        <w:jc w:val="both"/>
        <w:rPr>
          <w:rFonts w:hint="default"/>
          <w:b w:val="0"/>
          <w:bCs w:val="0"/>
          <w:lang w:val="en-US" w:eastAsia="zh-CN"/>
        </w:rPr>
      </w:pPr>
    </w:p>
    <w:p w14:paraId="45E7687D">
      <w:pPr>
        <w:widowControl w:val="0"/>
        <w:numPr>
          <w:ilvl w:val="0"/>
          <w:numId w:val="0"/>
        </w:numPr>
        <w:ind w:leftChars="0"/>
        <w:jc w:val="both"/>
        <w:rPr>
          <w:rFonts w:hint="default"/>
          <w:b w:val="0"/>
          <w:bCs w:val="0"/>
          <w:lang w:val="en-US" w:eastAsia="zh-CN"/>
        </w:rPr>
      </w:pPr>
    </w:p>
    <w:p w14:paraId="5716798C">
      <w:pPr>
        <w:widowControl w:val="0"/>
        <w:numPr>
          <w:ilvl w:val="0"/>
          <w:numId w:val="0"/>
        </w:numPr>
        <w:ind w:leftChars="0"/>
        <w:jc w:val="both"/>
        <w:rPr>
          <w:rFonts w:hint="default"/>
          <w:b w:val="0"/>
          <w:bCs w:val="0"/>
          <w:lang w:val="en-US" w:eastAsia="zh-CN"/>
        </w:rPr>
      </w:pPr>
    </w:p>
    <w:p w14:paraId="567D20B5">
      <w:pPr>
        <w:widowControl w:val="0"/>
        <w:numPr>
          <w:ilvl w:val="0"/>
          <w:numId w:val="0"/>
        </w:numPr>
        <w:ind w:leftChars="0"/>
        <w:jc w:val="both"/>
        <w:rPr>
          <w:rFonts w:hint="default"/>
          <w:b w:val="0"/>
          <w:bCs w:val="0"/>
          <w:lang w:val="en-US" w:eastAsia="zh-CN"/>
        </w:rPr>
      </w:pPr>
    </w:p>
    <w:p w14:paraId="573B877A">
      <w:pPr>
        <w:widowControl w:val="0"/>
        <w:numPr>
          <w:ilvl w:val="0"/>
          <w:numId w:val="0"/>
        </w:numPr>
        <w:ind w:leftChars="0"/>
        <w:jc w:val="both"/>
        <w:rPr>
          <w:rFonts w:hint="default"/>
          <w:b w:val="0"/>
          <w:bCs w:val="0"/>
          <w:lang w:val="en-US" w:eastAsia="zh-CN"/>
        </w:rPr>
      </w:pPr>
    </w:p>
    <w:p w14:paraId="52637377">
      <w:pPr>
        <w:widowControl w:val="0"/>
        <w:numPr>
          <w:ilvl w:val="0"/>
          <w:numId w:val="0"/>
        </w:numPr>
        <w:ind w:leftChars="0"/>
        <w:jc w:val="both"/>
        <w:rPr>
          <w:rFonts w:hint="default"/>
          <w:b w:val="0"/>
          <w:bCs w:val="0"/>
          <w:lang w:val="en-US" w:eastAsia="zh-CN"/>
        </w:rPr>
      </w:pPr>
    </w:p>
    <w:p w14:paraId="33D49CB9">
      <w:pPr>
        <w:widowControl w:val="0"/>
        <w:numPr>
          <w:ilvl w:val="0"/>
          <w:numId w:val="0"/>
        </w:numPr>
        <w:ind w:leftChars="0"/>
        <w:jc w:val="both"/>
        <w:rPr>
          <w:rFonts w:hint="default"/>
          <w:b w:val="0"/>
          <w:bCs w:val="0"/>
          <w:lang w:val="en-US" w:eastAsia="zh-CN"/>
        </w:rPr>
      </w:pPr>
    </w:p>
    <w:p w14:paraId="1CAF7D8B">
      <w:pPr>
        <w:widowControl w:val="0"/>
        <w:numPr>
          <w:ilvl w:val="0"/>
          <w:numId w:val="0"/>
        </w:numPr>
        <w:ind w:leftChars="0"/>
        <w:jc w:val="both"/>
        <w:rPr>
          <w:rFonts w:hint="default"/>
          <w:b w:val="0"/>
          <w:bCs w:val="0"/>
          <w:lang w:val="en-US" w:eastAsia="zh-CN"/>
        </w:rPr>
      </w:pPr>
    </w:p>
    <w:p w14:paraId="49A32FF2">
      <w:pPr>
        <w:widowControl w:val="0"/>
        <w:numPr>
          <w:ilvl w:val="0"/>
          <w:numId w:val="0"/>
        </w:numPr>
        <w:ind w:leftChars="0"/>
        <w:jc w:val="both"/>
        <w:rPr>
          <w:rFonts w:hint="default"/>
          <w:b w:val="0"/>
          <w:bCs w:val="0"/>
          <w:lang w:val="en-US" w:eastAsia="zh-CN"/>
        </w:rPr>
      </w:pPr>
    </w:p>
    <w:p w14:paraId="34EF043F">
      <w:pPr>
        <w:widowControl w:val="0"/>
        <w:numPr>
          <w:ilvl w:val="0"/>
          <w:numId w:val="0"/>
        </w:numPr>
        <w:ind w:leftChars="0"/>
        <w:jc w:val="both"/>
        <w:rPr>
          <w:rFonts w:hint="default"/>
          <w:b w:val="0"/>
          <w:bCs w:val="0"/>
          <w:lang w:val="en-US" w:eastAsia="zh-CN"/>
        </w:rPr>
      </w:pPr>
    </w:p>
    <w:p w14:paraId="2F916F4F">
      <w:pPr>
        <w:widowControl w:val="0"/>
        <w:numPr>
          <w:ilvl w:val="0"/>
          <w:numId w:val="0"/>
        </w:numPr>
        <w:ind w:leftChars="0"/>
        <w:jc w:val="both"/>
        <w:rPr>
          <w:rFonts w:hint="default"/>
          <w:b w:val="0"/>
          <w:bCs w:val="0"/>
          <w:lang w:val="en-US" w:eastAsia="zh-CN"/>
        </w:rPr>
      </w:pPr>
    </w:p>
    <w:p w14:paraId="25B7CFF5">
      <w:pPr>
        <w:widowControl w:val="0"/>
        <w:numPr>
          <w:ilvl w:val="0"/>
          <w:numId w:val="0"/>
        </w:numPr>
        <w:ind w:leftChars="0"/>
        <w:jc w:val="both"/>
        <w:rPr>
          <w:rFonts w:hint="default"/>
          <w:b w:val="0"/>
          <w:bCs w:val="0"/>
          <w:lang w:val="en-US" w:eastAsia="zh-CN"/>
        </w:rPr>
      </w:pPr>
    </w:p>
    <w:p w14:paraId="58B496BE">
      <w:pPr>
        <w:widowControl w:val="0"/>
        <w:numPr>
          <w:ilvl w:val="0"/>
          <w:numId w:val="0"/>
        </w:numPr>
        <w:ind w:leftChars="0"/>
        <w:jc w:val="both"/>
        <w:rPr>
          <w:rFonts w:hint="default"/>
          <w:b w:val="0"/>
          <w:bCs w:val="0"/>
          <w:lang w:val="en-US" w:eastAsia="zh-CN"/>
        </w:rPr>
      </w:pPr>
    </w:p>
    <w:p w14:paraId="116FCE8D">
      <w:pPr>
        <w:widowControl w:val="0"/>
        <w:numPr>
          <w:ilvl w:val="0"/>
          <w:numId w:val="0"/>
        </w:numPr>
        <w:ind w:leftChars="0"/>
        <w:jc w:val="both"/>
        <w:rPr>
          <w:rFonts w:hint="default"/>
          <w:b w:val="0"/>
          <w:bCs w:val="0"/>
          <w:lang w:val="en-US" w:eastAsia="zh-CN"/>
        </w:rPr>
      </w:pPr>
    </w:p>
    <w:p w14:paraId="5C36DFF4">
      <w:pPr>
        <w:widowControl w:val="0"/>
        <w:numPr>
          <w:ilvl w:val="0"/>
          <w:numId w:val="0"/>
        </w:numPr>
        <w:ind w:leftChars="0"/>
        <w:jc w:val="both"/>
        <w:rPr>
          <w:rFonts w:hint="default"/>
          <w:b w:val="0"/>
          <w:bCs w:val="0"/>
          <w:lang w:val="en-US" w:eastAsia="zh-CN"/>
        </w:rPr>
      </w:pPr>
    </w:p>
    <w:p w14:paraId="716B4756">
      <w:pPr>
        <w:widowControl w:val="0"/>
        <w:numPr>
          <w:ilvl w:val="0"/>
          <w:numId w:val="0"/>
        </w:numPr>
        <w:ind w:leftChars="0"/>
        <w:jc w:val="both"/>
        <w:rPr>
          <w:rFonts w:hint="default"/>
          <w:b w:val="0"/>
          <w:bCs w:val="0"/>
          <w:lang w:val="en-US" w:eastAsia="zh-CN"/>
        </w:rPr>
      </w:pPr>
    </w:p>
    <w:p w14:paraId="43A3BF52">
      <w:pPr>
        <w:widowControl w:val="0"/>
        <w:numPr>
          <w:ilvl w:val="0"/>
          <w:numId w:val="0"/>
        </w:numPr>
        <w:ind w:leftChars="0"/>
        <w:jc w:val="both"/>
        <w:rPr>
          <w:rFonts w:hint="default"/>
          <w:b w:val="0"/>
          <w:bCs w:val="0"/>
          <w:lang w:val="en-US" w:eastAsia="zh-CN"/>
        </w:rPr>
      </w:pPr>
    </w:p>
    <w:p w14:paraId="60787721">
      <w:pPr>
        <w:widowControl w:val="0"/>
        <w:numPr>
          <w:ilvl w:val="0"/>
          <w:numId w:val="0"/>
        </w:numPr>
        <w:ind w:leftChars="0"/>
        <w:jc w:val="both"/>
        <w:rPr>
          <w:rFonts w:hint="default"/>
          <w:b w:val="0"/>
          <w:bCs w:val="0"/>
          <w:lang w:val="en-US" w:eastAsia="zh-CN"/>
        </w:rPr>
      </w:pPr>
    </w:p>
    <w:p w14:paraId="6B5D0927">
      <w:pPr>
        <w:pStyle w:val="5"/>
        <w:numPr>
          <w:ilvl w:val="0"/>
          <w:numId w:val="2"/>
        </w:numPr>
        <w:bidi w:val="0"/>
        <w:ind w:left="0" w:leftChars="0" w:firstLine="0" w:firstLineChars="0"/>
        <w:rPr>
          <w:rFonts w:hint="eastAsia"/>
          <w:lang w:val="en-US" w:eastAsia="zh-CN"/>
        </w:rPr>
      </w:pPr>
      <w:r>
        <w:rPr>
          <w:rFonts w:hint="eastAsia"/>
          <w:lang w:val="en-US" w:eastAsia="zh-CN"/>
        </w:rPr>
        <w:t>处置方法</w:t>
      </w:r>
    </w:p>
    <w:p w14:paraId="52B4F6B5">
      <w:pPr>
        <w:widowControl w:val="0"/>
        <w:numPr>
          <w:ilvl w:val="0"/>
          <w:numId w:val="0"/>
        </w:numPr>
        <w:jc w:val="both"/>
        <w:rPr>
          <w:rFonts w:hint="default"/>
          <w:lang w:val="en-US" w:eastAsia="zh-CN"/>
        </w:rPr>
      </w:pPr>
      <w:r>
        <w:rPr>
          <w:rFonts w:hint="default"/>
          <w:lang w:val="en-US" w:eastAsia="zh-CN"/>
        </w:rPr>
        <w:t>1. 放行</w:t>
      </w:r>
    </w:p>
    <w:p w14:paraId="64AB0A4A">
      <w:pPr>
        <w:widowControl w:val="0"/>
        <w:numPr>
          <w:ilvl w:val="0"/>
          <w:numId w:val="0"/>
        </w:numPr>
        <w:jc w:val="both"/>
        <w:rPr>
          <w:rFonts w:hint="default"/>
          <w:lang w:val="en-US" w:eastAsia="zh-CN"/>
        </w:rPr>
      </w:pPr>
      <w:r>
        <w:rPr>
          <w:rFonts w:hint="default"/>
          <w:lang w:val="en-US" w:eastAsia="zh-CN"/>
        </w:rPr>
        <w:t>系统判定当前操作或数据流转符合特定场景的安全规范，不执行任何拦截、修改或附加校验动作，允许数据正常输入、进入上下文或向用户输出。通常适用于用户自查本人数据的低风险场景。</w:t>
      </w:r>
    </w:p>
    <w:p w14:paraId="001192C2">
      <w:pPr>
        <w:widowControl w:val="0"/>
        <w:numPr>
          <w:ilvl w:val="0"/>
          <w:numId w:val="0"/>
        </w:numPr>
        <w:jc w:val="both"/>
        <w:rPr>
          <w:rFonts w:hint="default"/>
          <w:lang w:val="en-US" w:eastAsia="zh-CN"/>
        </w:rPr>
      </w:pPr>
    </w:p>
    <w:p w14:paraId="6F57111D">
      <w:pPr>
        <w:widowControl w:val="0"/>
        <w:numPr>
          <w:ilvl w:val="0"/>
          <w:numId w:val="0"/>
        </w:numPr>
        <w:jc w:val="both"/>
        <w:rPr>
          <w:rFonts w:hint="default"/>
          <w:lang w:val="en-US" w:eastAsia="zh-CN"/>
        </w:rPr>
      </w:pPr>
      <w:r>
        <w:rPr>
          <w:rFonts w:hint="default"/>
          <w:lang w:val="en-US" w:eastAsia="zh-CN"/>
        </w:rPr>
        <w:t>2. 告警</w:t>
      </w:r>
    </w:p>
    <w:p w14:paraId="0D94E6C1">
      <w:pPr>
        <w:widowControl w:val="0"/>
        <w:numPr>
          <w:ilvl w:val="0"/>
          <w:numId w:val="0"/>
        </w:numPr>
        <w:jc w:val="both"/>
        <w:rPr>
          <w:rFonts w:hint="default"/>
          <w:lang w:val="en-US" w:eastAsia="zh-CN"/>
        </w:rPr>
      </w:pPr>
      <w:r>
        <w:rPr>
          <w:rFonts w:hint="default"/>
          <w:lang w:val="en-US" w:eastAsia="zh-CN"/>
        </w:rPr>
        <w:t>系统允许数据继续正常流转，但会在后台安全审计日志中记录该次风险行为，或在前端系统界面向用户展示轻量级的风险提示信息。这通常作为内部跨部门协作时的辅助追踪手段。</w:t>
      </w:r>
    </w:p>
    <w:p w14:paraId="14F3C8A1">
      <w:pPr>
        <w:widowControl w:val="0"/>
        <w:numPr>
          <w:ilvl w:val="0"/>
          <w:numId w:val="0"/>
        </w:numPr>
        <w:jc w:val="both"/>
        <w:rPr>
          <w:rFonts w:hint="default"/>
          <w:lang w:val="en-US" w:eastAsia="zh-CN"/>
        </w:rPr>
      </w:pPr>
    </w:p>
    <w:p w14:paraId="376D95BD">
      <w:pPr>
        <w:widowControl w:val="0"/>
        <w:numPr>
          <w:ilvl w:val="0"/>
          <w:numId w:val="0"/>
        </w:numPr>
        <w:jc w:val="both"/>
        <w:rPr>
          <w:rFonts w:hint="default"/>
          <w:lang w:val="en-US" w:eastAsia="zh-CN"/>
        </w:rPr>
      </w:pPr>
      <w:r>
        <w:rPr>
          <w:rFonts w:hint="default"/>
          <w:lang w:val="en-US" w:eastAsia="zh-CN"/>
        </w:rPr>
        <w:t>3. 角色校验</w:t>
      </w:r>
    </w:p>
    <w:p w14:paraId="0C4CDE7C">
      <w:pPr>
        <w:widowControl w:val="0"/>
        <w:numPr>
          <w:ilvl w:val="0"/>
          <w:numId w:val="0"/>
        </w:numPr>
        <w:jc w:val="both"/>
        <w:rPr>
          <w:rFonts w:hint="default"/>
          <w:lang w:val="en-US" w:eastAsia="zh-CN"/>
        </w:rPr>
      </w:pPr>
      <w:r>
        <w:rPr>
          <w:rFonts w:hint="default"/>
          <w:lang w:val="en-US" w:eastAsia="zh-CN"/>
        </w:rPr>
        <w:t>系统暂时挂起当前的数据流转进程，向身份鉴权模块核实发起请求用户的职务、所属部门或系统操作权限。若权限核验通过则恢复流转，若未通过则执行相应的阻断或告警。</w:t>
      </w:r>
    </w:p>
    <w:p w14:paraId="5CFE4F45">
      <w:pPr>
        <w:widowControl w:val="0"/>
        <w:numPr>
          <w:ilvl w:val="0"/>
          <w:numId w:val="0"/>
        </w:numPr>
        <w:jc w:val="both"/>
        <w:rPr>
          <w:rFonts w:hint="default"/>
          <w:lang w:val="en-US" w:eastAsia="zh-CN"/>
        </w:rPr>
      </w:pPr>
    </w:p>
    <w:p w14:paraId="2A2ACB1C">
      <w:pPr>
        <w:widowControl w:val="0"/>
        <w:numPr>
          <w:ilvl w:val="0"/>
          <w:numId w:val="0"/>
        </w:numPr>
        <w:jc w:val="both"/>
        <w:rPr>
          <w:rFonts w:hint="default"/>
          <w:lang w:val="en-US" w:eastAsia="zh-CN"/>
        </w:rPr>
      </w:pPr>
      <w:r>
        <w:rPr>
          <w:rFonts w:hint="default"/>
          <w:lang w:val="en-US" w:eastAsia="zh-CN"/>
        </w:rPr>
        <w:t>4. 脱敏</w:t>
      </w:r>
    </w:p>
    <w:p w14:paraId="7021799E">
      <w:pPr>
        <w:widowControl w:val="0"/>
        <w:numPr>
          <w:ilvl w:val="0"/>
          <w:numId w:val="0"/>
        </w:numPr>
        <w:jc w:val="both"/>
        <w:rPr>
          <w:rFonts w:hint="default"/>
          <w:lang w:val="en-US" w:eastAsia="zh-CN"/>
        </w:rPr>
      </w:pPr>
      <w:r>
        <w:rPr>
          <w:rFonts w:hint="default"/>
          <w:lang w:val="en-US" w:eastAsia="zh-CN"/>
        </w:rPr>
        <w:t>针对文本型数据，系统使用特定占位符（如星号、特定符号）替换掉文本中的结构化标识符、自由文本标识符或内部商业秘密词汇，以隐藏真实的个体或机构信息。</w:t>
      </w:r>
    </w:p>
    <w:p w14:paraId="2041321C">
      <w:pPr>
        <w:widowControl w:val="0"/>
        <w:numPr>
          <w:ilvl w:val="0"/>
          <w:numId w:val="0"/>
        </w:numPr>
        <w:jc w:val="both"/>
        <w:rPr>
          <w:rFonts w:hint="default"/>
          <w:lang w:val="en-US" w:eastAsia="zh-CN"/>
        </w:rPr>
      </w:pPr>
    </w:p>
    <w:p w14:paraId="034B82EC">
      <w:pPr>
        <w:widowControl w:val="0"/>
        <w:numPr>
          <w:ilvl w:val="0"/>
          <w:numId w:val="0"/>
        </w:numPr>
        <w:jc w:val="both"/>
        <w:rPr>
          <w:rFonts w:hint="default"/>
          <w:lang w:val="en-US" w:eastAsia="zh-CN"/>
        </w:rPr>
      </w:pPr>
      <w:r>
        <w:rPr>
          <w:rFonts w:hint="default"/>
          <w:lang w:val="en-US" w:eastAsia="zh-CN"/>
        </w:rPr>
        <w:t>5. 打码</w:t>
      </w:r>
    </w:p>
    <w:p w14:paraId="469B5D53">
      <w:pPr>
        <w:widowControl w:val="0"/>
        <w:numPr>
          <w:ilvl w:val="0"/>
          <w:numId w:val="0"/>
        </w:numPr>
        <w:jc w:val="both"/>
        <w:rPr>
          <w:rFonts w:hint="default"/>
          <w:lang w:val="en-US" w:eastAsia="zh-CN"/>
        </w:rPr>
      </w:pPr>
      <w:r>
        <w:rPr>
          <w:rFonts w:hint="default"/>
          <w:lang w:val="en-US" w:eastAsia="zh-CN"/>
        </w:rPr>
        <w:t>主要针对多模态视觉数据，当系统在街景、视频或卫星图像中识别出人脸、车牌、敏感门牌号等视觉敏感目标区域后，对该区域的像素进行模糊、遮挡或马赛克化处理。</w:t>
      </w:r>
    </w:p>
    <w:p w14:paraId="7F838DAE">
      <w:pPr>
        <w:widowControl w:val="0"/>
        <w:numPr>
          <w:ilvl w:val="0"/>
          <w:numId w:val="0"/>
        </w:numPr>
        <w:jc w:val="both"/>
        <w:rPr>
          <w:rFonts w:hint="default"/>
          <w:lang w:val="en-US" w:eastAsia="zh-CN"/>
        </w:rPr>
      </w:pPr>
    </w:p>
    <w:p w14:paraId="216974AE">
      <w:pPr>
        <w:widowControl w:val="0"/>
        <w:numPr>
          <w:ilvl w:val="0"/>
          <w:numId w:val="0"/>
        </w:numPr>
        <w:jc w:val="both"/>
        <w:rPr>
          <w:rFonts w:hint="default"/>
          <w:lang w:val="en-US" w:eastAsia="zh-CN"/>
        </w:rPr>
      </w:pPr>
      <w:r>
        <w:rPr>
          <w:rFonts w:hint="default"/>
          <w:lang w:val="en-US" w:eastAsia="zh-CN"/>
        </w:rPr>
        <w:t>6. 模糊化</w:t>
      </w:r>
    </w:p>
    <w:p w14:paraId="1B511DFB">
      <w:pPr>
        <w:widowControl w:val="0"/>
        <w:numPr>
          <w:ilvl w:val="0"/>
          <w:numId w:val="0"/>
        </w:numPr>
        <w:jc w:val="both"/>
        <w:rPr>
          <w:rFonts w:hint="default"/>
          <w:lang w:val="en-US" w:eastAsia="zh-CN"/>
        </w:rPr>
      </w:pPr>
      <w:r>
        <w:rPr>
          <w:rFonts w:hint="default"/>
          <w:lang w:val="en-US" w:eastAsia="zh-CN"/>
        </w:rPr>
        <w:t>系统主动降低结构化数据的信息精度。例如，将精确到小数点后四位以上的经纬度坐标截断，或将具体的门牌号地址泛化为仅保留至街道或区县级别，从而消除精确定位的能力。</w:t>
      </w:r>
    </w:p>
    <w:p w14:paraId="2CB2E170">
      <w:pPr>
        <w:widowControl w:val="0"/>
        <w:numPr>
          <w:ilvl w:val="0"/>
          <w:numId w:val="0"/>
        </w:numPr>
        <w:jc w:val="both"/>
        <w:rPr>
          <w:rFonts w:hint="default"/>
          <w:lang w:val="en-US" w:eastAsia="zh-CN"/>
        </w:rPr>
      </w:pPr>
    </w:p>
    <w:p w14:paraId="03076962">
      <w:pPr>
        <w:widowControl w:val="0"/>
        <w:numPr>
          <w:ilvl w:val="0"/>
          <w:numId w:val="0"/>
        </w:numPr>
        <w:jc w:val="both"/>
        <w:rPr>
          <w:rFonts w:hint="default"/>
          <w:lang w:val="en-US" w:eastAsia="zh-CN"/>
        </w:rPr>
      </w:pPr>
      <w:r>
        <w:rPr>
          <w:rFonts w:hint="default"/>
          <w:lang w:val="en-US" w:eastAsia="zh-CN"/>
        </w:rPr>
        <w:t>7. 聚合化</w:t>
      </w:r>
    </w:p>
    <w:p w14:paraId="033EEE08">
      <w:pPr>
        <w:widowControl w:val="0"/>
        <w:numPr>
          <w:ilvl w:val="0"/>
          <w:numId w:val="0"/>
        </w:numPr>
        <w:jc w:val="both"/>
        <w:rPr>
          <w:rFonts w:hint="default"/>
          <w:lang w:val="en-US" w:eastAsia="zh-CN"/>
        </w:rPr>
      </w:pPr>
      <w:r>
        <w:rPr>
          <w:rFonts w:hint="default"/>
          <w:lang w:val="en-US" w:eastAsia="zh-CN"/>
        </w:rPr>
        <w:t>系统将微观的、单条的个体数据转化为宏观的、群体的统计学特征数据。例如，不输出具体的坐标点，而是输出特定区域内的人口统计特征，主要适用于对外发布或统计分析场景。</w:t>
      </w:r>
    </w:p>
    <w:p w14:paraId="73C98300">
      <w:pPr>
        <w:widowControl w:val="0"/>
        <w:numPr>
          <w:ilvl w:val="0"/>
          <w:numId w:val="0"/>
        </w:numPr>
        <w:jc w:val="both"/>
        <w:rPr>
          <w:rFonts w:hint="default"/>
          <w:lang w:val="en-US" w:eastAsia="zh-CN"/>
        </w:rPr>
      </w:pPr>
    </w:p>
    <w:p w14:paraId="2089347A">
      <w:pPr>
        <w:widowControl w:val="0"/>
        <w:numPr>
          <w:ilvl w:val="0"/>
          <w:numId w:val="0"/>
        </w:numPr>
        <w:jc w:val="both"/>
        <w:rPr>
          <w:rFonts w:hint="default"/>
          <w:lang w:val="en-US" w:eastAsia="zh-CN"/>
        </w:rPr>
      </w:pPr>
      <w:r>
        <w:rPr>
          <w:rFonts w:hint="default"/>
          <w:lang w:val="en-US" w:eastAsia="zh-CN"/>
        </w:rPr>
        <w:t>8. 改写</w:t>
      </w:r>
    </w:p>
    <w:p w14:paraId="3EBAEB14">
      <w:pPr>
        <w:widowControl w:val="0"/>
        <w:numPr>
          <w:ilvl w:val="0"/>
          <w:numId w:val="0"/>
        </w:numPr>
        <w:jc w:val="both"/>
        <w:rPr>
          <w:rFonts w:hint="default"/>
          <w:lang w:val="en-US" w:eastAsia="zh-CN"/>
        </w:rPr>
      </w:pPr>
      <w:r>
        <w:rPr>
          <w:rFonts w:hint="default"/>
          <w:lang w:val="en-US" w:eastAsia="zh-CN"/>
        </w:rPr>
        <w:t>针对大语言模型输出的包含再识别风险的文本，系统调用底层模型对该段文本进行重新表述。在保留宏观语义和业务指导价值的前提下，消除可能导致个体重新被定位的属性组合关联。</w:t>
      </w:r>
    </w:p>
    <w:p w14:paraId="45C0C5FD">
      <w:pPr>
        <w:widowControl w:val="0"/>
        <w:numPr>
          <w:ilvl w:val="0"/>
          <w:numId w:val="0"/>
        </w:numPr>
        <w:jc w:val="both"/>
        <w:rPr>
          <w:rFonts w:hint="default"/>
          <w:lang w:val="en-US" w:eastAsia="zh-CN"/>
        </w:rPr>
      </w:pPr>
    </w:p>
    <w:p w14:paraId="3C86DDB9">
      <w:pPr>
        <w:widowControl w:val="0"/>
        <w:numPr>
          <w:ilvl w:val="0"/>
          <w:numId w:val="0"/>
        </w:numPr>
        <w:jc w:val="both"/>
        <w:rPr>
          <w:rFonts w:hint="default"/>
          <w:lang w:val="en-US" w:eastAsia="zh-CN"/>
        </w:rPr>
      </w:pPr>
      <w:r>
        <w:rPr>
          <w:rFonts w:hint="default"/>
          <w:lang w:val="en-US" w:eastAsia="zh-CN"/>
        </w:rPr>
        <w:t>9. 人工复核</w:t>
      </w:r>
    </w:p>
    <w:p w14:paraId="0919320E">
      <w:pPr>
        <w:widowControl w:val="0"/>
        <w:numPr>
          <w:ilvl w:val="0"/>
          <w:numId w:val="0"/>
        </w:numPr>
        <w:jc w:val="both"/>
        <w:rPr>
          <w:rFonts w:hint="default"/>
          <w:lang w:val="en-US" w:eastAsia="zh-CN"/>
        </w:rPr>
      </w:pPr>
      <w:r>
        <w:rPr>
          <w:rFonts w:hint="default"/>
          <w:lang w:val="en-US" w:eastAsia="zh-CN"/>
        </w:rPr>
        <w:t>系统主动阻断自动化处理流程，将命中的复杂边缘样本、多属性组合触发的高危数据，直接推送至人工安全审核队列，由专业审核员完成最终的合规研判与处置决定。</w:t>
      </w:r>
    </w:p>
    <w:p w14:paraId="028A3E0D">
      <w:pPr>
        <w:widowControl w:val="0"/>
        <w:numPr>
          <w:ilvl w:val="0"/>
          <w:numId w:val="0"/>
        </w:numPr>
        <w:jc w:val="both"/>
        <w:rPr>
          <w:rFonts w:hint="default"/>
          <w:lang w:val="en-US" w:eastAsia="zh-CN"/>
        </w:rPr>
      </w:pPr>
    </w:p>
    <w:p w14:paraId="277C90F2">
      <w:pPr>
        <w:widowControl w:val="0"/>
        <w:numPr>
          <w:ilvl w:val="0"/>
          <w:numId w:val="0"/>
        </w:numPr>
        <w:jc w:val="both"/>
        <w:rPr>
          <w:rFonts w:hint="default"/>
          <w:lang w:val="en-US" w:eastAsia="zh-CN"/>
        </w:rPr>
      </w:pPr>
      <w:r>
        <w:rPr>
          <w:rFonts w:hint="default"/>
          <w:lang w:val="en-US" w:eastAsia="zh-CN"/>
        </w:rPr>
        <w:t>10. 拒答</w:t>
      </w:r>
    </w:p>
    <w:p w14:paraId="1C34DD5E">
      <w:pPr>
        <w:widowControl w:val="0"/>
        <w:numPr>
          <w:ilvl w:val="0"/>
          <w:numId w:val="0"/>
        </w:numPr>
        <w:jc w:val="both"/>
        <w:rPr>
          <w:rFonts w:hint="default"/>
          <w:lang w:val="en-US" w:eastAsia="zh-CN"/>
        </w:rPr>
      </w:pPr>
      <w:r>
        <w:rPr>
          <w:rFonts w:hint="default"/>
          <w:lang w:val="en-US" w:eastAsia="zh-CN"/>
        </w:rPr>
        <w:t>属于最严厉的强制处置动作。系统直接终止当前的数据上传、检索调用或大模型生成任务，并向发起端或用户返回标准化的安全拒绝指令或提示文案，坚决不予提供相关信息。</w:t>
      </w:r>
    </w:p>
    <w:p w14:paraId="505FF711">
      <w:pPr>
        <w:widowControl w:val="0"/>
        <w:numPr>
          <w:ilvl w:val="0"/>
          <w:numId w:val="0"/>
        </w:numPr>
        <w:ind w:leftChars="0"/>
        <w:jc w:val="both"/>
        <w:rPr>
          <w:rFonts w:hint="default"/>
          <w:b w:val="0"/>
          <w:bCs w:val="0"/>
          <w:lang w:val="en-US" w:eastAsia="zh-CN"/>
        </w:rPr>
      </w:pPr>
    </w:p>
    <w:tbl>
      <w:tblPr>
        <w:tblStyle w:val="7"/>
        <w:tblW w:w="570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10"/>
        <w:gridCol w:w="1348"/>
        <w:gridCol w:w="1099"/>
        <w:gridCol w:w="1439"/>
        <w:gridCol w:w="1426"/>
        <w:gridCol w:w="1492"/>
        <w:gridCol w:w="1242"/>
      </w:tblGrid>
      <w:tr w14:paraId="66AA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blHeader/>
        </w:trPr>
        <w:tc>
          <w:tcPr>
            <w:tcW w:w="876"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6DBBC6F">
            <w:pPr>
              <w:jc w:val="center"/>
              <w:rPr>
                <w:rFonts w:hint="default" w:ascii="微软雅黑" w:hAnsi="微软雅黑" w:eastAsia="微软雅黑" w:cs="微软雅黑"/>
                <w:color w:val="000000"/>
                <w:kern w:val="0"/>
                <w:sz w:val="20"/>
                <w:szCs w:val="20"/>
                <w:lang w:val="en-US" w:eastAsia="zh-CN"/>
              </w:rPr>
            </w:pPr>
            <w:r>
              <w:rPr>
                <w:b/>
                <w:bCs/>
                <w:color w:val="FFFFFF"/>
                <w:sz w:val="20"/>
                <w:szCs w:val="20"/>
              </w:rPr>
              <w:t>违规类型</w:t>
            </w:r>
          </w:p>
        </w:tc>
        <w:tc>
          <w:tcPr>
            <w:tcW w:w="690"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5DE0EB6E">
            <w:pPr>
              <w:jc w:val="center"/>
              <w:rPr>
                <w:rFonts w:hint="default"/>
                <w:b/>
                <w:bCs/>
                <w:color w:val="FFFFFF"/>
                <w:sz w:val="20"/>
                <w:szCs w:val="20"/>
                <w:lang w:val="en-US" w:eastAsia="zh-CN"/>
              </w:rPr>
            </w:pPr>
            <w:r>
              <w:rPr>
                <w:rFonts w:hint="eastAsia"/>
                <w:b/>
                <w:bCs/>
                <w:color w:val="FFFFFF"/>
                <w:sz w:val="20"/>
                <w:szCs w:val="20"/>
                <w:lang w:val="en-US" w:eastAsia="zh-CN"/>
              </w:rPr>
              <w:t>位置</w:t>
            </w:r>
          </w:p>
        </w:tc>
        <w:tc>
          <w:tcPr>
            <w:tcW w:w="563"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895FE39">
            <w:pPr>
              <w:jc w:val="center"/>
              <w:rPr>
                <w:rFonts w:hint="default" w:ascii="微软雅黑" w:hAnsi="微软雅黑" w:eastAsia="微软雅黑" w:cs="微软雅黑"/>
                <w:color w:val="000000"/>
                <w:kern w:val="0"/>
                <w:sz w:val="20"/>
                <w:szCs w:val="20"/>
                <w:lang w:val="en-US" w:eastAsia="zh-CN"/>
              </w:rPr>
            </w:pPr>
            <w:r>
              <w:rPr>
                <w:b/>
                <w:bCs/>
                <w:color w:val="FFFFFF"/>
                <w:sz w:val="20"/>
                <w:szCs w:val="20"/>
              </w:rPr>
              <w:t>self_use</w:t>
            </w:r>
          </w:p>
        </w:tc>
        <w:tc>
          <w:tcPr>
            <w:tcW w:w="737"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C9AAA9E">
            <w:pPr>
              <w:jc w:val="center"/>
              <w:rPr>
                <w:rFonts w:hint="default" w:ascii="微软雅黑" w:hAnsi="微软雅黑" w:eastAsia="微软雅黑" w:cs="微软雅黑"/>
                <w:color w:val="000000"/>
                <w:kern w:val="0"/>
                <w:sz w:val="20"/>
                <w:szCs w:val="20"/>
                <w:lang w:val="en-US" w:eastAsia="zh-CN"/>
              </w:rPr>
            </w:pPr>
            <w:r>
              <w:rPr>
                <w:b/>
                <w:bCs/>
                <w:color w:val="FFFFFF"/>
                <w:sz w:val="20"/>
                <w:szCs w:val="20"/>
              </w:rPr>
              <w:t>internal_org</w:t>
            </w:r>
          </w:p>
        </w:tc>
        <w:tc>
          <w:tcPr>
            <w:tcW w:w="730"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EA1F47E">
            <w:pPr>
              <w:jc w:val="center"/>
              <w:rPr>
                <w:rFonts w:hint="default" w:ascii="微软雅黑" w:hAnsi="微软雅黑" w:eastAsia="微软雅黑" w:cs="微软雅黑"/>
                <w:color w:val="000000"/>
                <w:kern w:val="0"/>
                <w:sz w:val="20"/>
                <w:szCs w:val="20"/>
                <w:lang w:val="en-US" w:eastAsia="zh-CN"/>
              </w:rPr>
            </w:pPr>
            <w:r>
              <w:rPr>
                <w:b/>
                <w:bCs/>
                <w:color w:val="FFFFFF"/>
                <w:sz w:val="20"/>
                <w:szCs w:val="20"/>
              </w:rPr>
              <w:t>cross_org</w:t>
            </w:r>
          </w:p>
        </w:tc>
        <w:tc>
          <w:tcPr>
            <w:tcW w:w="764"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54B3587">
            <w:pPr>
              <w:jc w:val="center"/>
              <w:rPr>
                <w:rFonts w:hint="default" w:ascii="微软雅黑" w:hAnsi="微软雅黑" w:eastAsia="微软雅黑" w:cs="微软雅黑"/>
                <w:color w:val="000000"/>
                <w:kern w:val="0"/>
                <w:sz w:val="20"/>
                <w:szCs w:val="20"/>
                <w:lang w:val="en-US" w:eastAsia="zh-CN"/>
              </w:rPr>
            </w:pPr>
            <w:r>
              <w:rPr>
                <w:b/>
                <w:bCs/>
                <w:color w:val="FFFFFF"/>
                <w:sz w:val="20"/>
                <w:szCs w:val="20"/>
              </w:rPr>
              <w:t>public_release</w:t>
            </w:r>
          </w:p>
        </w:tc>
        <w:tc>
          <w:tcPr>
            <w:tcW w:w="636" w:type="pct"/>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94A9AAC">
            <w:pPr>
              <w:jc w:val="center"/>
              <w:rPr>
                <w:rFonts w:hint="default" w:ascii="微软雅黑" w:hAnsi="微软雅黑" w:eastAsia="微软雅黑" w:cs="微软雅黑"/>
                <w:color w:val="000000"/>
                <w:kern w:val="0"/>
                <w:sz w:val="20"/>
                <w:szCs w:val="20"/>
                <w:lang w:val="en-US" w:eastAsia="zh-CN"/>
              </w:rPr>
            </w:pPr>
            <w:r>
              <w:rPr>
                <w:b/>
                <w:bCs/>
                <w:color w:val="FFFFFF"/>
                <w:sz w:val="20"/>
                <w:szCs w:val="20"/>
              </w:rPr>
              <w:t>research</w:t>
            </w:r>
          </w:p>
        </w:tc>
      </w:tr>
      <w:tr w14:paraId="21E6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09504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1 结构化标识符</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9E8CA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F3DEA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6678F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角色校验+告警</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9F8B9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D4E33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拒答/脱敏</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6C226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7356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1B3560">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33F96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F2E51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46F97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告警</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24B10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10BE7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31A5D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4D3E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21937F">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BACC0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0D91E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346DA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告警</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C4ED3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3C8AE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拒答/脱敏</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3EFF6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5D7D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1982A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2 精确地理位置</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F7BDE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E16FC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3D98F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告警+模糊化</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D341E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模糊化</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3402C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聚合化</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E0D41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k-匿名</w:t>
            </w:r>
          </w:p>
        </w:tc>
      </w:tr>
      <w:tr w14:paraId="591E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9A8449">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91450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B7CDE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F5354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模糊化</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561FE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模糊化</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00A4A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7710A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k-匿名</w:t>
            </w:r>
          </w:p>
        </w:tc>
      </w:tr>
      <w:tr w14:paraId="5B51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A05004">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B8239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362E0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F7245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告警+模糊化</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0FF63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模糊化</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806FE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聚合化</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BC530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k-匿名</w:t>
            </w:r>
          </w:p>
        </w:tc>
      </w:tr>
      <w:tr w14:paraId="75CC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B5DA3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3 硬编码凭证</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4075F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08394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拒答+警告</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035F9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3B214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39480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E725B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r>
      <w:tr w14:paraId="6C5F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738FF7">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FC08C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0E4B8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F93C2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2702C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D3270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8B603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1902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24DBDF">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63857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23567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D7B17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E0424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F1ACF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3E671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4A1B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F3E6A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4 涉黄涉毒违法</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08C97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98F15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拒答+警告</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18E26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50037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D5C03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64029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r>
      <w:tr w14:paraId="1678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D39A17">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B442C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171B5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6B58F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09889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5B1E7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385E3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69BF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EE4A7B">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49C31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0A88E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拒答+警告</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55559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E3E42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595D5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0B783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r>
      <w:tr w14:paraId="1AE2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09780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5 政治敏感</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CF46C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41E18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拒答+警告</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462D7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5D587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64ECD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7631A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r>
      <w:tr w14:paraId="6605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697F28">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F08C4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47443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A9D7B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56F6F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54BB9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D43F8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0D7B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383F17">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17EF4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EEFAB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拒答+警告</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8CCD2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64A80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拒答+上报</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17D88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9A78F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r>
      <w:tr w14:paraId="1629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9A6BD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6 自由文本标识符</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4F221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5ACB9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4A88A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50BD6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E0F7B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B1330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04D5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98ED4A">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B1B61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CD8B2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AF58F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4C412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FCFCD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368FF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17E5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6FDAE5">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965A6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A684B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BC8B3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8066A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6D208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09081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2508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091C3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7 商业秘密</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0307F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E5918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97FDC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角色校验+告警</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1F702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A3A0A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CAAFD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严格脱敏</w:t>
            </w:r>
          </w:p>
        </w:tc>
      </w:tr>
      <w:tr w14:paraId="1030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6AB350">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6CD73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C4455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58AC7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23FE2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8E289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B0914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严格脱敏</w:t>
            </w:r>
          </w:p>
        </w:tc>
      </w:tr>
      <w:tr w14:paraId="449A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B584EE">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58DF5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FFE13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68FD6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角色校验+告警</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4D1F2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09C06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3FEC9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严格脱敏</w:t>
            </w:r>
          </w:p>
        </w:tc>
      </w:tr>
      <w:tr w14:paraId="61B1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9B285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8 视觉敏感</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13C08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50F06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A46AA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C9900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打码</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D9CA2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打码/拒答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853F0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打码</w:t>
            </w:r>
          </w:p>
        </w:tc>
      </w:tr>
      <w:tr w14:paraId="57E7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247411">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B5D1F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E9A0D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放行</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D7D664">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40B7C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打码</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13C20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E80D2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打码</w:t>
            </w:r>
          </w:p>
        </w:tc>
      </w:tr>
      <w:tr w14:paraId="23E3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29A88C">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2B1237">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B9861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967ED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29995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8CDE0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C78F1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4A8F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22C23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9 再识别风险</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EF78E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A9A08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D0A63E">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7843F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5A6BC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CAD10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1879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7E0468">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BAED1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28D30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5573E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94851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2DDED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C2CC7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w:t>
            </w:r>
          </w:p>
        </w:tc>
      </w:tr>
      <w:tr w14:paraId="07F4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4EBBD9">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3B6DB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64302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告警</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51720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告警+改写</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3A2B3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改写</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1AD6D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改写/拒答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42BF92">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k-匿名+改写</w:t>
            </w:r>
          </w:p>
        </w:tc>
      </w:tr>
      <w:tr w14:paraId="0B21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46076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10 城市治理专有</w:t>
            </w: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FC898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输入闸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BEA87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N/A</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5BA3A0">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46170A">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严格脱敏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D7E53C">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4C3CE9">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51EF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27025E">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CE406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上下文闸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53D2E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N/A</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7D31A1">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85A19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034F26">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绝对拒答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7580F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r w14:paraId="2F49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87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A21E95">
            <w:pPr>
              <w:jc w:val="center"/>
              <w:rPr>
                <w:rFonts w:hint="default" w:ascii="微软雅黑" w:hAnsi="微软雅黑" w:eastAsia="微软雅黑" w:cs="微软雅黑"/>
                <w:color w:val="000000"/>
                <w:kern w:val="0"/>
                <w:sz w:val="20"/>
                <w:szCs w:val="20"/>
                <w:lang w:val="en-US" w:eastAsia="zh-CN"/>
              </w:rPr>
            </w:pPr>
          </w:p>
        </w:tc>
        <w:tc>
          <w:tcPr>
            <w:tcW w:w="69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949CE8">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输出闸</w:t>
            </w:r>
          </w:p>
        </w:tc>
        <w:tc>
          <w:tcPr>
            <w:tcW w:w="563"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0DFF2B">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N/A</w:t>
            </w:r>
          </w:p>
        </w:tc>
        <w:tc>
          <w:tcPr>
            <w:tcW w:w="737"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52E005">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角色校验</w:t>
            </w:r>
          </w:p>
        </w:tc>
        <w:tc>
          <w:tcPr>
            <w:tcW w:w="730"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0A5253">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严格脱敏</w:t>
            </w:r>
          </w:p>
        </w:tc>
        <w:tc>
          <w:tcPr>
            <w:tcW w:w="764"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F889ED">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拒答</w:t>
            </w:r>
          </w:p>
        </w:tc>
        <w:tc>
          <w:tcPr>
            <w:tcW w:w="636" w:type="pct"/>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54C4DF">
            <w:pPr>
              <w:jc w:val="center"/>
              <w:rPr>
                <w:rFonts w:hint="default" w:ascii="微软雅黑" w:hAnsi="微软雅黑" w:eastAsia="微软雅黑" w:cs="微软雅黑"/>
                <w:color w:val="000000"/>
                <w:kern w:val="0"/>
                <w:sz w:val="20"/>
                <w:szCs w:val="20"/>
                <w:lang w:val="en-US" w:eastAsia="zh-CN"/>
              </w:rPr>
            </w:pPr>
            <w:r>
              <w:rPr>
                <w:rFonts w:hint="default" w:ascii="微软雅黑" w:hAnsi="微软雅黑" w:eastAsia="微软雅黑" w:cs="微软雅黑"/>
                <w:color w:val="000000"/>
                <w:kern w:val="0"/>
                <w:sz w:val="20"/>
                <w:szCs w:val="20"/>
                <w:lang w:val="en-US" w:eastAsia="zh-CN"/>
              </w:rPr>
              <w:t>脱敏</w:t>
            </w:r>
          </w:p>
        </w:tc>
      </w:tr>
    </w:tbl>
    <w:p w14:paraId="3CBFDFC5">
      <w:pPr>
        <w:widowControl w:val="0"/>
        <w:numPr>
          <w:ilvl w:val="0"/>
          <w:numId w:val="0"/>
        </w:numPr>
        <w:jc w:val="both"/>
        <w:rPr>
          <w:rFonts w:hint="default"/>
          <w:lang w:val="en-US" w:eastAsia="zh-CN"/>
        </w:rPr>
      </w:pPr>
    </w:p>
    <w:p w14:paraId="482E51E3">
      <w:pPr>
        <w:widowControl w:val="0"/>
        <w:numPr>
          <w:ilvl w:val="0"/>
          <w:numId w:val="0"/>
        </w:numPr>
        <w:jc w:val="both"/>
        <w:rPr>
          <w:rFonts w:hint="default"/>
          <w:lang w:val="en-US" w:eastAsia="zh-CN"/>
        </w:rPr>
      </w:pPr>
    </w:p>
    <w:p w14:paraId="14EE2D51">
      <w:pPr>
        <w:widowControl w:val="0"/>
        <w:numPr>
          <w:ilvl w:val="0"/>
          <w:numId w:val="0"/>
        </w:numPr>
        <w:jc w:val="both"/>
        <w:rPr>
          <w:rFonts w:hint="default"/>
          <w:lang w:val="en-US" w:eastAsia="zh-CN"/>
        </w:rPr>
      </w:pPr>
    </w:p>
    <w:p w14:paraId="0E11CF11">
      <w:pPr>
        <w:widowControl w:val="0"/>
        <w:numPr>
          <w:ilvl w:val="0"/>
          <w:numId w:val="0"/>
        </w:numPr>
        <w:jc w:val="both"/>
        <w:rPr>
          <w:rFonts w:hint="default"/>
          <w:lang w:val="en-US" w:eastAsia="zh-CN"/>
        </w:rPr>
      </w:pPr>
    </w:p>
    <w:p w14:paraId="3D5A475C">
      <w:pPr>
        <w:rPr>
          <w:rFonts w:hint="eastAsia"/>
          <w:lang w:val="en-US" w:eastAsia="zh-CN"/>
        </w:rPr>
      </w:pPr>
      <w:r>
        <w:rPr>
          <w:rFonts w:hint="eastAsia"/>
          <w:lang w:val="en-US" w:eastAsia="zh-CN"/>
        </w:rPr>
        <w:t>在不同闸口，根据其触发位置不同</w:t>
      </w:r>
      <w:bookmarkStart w:id="0" w:name="_GoBack"/>
      <w:bookmarkEnd w:id="0"/>
      <w:r>
        <w:rPr>
          <w:rFonts w:hint="eastAsia"/>
          <w:lang w:val="en-US" w:eastAsia="zh-CN"/>
        </w:rPr>
        <w:t>处置方式有所不同</w:t>
      </w:r>
    </w:p>
    <w:p w14:paraId="1AF195FD">
      <w:pPr>
        <w:rPr>
          <w:rFonts w:hint="eastAsia"/>
          <w:lang w:val="en-US" w:eastAsia="zh-CN"/>
        </w:rPr>
      </w:pPr>
      <w:r>
        <w:rPr>
          <w:rFonts w:hint="eastAsia"/>
          <w:lang w:val="en-US" w:eastAsia="zh-CN"/>
        </w:rPr>
        <w:t>越往右越严格——public_release 是合规重灾区，几乎所有违规都需严格处置。</w:t>
      </w:r>
    </w:p>
    <w:p w14:paraId="4113C162">
      <w:pPr>
        <w:rPr>
          <w:rFonts w:hint="eastAsia"/>
          <w:lang w:val="en-US" w:eastAsia="zh-CN"/>
        </w:rPr>
      </w:pPr>
      <w:r>
        <w:rPr>
          <w:rFonts w:hint="eastAsia"/>
          <w:lang w:val="en-US" w:eastAsia="zh-CN"/>
        </w:rPr>
        <w:t>底线类违规(3、4、5)不分场景——硬编码凭证、涉黄涉毒、政治敏感任何场景下都拒答。</w:t>
      </w:r>
    </w:p>
    <w:p w14:paraId="2DEEA877">
      <w:pPr>
        <w:rPr>
          <w:rFonts w:hint="eastAsia"/>
          <w:lang w:val="en-US" w:eastAsia="zh-CN"/>
        </w:rPr>
      </w:pPr>
      <w:r>
        <w:rPr>
          <w:rFonts w:hint="eastAsia"/>
          <w:lang w:val="en-US" w:eastAsia="zh-CN"/>
        </w:rPr>
        <w:t>self_use 场景对内容类违规宽松——用户自查自己的数据，原则上放行。</w:t>
      </w:r>
    </w:p>
    <w:p w14:paraId="6F3AC587">
      <w:pPr>
        <w:rPr>
          <w:rFonts w:hint="eastAsia"/>
          <w:lang w:val="en-US" w:eastAsia="zh-CN"/>
        </w:rPr>
      </w:pPr>
      <w:r>
        <w:rPr>
          <w:rFonts w:hint="eastAsia"/>
          <w:lang w:val="en-US" w:eastAsia="zh-CN"/>
        </w:rPr>
        <w:t>第 10 类(城市治理专有)在 self_use 下为 N/A——普通用户无业务权限接触此类信息</w:t>
      </w:r>
    </w:p>
    <w:p w14:paraId="7D8111FB">
      <w:pPr>
        <w:rPr>
          <w:rFonts w:hint="eastAsia"/>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F48EF"/>
    <w:multiLevelType w:val="singleLevel"/>
    <w:tmpl w:val="9EEF48EF"/>
    <w:lvl w:ilvl="0" w:tentative="0">
      <w:start w:val="2"/>
      <w:numFmt w:val="decimal"/>
      <w:suff w:val="space"/>
      <w:lvlText w:val="%1."/>
      <w:lvlJc w:val="left"/>
    </w:lvl>
  </w:abstractNum>
  <w:abstractNum w:abstractNumId="1">
    <w:nsid w:val="DE6A7F2A"/>
    <w:multiLevelType w:val="singleLevel"/>
    <w:tmpl w:val="DE6A7F2A"/>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F13273"/>
    <w:rsid w:val="01875DDB"/>
    <w:rsid w:val="030B47EA"/>
    <w:rsid w:val="06B50CF4"/>
    <w:rsid w:val="10E5667A"/>
    <w:rsid w:val="14074B59"/>
    <w:rsid w:val="144D6A10"/>
    <w:rsid w:val="16F13273"/>
    <w:rsid w:val="17966920"/>
    <w:rsid w:val="1A6A7BF0"/>
    <w:rsid w:val="1A98650B"/>
    <w:rsid w:val="1BAD248A"/>
    <w:rsid w:val="1E114F52"/>
    <w:rsid w:val="263C68E5"/>
    <w:rsid w:val="26485289"/>
    <w:rsid w:val="2AC86999"/>
    <w:rsid w:val="2F3C7955"/>
    <w:rsid w:val="30782C0F"/>
    <w:rsid w:val="309C4B4F"/>
    <w:rsid w:val="32E4633A"/>
    <w:rsid w:val="3A227FEF"/>
    <w:rsid w:val="3A992100"/>
    <w:rsid w:val="3C090BBF"/>
    <w:rsid w:val="3E3768DA"/>
    <w:rsid w:val="446D1852"/>
    <w:rsid w:val="45575091"/>
    <w:rsid w:val="46A95479"/>
    <w:rsid w:val="470B7EE1"/>
    <w:rsid w:val="491C63D6"/>
    <w:rsid w:val="4C0D46FC"/>
    <w:rsid w:val="4DDF3E76"/>
    <w:rsid w:val="51BA2C30"/>
    <w:rsid w:val="527A5569"/>
    <w:rsid w:val="55EA33B8"/>
    <w:rsid w:val="56BF20BE"/>
    <w:rsid w:val="59EE16C8"/>
    <w:rsid w:val="5B136F0D"/>
    <w:rsid w:val="627806C9"/>
    <w:rsid w:val="63691DC0"/>
    <w:rsid w:val="6BA22313"/>
    <w:rsid w:val="73702CF6"/>
    <w:rsid w:val="74BD364F"/>
    <w:rsid w:val="76A35191"/>
    <w:rsid w:val="7B8C2698"/>
    <w:rsid w:val="7E2D1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 w:type="paragraph" w:styleId="11">
    <w:name w:val="List Paragraph"/>
    <w:qFormat/>
    <w:uiPriority w:val="0"/>
    <w:rPr>
      <w:rFonts w:ascii="微软雅黑" w:hAnsi="微软雅黑" w:eastAsia="微软雅黑" w:cs="微软雅黑"/>
      <w:sz w:val="22"/>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4233</Words>
  <Characters>4591</Characters>
  <Lines>0</Lines>
  <Paragraphs>0</Paragraphs>
  <TotalTime>1</TotalTime>
  <ScaleCrop>false</ScaleCrop>
  <LinksUpToDate>false</LinksUpToDate>
  <CharactersWithSpaces>4654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2026-05-18T08:13:00Z</dcterms:created>
  <dc:creator>黄潇</dc:creator>
  <cp:lastModifiedBy>黄潇</cp:lastModifiedBy>
  <dcterms:modified xsi:type="dcterms:W3CDTF">2026-05-18T10:19:42Z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F9473159080342488F6DAAC7876F5F06_11</vt:lpwstr>
  </property>
  <property fmtid="{D5CDD505-2E9C-101B-9397-08002B2CF9AE}" pid="4" name="KSOTemplateDocerSaveRecord">
    <vt:lpwstr>eyJoZGlkIjoiZWQzNDkyMWM2ODIxOWM5ODFkOWQxZWI0NzY0ZTM0NzMiLCJ1c2VySWQiOiIxNzQ2ODQzNDgxIn0=</vt:lpwstr>
  </property>
</Properties>
</file>