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585-1584266231349" w:id="1"/>
      <w:bookmarkEnd w:id="1"/>
      <w:r>
        <w:rPr/>
        <w:t>该模式定义一系列算法，并将每个算法封装起来，使他们可以相互替换，而且算法的变化不会影响使用算法的客户，把使用算法的责任和算法实现分割开来，并委派给不同的对象对这些算法进行管理</w:t>
      </w:r>
    </w:p>
    <w:p>
      <w:pPr/>
      <w:bookmarkStart w:name="4032-1584266498039" w:id="2"/>
      <w:bookmarkEnd w:id="2"/>
      <w:r>
        <w:drawing>
          <wp:inline distT="0" distR="0" distB="0" distL="0">
            <wp:extent cx="5267325" cy="30193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73-1584266498039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2020-03-20T13:32:44Z</dcterms:created>
  <dc:creator>Apache POI</dc:creator>
</cp:coreProperties>
</file>