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280-1584700530259" w:id="1"/>
      <w:bookmarkEnd w:id="1"/>
      <w:r>
        <w:rPr/>
        <w:t>函数式接口				参数类型				返回类型				用途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2320"/>
        <w:gridCol w:w="2320"/>
        <w:gridCol w:w="2320"/>
      </w:tblGrid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Comsumer&lt;T&gt;</w:t>
            </w:r>
          </w:p>
          <w:p>
            <w:pPr/>
            <w:r>
              <w:rPr/>
              <w:t>消费者接口，只吃不吐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T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void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对类型T的对象进行操作，包含方法 void accept（T t）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 xml:space="preserve">Supplier&lt;T&gt; </w:t>
            </w:r>
          </w:p>
          <w:p>
            <w:pPr/>
            <w:r>
              <w:rPr/>
              <w:t>提供者接口，不吃只吐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无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T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返回类型为T的方法，包含方法：T get()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Function&lt;T,R&gt;</w:t>
            </w:r>
          </w:p>
          <w:p>
            <w:pPr/>
            <w:r>
              <w:rPr/>
              <w:t>函数接口，又吃又吐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T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R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对象为T的对象应用操作，并返回结果，结果是R类型的的对象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Predicate&lt;T&gt;</w:t>
            </w:r>
          </w:p>
          <w:p>
            <w:pPr/>
            <w:r>
              <w:rPr/>
              <w:t>断定型接口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T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boolean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确定类型为T的对象是否满足某种约束条件，包含方法 boolean test(T t)</w:t>
            </w:r>
          </w:p>
        </w:tc>
      </w:tr>
    </w:tbl>
    <w:p>
      <w:pPr/>
      <w:bookmarkStart w:name="9370-1584700673419" w:id="2"/>
      <w:bookmarkEnd w:id="2"/>
      <w:r>
        <w:rPr/>
        <w:t xml:space="preserve">    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2320"/>
        <w:gridCol w:w="2320"/>
        <w:gridCol w:w="2320"/>
      </w:tblGrid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BiFuncition&lt;T,U,R&gt;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T,U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R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对类型T，U参数应用操作，返回R类型的结果，包括函数 R apply(Tt,Uu);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BiConsumer&lt;T,U&gt;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T,U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void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对类型为T，U的对象进行二元运算，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</w:tr>
    </w:tbl>
    <w:p>
      <w:pPr/>
      <w:bookmarkStart w:name="9446-1584709008852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2020-03-20T13:30:02Z</dcterms:created>
  <dc:creator>Apache POI</dc:creator>
</cp:coreProperties>
</file>