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E684D" w:rsidR="00852317" w:rsidRDefault="00852317" w14:paraId="7CAABA3A" w14:textId="77777777">
      <w:pPr>
        <w:spacing w:after="0" w:line="360" w:lineRule="auto"/>
        <w:jc w:val="center"/>
        <w:rPr>
          <w:rFonts w:hint="eastAsia"/>
          <w:color w:val="000000" w:themeColor="text1"/>
        </w:rPr>
      </w:pPr>
    </w:p>
    <w:p w:rsidRPr="009E684D" w:rsidR="00852317" w:rsidRDefault="00852317" w14:paraId="3CB73809" w14:textId="77777777">
      <w:pPr>
        <w:spacing w:after="0" w:line="360" w:lineRule="auto"/>
        <w:jc w:val="center"/>
        <w:rPr>
          <w:rFonts w:hint="eastAsia"/>
          <w:color w:val="000000" w:themeColor="text1"/>
        </w:rPr>
      </w:pPr>
    </w:p>
    <w:p w:rsidRPr="009E684D" w:rsidR="00852317" w:rsidRDefault="00852317" w14:paraId="5BED7993" w14:textId="77777777">
      <w:pPr>
        <w:spacing w:after="0" w:line="360" w:lineRule="auto"/>
        <w:jc w:val="center"/>
        <w:rPr>
          <w:rFonts w:hint="eastAsia"/>
          <w:color w:val="000000" w:themeColor="text1"/>
        </w:rPr>
      </w:pPr>
    </w:p>
    <w:p w:rsidRPr="009E684D" w:rsidR="00852317" w:rsidRDefault="00852317" w14:paraId="405DE11B" w14:textId="77777777">
      <w:pPr>
        <w:spacing w:after="0" w:line="360" w:lineRule="auto"/>
        <w:jc w:val="center"/>
        <w:rPr>
          <w:rFonts w:hint="eastAsia"/>
          <w:color w:val="000000" w:themeColor="text1"/>
        </w:rPr>
      </w:pPr>
    </w:p>
    <w:p w:rsidRPr="009E684D" w:rsidR="00852317" w:rsidRDefault="00000000" w14:paraId="6C91A771" w14:textId="77777777">
      <w:pPr>
        <w:spacing w:after="360" w:line="360" w:lineRule="auto"/>
        <w:jc w:val="center"/>
        <w:rPr>
          <w:rFonts w:hint="eastAsia"/>
          <w:color w:val="000000" w:themeColor="text1"/>
          <w:lang w:eastAsia="zh-CN"/>
        </w:rPr>
      </w:pPr>
      <w:r w:rsidRPr="009E684D">
        <w:rPr>
          <w:b/>
          <w:color w:val="000000" w:themeColor="text1"/>
          <w:sz w:val="44"/>
          <w:lang w:eastAsia="zh-CN"/>
        </w:rPr>
        <w:t>田间智能浅埋微灌节水灌溉管控系统</w:t>
      </w:r>
    </w:p>
    <w:p w:rsidRPr="009E684D" w:rsidR="00852317" w:rsidRDefault="00000000" w14:paraId="2AD183B4" w14:textId="77777777">
      <w:pPr>
        <w:spacing w:after="1200" w:line="360" w:lineRule="auto"/>
        <w:jc w:val="center"/>
        <w:rPr>
          <w:rFonts w:hint="eastAsia"/>
          <w:color w:val="000000" w:themeColor="text1"/>
          <w:lang w:eastAsia="zh-CN"/>
        </w:rPr>
      </w:pPr>
      <w:r w:rsidRPr="009E684D">
        <w:rPr>
          <w:b/>
          <w:color w:val="000000" w:themeColor="text1"/>
          <w:sz w:val="52"/>
          <w:lang w:eastAsia="zh-CN"/>
        </w:rPr>
        <w:t>操作手册</w:t>
      </w:r>
    </w:p>
    <w:p w:rsidRPr="009E684D" w:rsidR="00852317" w:rsidRDefault="00000000" w14:paraId="42B6485D" w14:textId="77777777">
      <w:pPr>
        <w:spacing w:after="160" w:line="360" w:lineRule="auto"/>
        <w:jc w:val="center"/>
        <w:rPr>
          <w:rFonts w:hint="eastAsia"/>
          <w:color w:val="000000" w:themeColor="text1"/>
          <w:lang w:eastAsia="zh-CN"/>
        </w:rPr>
      </w:pPr>
      <w:r w:rsidRPr="009E684D">
        <w:rPr>
          <w:color w:val="000000" w:themeColor="text1"/>
          <w:sz w:val="28"/>
          <w:lang w:eastAsia="zh-CN"/>
        </w:rPr>
        <w:t>版本号：V1.0</w:t>
      </w:r>
    </w:p>
    <w:p w:rsidRPr="009E684D" w:rsidR="00852317" w:rsidRDefault="00000000" w14:paraId="6602E58F" w14:textId="77777777">
      <w:pPr>
        <w:spacing w:after="0" w:line="360" w:lineRule="auto"/>
        <w:jc w:val="center"/>
        <w:rPr>
          <w:rFonts w:hint="eastAsia"/>
          <w:color w:val="000000" w:themeColor="text1"/>
          <w:lang w:eastAsia="zh-CN"/>
        </w:rPr>
      </w:pPr>
      <w:r w:rsidRPr="009E684D">
        <w:rPr>
          <w:color w:val="000000" w:themeColor="text1"/>
          <w:sz w:val="24"/>
          <w:lang w:eastAsia="zh-CN"/>
        </w:rPr>
        <w:t>2026年10月</w:t>
      </w:r>
    </w:p>
    <w:p w:rsidRPr="009E684D" w:rsidR="00852317" w:rsidRDefault="00000000" w14:paraId="182D8D9F" w14:textId="77777777">
      <w:pPr>
        <w:rPr>
          <w:rFonts w:hint="eastAsia"/>
          <w:color w:val="000000" w:themeColor="text1"/>
          <w:lang w:eastAsia="zh-CN"/>
        </w:rPr>
      </w:pPr>
      <w:r w:rsidRPr="009E684D">
        <w:rPr>
          <w:color w:val="000000" w:themeColor="text1"/>
          <w:lang w:eastAsia="zh-CN"/>
        </w:rPr>
        <w:br w:type="page"/>
      </w:r>
    </w:p>
    <w:p w:rsidRPr="009E684D" w:rsidR="00852317" w:rsidRDefault="00000000" w14:paraId="269ECB1B" w14:textId="77777777">
      <w:pPr>
        <w:pStyle w:val="1"/>
        <w:keepNext w:val="true"/>
        <w:keepLines w:val="true"/>
        <w:pageBreakBefore w:val="false"/>
        <w:widowControl w:val="true"/>
        <w:snapToGrid w:val="false"/>
        <w:spacing w:before="200" w:after="60" w:line="276" w:lineRule="auto"/>
        <w:rPr>
          <w:color w:val="000000" w:themeColor="text1"/>
          <w:lang w:eastAsia="zh-CN"/>
        </w:rPr>
      </w:pPr>
      <w:r w:rsidRPr="009E684D">
        <w:rPr>
          <w:color w:val="000000" w:themeColor="text1"/>
          <w:lang w:eastAsia="zh-CN"/>
        </w:rPr>
        <w:lastRenderedPageBreak/>
        <w:t>一、系统说明</w:t>
      </w:r>
    </w:p>
    <w:p w:rsidRPr="009E684D" w:rsidR="00852317" w:rsidRDefault="00000000" w14:paraId="34E28315"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田间智能浅埋微灌节水灌溉管控系统面向农场浅埋滴灌现场的日常管理。系统把田块与种植季、管网与轮灌分区、设备与墒情监测、灌溉策略与计划、运行控制、告警维护和用水统计放在同一套业务记录中，适合系统管理员、灌溉管理人员、灌溉操作人员和巡检维护人员按职责使用。</w:t>
      </w:r>
    </w:p>
    <w:p w:rsidRPr="009E684D" w:rsidR="00852317" w:rsidRDefault="00000000" w14:paraId="70CB7FE9"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日常使用时，先登录系统查看灌溉总览，再按田间资源、感知设备、灌溉作业、异常维护、统计分析、系统管理的顺序处理当天事务。系统在 Chrome 或 Edge 浏览器中运行，建议使用 1920×1080 及以上分辨率；现场设备、账号权限和运行参数由农场管理员在系统内配置。</w:t>
      </w:r>
      <w:proofErr w:type="gramStart"/>
      <w:proofErr w:type="gramEnd"/>
    </w:p>
    <w:p w:rsidRPr="009E684D" w:rsidR="00852317" w:rsidRDefault="00000000" w14:paraId="49F71231" w14:textId="77777777">
      <w:pPr>
        <w:pStyle w:val="1"/>
        <w:keepNext w:val="true"/>
        <w:keepLines w:val="true"/>
        <w:pageBreakBefore w:val="false"/>
        <w:widowControl w:val="true"/>
        <w:snapToGrid w:val="false"/>
        <w:spacing w:before="200" w:after="60" w:line="276" w:lineRule="auto"/>
        <w:rPr>
          <w:color w:val="000000" w:themeColor="text1"/>
          <w:lang w:eastAsia="zh-CN"/>
        </w:rPr>
      </w:pPr>
      <w:r w:rsidRPr="009E684D">
        <w:rPr>
          <w:color w:val="000000" w:themeColor="text1"/>
          <w:lang w:eastAsia="zh-CN"/>
        </w:rPr>
        <w:t>二、登录与导航</w:t>
      </w:r>
    </w:p>
    <w:p w:rsidRPr="009E684D" w:rsidR="00852317" w:rsidRDefault="00000000" w14:paraId="2681C814"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登录和公共导航是所有业务页面的入口。登录页只保留账号验证，进入系统后，顶栏和左侧菜单在各页面保持一致。</w:t>
      </w:r>
      <w:proofErr w:type="gramStart"/>
      <w:proofErr w:type="gramEnd"/>
    </w:p>
    <w:p w:rsidRPr="009E684D" w:rsidR="00852317" w:rsidRDefault="00000000" w14:paraId="5BE57EC8"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2.1 账号登录</w:t>
      </w:r>
    </w:p>
    <w:p w:rsidRPr="009E684D" w:rsidR="00852317" w:rsidRDefault="00000000" w14:paraId="0E3D9E7E" w14:textId="52E2564A">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在浏览器地址栏输入系统访问地址，进入账号登录页。页面中央是登录卡片，包含账号、密码和登录按钮；账号由系统管理员分配，连接正常时可以提交登录。登录成功后进入灌溉总览，账号停用或密码不正确时停留在登录页并给出提示。</w:t>
      </w:r>
      <w:proofErr w:type="gramStart"/>
      <w:proofErr w:type="gramEnd"/>
      <w:proofErr w:type="gramStart"/>
      <w:proofErr w:type="gramEnd"/>
    </w:p>
    <w:p w:rsidRPr="009E684D" w:rsidR="00852317" w:rsidRDefault="00000000" w14:paraId="6CF60776"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drawing>
          <wp:inline distT="0" distB="0" distL="0" distR="0" wp14:anchorId="5AFB7DB9" wp14:editId="7D1300D7">
            <wp:extent cx="4826000" cy="3217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账号登录.png"/>
                    <pic:cNvPicPr/>
                  </pic:nvPicPr>
                  <pic:blipFill>
                    <a:blip r:embed="rId8"/>
                    <a:stretch>
                      <a:fillRect/>
                    </a:stretch>
                  </pic:blipFill>
                  <pic:spPr>
                    <a:xfrm>
                      <a:off x="0" y="0"/>
                      <a:ext cx="4826000" cy="3217333"/>
                    </a:xfrm>
                    <a:prstGeom prst="rect">
                      <a:avLst/>
                    </a:prstGeom>
                  </pic:spPr>
                </pic:pic>
              </a:graphicData>
            </a:graphic>
          </wp:inline>
        </w:drawing>
      </w:r>
    </w:p>
    <w:p w:rsidRPr="009E684D" w:rsidR="00852317" w:rsidRDefault="00000000" w14:paraId="358922D8"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2-1 账号登录</w:t>
      </w:r>
    </w:p>
    <w:p w:rsidRPr="009E684D" w:rsidR="00852317" w:rsidRDefault="00000000" w14:paraId="1913C20B" w14:textId="77777777">
      <w:pPr>
        <w:pStyle w:val="1"/>
        <w:keepNext w:val="true"/>
        <w:keepLines w:val="true"/>
        <w:pageBreakBefore w:val="false"/>
        <w:widowControl w:val="true"/>
        <w:snapToGrid w:val="false"/>
        <w:spacing w:before="200" w:after="60" w:line="276" w:lineRule="auto"/>
        <w:rPr>
          <w:color w:val="000000" w:themeColor="text1"/>
          <w:lang w:eastAsia="zh-CN"/>
        </w:rPr>
      </w:pPr>
      <w:r w:rsidRPr="009E684D">
        <w:rPr>
          <w:color w:val="000000" w:themeColor="text1"/>
          <w:lang w:eastAsia="zh-CN"/>
        </w:rPr>
        <w:t xml:space="preserve">三、田间总览</w:t>
      </w:r>
      <w:proofErr w:type="gramStart"/>
      <w:proofErr w:type="gramEnd"/>
    </w:p>
    <w:p w:rsidRPr="009E684D" w:rsidR="00852317" w:rsidRDefault="00000000" w14:paraId="2607E708"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田间总览用于先看全场再决定处理顺序，页面把关键指标、田块态势、任务和告警放在同一屏。</w:t>
      </w:r>
      <w:proofErr w:type="gramStart"/>
      <w:proofErr w:type="gramEnd"/>
    </w:p>
    <w:p w:rsidRPr="009E684D" w:rsidR="00852317" w:rsidRDefault="00000000" w14:paraId="1836D8E1"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lastRenderedPageBreak/>
        <w:t xml:space="preserve">3.1 </w:t>
      </w:r>
      <w:r w:rsidRPr="009E684D">
        <w:rPr>
          <w:color w:val="000000" w:themeColor="text1"/>
          <w:lang w:eastAsia="zh-CN"/>
        </w:rPr>
        <w:t xml:space="preserve">灌溉总览</w:t>
      </w:r>
      <w:proofErr w:type="gramStart"/>
      <w:proofErr w:type="gramEnd"/>
    </w:p>
    <w:p w:rsidRPr="009E684D" w:rsidR="00852317" w:rsidRDefault="00000000" w14:paraId="0B2AE158" w14:textId="56F0896A">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登录后默认进入灌溉总览，也可以点击左侧田间总览下的灌溉总览。首行选择日期和农场，右侧刷新按钮重新取数；六张统计卡显示田块数量、灌溉面积、当前任务、今日已结算用水、待处理告警和设备在线率。中部田块态势图按田块名称和方位排列，右侧列出当前任务和待执行任务，底部汇总未处理告警。点击田块、任务或告警可以进入对应页面继续处理，无数据、数据过期和设备离线会分别标识。</w:t>
      </w:r>
      <w:proofErr w:type="gramStart"/>
      <w:proofErr w:type="gramEnd"/>
      <w:proofErr w:type="gramStart"/>
      <w:proofErr w:type="gramEnd"/>
      <w:proofErr w:type="gramStart"/>
      <w:proofErr w:type="gramEnd"/>
      <w:proofErr w:type="gramStart"/>
      <w:proofErr w:type="gramEnd"/>
    </w:p>
    <w:p w:rsidRPr="009E684D" w:rsidR="00852317" w:rsidRDefault="00000000" w14:paraId="0713A9E4"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drawing>
          <wp:inline distT="0" distB="0" distL="0" distR="0" wp14:anchorId="3D73548E" wp14:editId="0C7F93E5">
            <wp:extent cx="4508500" cy="3005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灌溉总览.png"/>
                    <pic:cNvPicPr/>
                  </pic:nvPicPr>
                  <pic:blipFill>
                    <a:blip r:embed="rId9"/>
                    <a:stretch>
                      <a:fillRect/>
                    </a:stretch>
                  </pic:blipFill>
                  <pic:spPr>
                    <a:xfrm>
                      <a:off x="0" y="0"/>
                      <a:ext cx="4508500" cy="3005667"/>
                    </a:xfrm>
                    <a:prstGeom prst="rect">
                      <a:avLst/>
                    </a:prstGeom>
                  </pic:spPr>
                </pic:pic>
              </a:graphicData>
            </a:graphic>
          </wp:inline>
        </w:drawing>
      </w:r>
    </w:p>
    <w:p w:rsidRPr="009E684D" w:rsidR="00852317" w:rsidRDefault="00000000" w14:paraId="186936CB"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 xml:space="preserve">图 3-1 灌溉总览</w:t>
      </w:r>
      <w:proofErr w:type="gramStart"/>
      <w:proofErr w:type="gramEnd"/>
    </w:p>
    <w:p w:rsidRPr="009E684D" w:rsidR="00852317" w:rsidRDefault="00000000" w14:paraId="1767CE9C" w14:textId="77777777">
      <w:pPr>
        <w:pStyle w:val="1"/>
        <w:keepNext w:val="true"/>
        <w:keepLines w:val="true"/>
        <w:pageBreakBefore w:val="false"/>
        <w:widowControl w:val="true"/>
        <w:snapToGrid w:val="false"/>
        <w:spacing w:before="200" w:after="60" w:line="276" w:lineRule="auto"/>
        <w:rPr>
          <w:color w:val="000000" w:themeColor="text1"/>
          <w:lang w:eastAsia="zh-CN"/>
        </w:rPr>
      </w:pPr>
      <w:r w:rsidRPr="009E684D">
        <w:rPr>
          <w:color w:val="000000" w:themeColor="text1"/>
          <w:lang w:eastAsia="zh-CN"/>
        </w:rPr>
        <w:t>四、田间资源</w:t>
      </w:r>
    </w:p>
    <w:p w:rsidRPr="009E684D" w:rsidR="00852317" w:rsidRDefault="00000000" w14:paraId="046DE761"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田间资源分组维护田块、种植季、管网和轮灌分区，是后续设备关联、策略配置和用水统计的基础。</w:t>
      </w:r>
    </w:p>
    <w:p w:rsidRPr="009E684D" w:rsidR="00852317" w:rsidRDefault="00000000" w14:paraId="07522A44"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4.1 田块与种植</w:t>
      </w:r>
    </w:p>
    <w:p w:rsidRPr="009E684D" w:rsidR="00852317" w:rsidRDefault="00000000" w14:paraId="762C24C1"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点击左侧田间资源下的田块与种植进入列表。首行可以按田块名称搜索、按状态筛选，点击查询刷新结果，新增田块用于建立新档案；面积汇总条显示当前筛选范围的田块数量和总面积，主区域以三列五行卡片展示田块名称、编号、面积、土壤、作物阶段和负责人。每张卡片提供查看和种植季入口，查看进入田块档案，种植季用于维护当前季的作物、种植日期和生育阶段。</w:t>
      </w:r>
      <w:proofErr w:type="gramStart"/>
      <w:proofErr w:type="gramEnd"/>
      <w:proofErr w:type="gramStart"/>
      <w:proofErr w:type="gramEnd"/>
      <w:proofErr w:type="gramStart"/>
      <w:proofErr w:type="gramEnd"/>
      <w:proofErr w:type="gramStart"/>
      <w:proofErr w:type="gramEnd"/>
    </w:p>
    <w:p w:rsidRPr="009E684D" w:rsidR="006215FC" w:rsidRDefault="006215FC" w14:paraId="233429C4" w14:textId="52AA9A71">
      <w:pPr>
        <w:keepNext w:val="true"/>
        <w:keepLines w:val="true"/>
        <w:pageBreakBefore w:val="false"/>
        <w:widowControl w:val="true"/>
        <w:snapToGrid w:val="false"/>
        <w:spacing w:before="0" w:after="40" w:line="20" w:lineRule="atLeast"/>
        <w:jc w:val="center"/>
        <w:rPr>
          <w:rFonts w:hint="eastAsia"/>
          <w:color w:val="000000" w:themeColor="text1"/>
          <w:lang w:eastAsia="zh-CN"/>
        </w:rPr>
      </w:pPr>
      <w:r>
        <w:rPr>
          <w:noProof/>
        </w:rPr>
        <w:lastRenderedPageBreak/>
        <w:drawing>
          <wp:inline distT="0" distB="0" distL="0" distR="0" wp14:anchorId="1A31118B" wp14:editId="10FDEAA1">
            <wp:extent cx="4508500" cy="3005493"/>
            <wp:effectExtent l="0" t="0" r="6985" b="0"/>
            <wp:docPr id="3105681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00" cy="3005493"/>
                    </a:xfrm>
                    <a:prstGeom prst="rect">
                      <a:avLst/>
                    </a:prstGeom>
                    <a:noFill/>
                    <a:ln>
                      <a:noFill/>
                    </a:ln>
                  </pic:spPr>
                </pic:pic>
              </a:graphicData>
            </a:graphic>
          </wp:inline>
        </w:drawing>
      </w:r>
    </w:p>
    <w:p w:rsidRPr="009E684D" w:rsidR="00852317" w:rsidRDefault="00000000" w14:paraId="69C6A124"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4-1 田块与种植</w:t>
      </w:r>
    </w:p>
    <w:p w:rsidRPr="009E684D" w:rsidR="00852317" w:rsidRDefault="00000000" w14:paraId="0420D685"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在田块卡片上点击查看进入田块档案。页面顶部是返回按钮和田块编号，上部按田块事实和种植季两块展示面积、土壤、负责人、作物和阶段，旁边的小卡列出关联分区，根区深度剖面显示已有测点的深度和含水率；下部是十五行灌溉记录，可以按时间核对这块田的灌溉情况。档案中的历史种植季和灌溉记录只读，返回列表时保留原来的查询条件和页码。</w:t>
      </w:r>
    </w:p>
    <w:p w:rsidRPr="009E684D" w:rsidR="00852317" w:rsidRDefault="00000000" w14:paraId="7AD26A21"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drawing>
          <wp:inline distT="0" distB="0" distL="0" distR="0" wp14:anchorId="3EFE4F48" wp14:editId="3D345B57">
            <wp:extent cx="4381500" cy="292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田块档案.png"/>
                    <pic:cNvPicPr/>
                  </pic:nvPicPr>
                  <pic:blipFill>
                    <a:blip r:embed="rId11"/>
                    <a:stretch>
                      <a:fillRect/>
                    </a:stretch>
                  </pic:blipFill>
                  <pic:spPr>
                    <a:xfrm>
                      <a:off x="0" y="0"/>
                      <a:ext cx="4381500" cy="2921000"/>
                    </a:xfrm>
                    <a:prstGeom prst="rect">
                      <a:avLst/>
                    </a:prstGeom>
                  </pic:spPr>
                </pic:pic>
              </a:graphicData>
            </a:graphic>
          </wp:inline>
        </w:drawing>
      </w:r>
    </w:p>
    <w:p w:rsidRPr="009E684D" w:rsidR="00852317" w:rsidRDefault="00000000" w14:paraId="753E6E91"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4-2 田块档案</w:t>
      </w:r>
    </w:p>
    <w:p w:rsidRPr="009E684D" w:rsidR="00852317" w:rsidRDefault="00000000" w14:paraId="7724B72B"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lastRenderedPageBreak/>
        <w:t>在田块档案中点击编辑进入田块资料编辑。表单按田块基本资料、位置面积、土壤与负责人分组，采用双列布局，下方位置示意图用于核对田块方位。名称、面积、经纬度、土壤类型和负责人按字段要求填写，保存后档案和列表同步显示新内容；取消或重置不会改变原档案，存在未保存修改时离开页面会提示是否放弃。</w:t>
      </w:r>
    </w:p>
    <w:p w:rsidRPr="009E684D" w:rsidR="00852317" w:rsidRDefault="00000000" w14:paraId="5693EE9F"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drawing>
          <wp:inline distT="0" distB="0" distL="0" distR="0" wp14:anchorId="1CA0FECF" wp14:editId="675C1BBF">
            <wp:extent cx="4381500" cy="292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田块资料编辑.png"/>
                    <pic:cNvPicPr/>
                  </pic:nvPicPr>
                  <pic:blipFill>
                    <a:blip r:embed="rId12"/>
                    <a:stretch>
                      <a:fillRect/>
                    </a:stretch>
                  </pic:blipFill>
                  <pic:spPr>
                    <a:xfrm>
                      <a:off x="0" y="0"/>
                      <a:ext cx="4381500" cy="2921000"/>
                    </a:xfrm>
                    <a:prstGeom prst="rect">
                      <a:avLst/>
                    </a:prstGeom>
                  </pic:spPr>
                </pic:pic>
              </a:graphicData>
            </a:graphic>
          </wp:inline>
        </w:drawing>
      </w:r>
    </w:p>
    <w:p w:rsidRPr="009E684D" w:rsidR="00852317" w:rsidRDefault="00000000" w14:paraId="0436294D"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4-3 田块资料编辑</w:t>
      </w:r>
    </w:p>
    <w:p w:rsidRPr="009E684D" w:rsidR="00852317" w:rsidRDefault="00000000" w14:paraId="2CDB12CA"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4.2 管网与轮灌分区</w:t>
      </w:r>
    </w:p>
    <w:p w:rsidRPr="009E684D" w:rsidR="00852317" w:rsidRDefault="00000000" w14:paraId="6B6CA27A"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点击左侧田间资源下的管网与轮灌分区进入页面。首行选择水源，右侧提供新增管段和新增分区；上部左侧是水源到主管、支管和分区的管网拓扑，点击节点后右侧显示选中分区的面积、设计流量、埋深、间距、供水能力、最多同时运行分区数和计量方式，下部是十五行分区表，分页总数为十六。新增管段或分区时要选择所属水源和上下游关系，管网连接不能形成环路，分区需要关联阀门和计量方式。</w:t>
      </w:r>
    </w:p>
    <w:p w:rsidRPr="009E684D" w:rsidR="00852317" w:rsidRDefault="00000000" w14:paraId="41A20D05"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53A15257" wp14:editId="6EE0B948">
            <wp:extent cx="4381500" cy="292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管网与轮灌分区.png"/>
                    <pic:cNvPicPr/>
                  </pic:nvPicPr>
                  <pic:blipFill>
                    <a:blip r:embed="rId13"/>
                    <a:stretch>
                      <a:fillRect/>
                    </a:stretch>
                  </pic:blipFill>
                  <pic:spPr>
                    <a:xfrm>
                      <a:off x="0" y="0"/>
                      <a:ext cx="4381500" cy="2921000"/>
                    </a:xfrm>
                    <a:prstGeom prst="rect">
                      <a:avLst/>
                    </a:prstGeom>
                  </pic:spPr>
                </pic:pic>
              </a:graphicData>
            </a:graphic>
          </wp:inline>
        </w:drawing>
      </w:r>
    </w:p>
    <w:p w:rsidRPr="009E684D" w:rsidR="00852317" w:rsidRDefault="00000000" w14:paraId="00DA4579"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4-4 管网与轮灌分区</w:t>
      </w:r>
    </w:p>
    <w:p w:rsidRPr="009E684D" w:rsidR="00852317" w:rsidRDefault="00000000" w14:paraId="50A7DF77" w14:textId="77777777">
      <w:pPr>
        <w:pStyle w:val="1"/>
        <w:keepNext w:val="true"/>
        <w:keepLines w:val="true"/>
        <w:pageBreakBefore w:val="false"/>
        <w:widowControl w:val="true"/>
        <w:snapToGrid w:val="false"/>
        <w:spacing w:before="200" w:after="60" w:line="276" w:lineRule="auto"/>
        <w:rPr>
          <w:color w:val="000000" w:themeColor="text1"/>
          <w:lang w:eastAsia="zh-CN"/>
        </w:rPr>
      </w:pPr>
      <w:r w:rsidRPr="009E684D">
        <w:rPr>
          <w:color w:val="000000" w:themeColor="text1"/>
          <w:lang w:eastAsia="zh-CN"/>
        </w:rPr>
        <w:t>五、感知设备</w:t>
      </w:r>
    </w:p>
    <w:p w:rsidRPr="009E684D" w:rsidR="00852317" w:rsidRDefault="00000000" w14:paraId="5334AE06"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感知设备分组用于登记现场设备并查看墒情数据，设备状态和读数时间直接影响策略判断和运行核对。</w:t>
      </w:r>
    </w:p>
    <w:p w:rsidRPr="009E684D" w:rsidR="00852317" w:rsidRDefault="00000000" w14:paraId="270500A9"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5.1 设备接入台账</w:t>
      </w:r>
      <w:proofErr w:type="gramStart"/>
      <w:proofErr w:type="gramEnd"/>
    </w:p>
    <w:p w:rsidRPr="009E684D" w:rsidR="00852317" w:rsidRDefault="00000000" w14:paraId="05F71D21"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点击左侧感知设备下的设备接入台账进入列表。首行可以按设备编号搜索，按设备类型和连接状态筛选，查询刷新设备清单，登记设备用于新增网关、水泵、阀门或墒情探头；三张状态卡汇总设备总数、在线和离线情况以及接入能力统计，主区域十五行设备表显示编号、名称、类型、安装位置、所属分区、连接状态、核验状态和最后心跳。点击查看进入设备运行档案，未核验设备不会显示为已核验。</w:t>
      </w:r>
      <w:proofErr w:type="gramStart"/>
      <w:proofErr w:type="gramEnd"/>
      <w:proofErr w:type="gramStart"/>
      <w:proofErr w:type="gramEnd"/>
    </w:p>
    <w:p w:rsidRPr="009E684D" w:rsidR="00852317" w:rsidRDefault="00000000" w14:paraId="74252445"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3E30EBA7" wp14:editId="75CD401A">
            <wp:extent cx="4381500" cy="292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设备接入台账.png"/>
                    <pic:cNvPicPr/>
                  </pic:nvPicPr>
                  <pic:blipFill>
                    <a:blip r:embed="rId14"/>
                    <a:stretch>
                      <a:fillRect/>
                    </a:stretch>
                  </pic:blipFill>
                  <pic:spPr>
                    <a:xfrm>
                      <a:off x="0" y="0"/>
                      <a:ext cx="4381500" cy="2921000"/>
                    </a:xfrm>
                    <a:prstGeom prst="rect">
                      <a:avLst/>
                    </a:prstGeom>
                  </pic:spPr>
                </pic:pic>
              </a:graphicData>
            </a:graphic>
          </wp:inline>
        </w:drawing>
      </w:r>
    </w:p>
    <w:p w:rsidRPr="009E684D" w:rsidR="00852317" w:rsidRDefault="00000000" w14:paraId="4FED6E7D"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 xml:space="preserve">图 5-1 设备接入台账</w:t>
      </w:r>
      <w:proofErr w:type="gramStart"/>
      <w:proofErr w:type="gramEnd"/>
    </w:p>
    <w:p w:rsidRPr="009E684D" w:rsidR="00852317" w:rsidRDefault="00000000" w14:paraId="62B4A253"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在设备接入台账点击查看进入设备运行档案。页面顶部是返回按钮、设备编号和核验接入按钮，上部展示设备名称、厂家、型号、安装位置、所属分区和通信状态，能力矩阵按读取、远程控制、动作反馈和本地调度列出设备具备的能力；下部有点位映射、校准记录和诊断三个标签页，默认显示点位映射的十五行记录。核验接入会检查设备配置和点位完整性，缺少点位地址、单位或量程时给出提示；原始读数不可修改，校准以追加记录保存。</w:t>
      </w:r>
      <w:proofErr w:type="gramStart"/>
      <w:proofErr w:type="gramEnd"/>
    </w:p>
    <w:p w:rsidRPr="009E684D" w:rsidR="00852317" w:rsidRDefault="00000000" w14:paraId="46C44017"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5E212EDD" wp14:editId="3A0FB338">
            <wp:extent cx="4381500" cy="292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设备运行档案.png"/>
                    <pic:cNvPicPr/>
                  </pic:nvPicPr>
                  <pic:blipFill>
                    <a:blip r:embed="rId15"/>
                    <a:stretch>
                      <a:fillRect/>
                    </a:stretch>
                  </pic:blipFill>
                  <pic:spPr>
                    <a:xfrm>
                      <a:off x="0" y="0"/>
                      <a:ext cx="4381500" cy="2921000"/>
                    </a:xfrm>
                    <a:prstGeom prst="rect">
                      <a:avLst/>
                    </a:prstGeom>
                  </pic:spPr>
                </pic:pic>
              </a:graphicData>
            </a:graphic>
          </wp:inline>
        </w:drawing>
      </w:r>
    </w:p>
    <w:p w:rsidRPr="009E684D" w:rsidR="00852317" w:rsidRDefault="00000000" w14:paraId="71DB8872"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5-2 设备运行档案</w:t>
      </w:r>
    </w:p>
    <w:p w:rsidRPr="009E684D" w:rsidR="00852317" w:rsidRDefault="00000000" w14:paraId="0E0E724E"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5.2 墒情与环境监测</w:t>
      </w:r>
    </w:p>
    <w:p w:rsidRPr="009E684D" w:rsidR="00852317" w:rsidRDefault="00000000" w14:paraId="5B43DB99"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点击左侧感知设备下的墒情与环境监测进入页面。首行选择分区、点位、深度和日期，点击查询后，小读数卡显示当前含水率和采样时间，绿色曲线展示根区含水率变化，下方十五行原始读数明细列出采样时间、读数和质量状态。曲线和明细使用同一组查询条件，点选曲线上的数据点可以在明细中定位对应记录；过期、无效或离线数据会单独标识，不能当作正常读数使用。</w:t>
      </w:r>
    </w:p>
    <w:p w:rsidRPr="009E684D" w:rsidR="00852317" w:rsidRDefault="00000000" w14:paraId="554C5E70"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075B4A82" wp14:editId="54460490">
            <wp:extent cx="4381500" cy="292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墒情与环境监测.png"/>
                    <pic:cNvPicPr/>
                  </pic:nvPicPr>
                  <pic:blipFill>
                    <a:blip r:embed="rId16"/>
                    <a:stretch>
                      <a:fillRect/>
                    </a:stretch>
                  </pic:blipFill>
                  <pic:spPr>
                    <a:xfrm>
                      <a:off x="0" y="0"/>
                      <a:ext cx="4381500" cy="2921000"/>
                    </a:xfrm>
                    <a:prstGeom prst="rect">
                      <a:avLst/>
                    </a:prstGeom>
                  </pic:spPr>
                </pic:pic>
              </a:graphicData>
            </a:graphic>
          </wp:inline>
        </w:drawing>
      </w:r>
    </w:p>
    <w:p w:rsidRPr="009E684D" w:rsidR="00852317" w:rsidRDefault="00000000" w14:paraId="6DCFD111"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5-3 墒情与环境监测</w:t>
      </w:r>
    </w:p>
    <w:p w:rsidRPr="009E684D" w:rsidR="00852317" w:rsidRDefault="00000000" w14:paraId="589465F8" w14:textId="77777777">
      <w:pPr>
        <w:pStyle w:val="1"/>
        <w:keepNext w:val="true"/>
        <w:keepLines w:val="true"/>
        <w:pageBreakBefore w:val="false"/>
        <w:widowControl w:val="true"/>
        <w:snapToGrid w:val="false"/>
        <w:spacing w:before="200" w:after="60" w:line="276" w:lineRule="auto"/>
        <w:rPr>
          <w:color w:val="000000" w:themeColor="text1"/>
          <w:lang w:eastAsia="zh-CN"/>
        </w:rPr>
      </w:pPr>
      <w:r w:rsidRPr="009E684D">
        <w:rPr>
          <w:color w:val="000000" w:themeColor="text1"/>
          <w:lang w:eastAsia="zh-CN"/>
        </w:rPr>
        <w:t>六、灌溉作业</w:t>
      </w:r>
    </w:p>
    <w:p w:rsidRPr="009E684D" w:rsidR="00852317" w:rsidRDefault="00000000" w14:paraId="5018D168"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灌溉作业分组串起策略、计划和运行三个阶段。策略确定什么时候灌和灌多少，计划安排分区顺序，运行阶段核对设备动作和实际水量。</w:t>
      </w:r>
    </w:p>
    <w:p w:rsidRPr="009E684D" w:rsidR="00852317" w:rsidRDefault="00000000" w14:paraId="6326555A"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6.1 灌溉策略</w:t>
      </w:r>
    </w:p>
    <w:p w:rsidRPr="009E684D" w:rsidR="00852317" w:rsidRDefault="00000000" w14:paraId="50A53DFA"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点击左侧灌溉作业下的灌溉策略进入列表。首行选择作物、生育阶段和状态，点击查询刷新策略，新增策略进入规则编辑；汇总条显示策略总数、启用和停用数量，十五行策略表列出策略编号、名称、触发方式、阈值、目标水量、状态和版本，行尾提供编辑和试算入口。试算会按所选分区和代表点位给出建议或拒绝原因，结果确认后才能转成灌溉计划。</w:t>
      </w:r>
      <w:proofErr w:type="gramStart"/>
      <w:proofErr w:type="gramEnd"/>
      <w:proofErr w:type="gramStart"/>
      <w:proofErr w:type="gramEnd"/>
    </w:p>
    <w:p w:rsidRPr="009E684D" w:rsidR="00852317" w:rsidRDefault="00000000" w14:paraId="6E478951"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1D29F004" wp14:editId="6CE98BE9">
            <wp:extent cx="4635500" cy="30903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灌溉策略.png"/>
                    <pic:cNvPicPr/>
                  </pic:nvPicPr>
                  <pic:blipFill>
                    <a:blip r:embed="rId17"/>
                    <a:stretch>
                      <a:fillRect/>
                    </a:stretch>
                  </pic:blipFill>
                  <pic:spPr>
                    <a:xfrm>
                      <a:off x="0" y="0"/>
                      <a:ext cx="4635500" cy="3090333"/>
                    </a:xfrm>
                    <a:prstGeom prst="rect">
                      <a:avLst/>
                    </a:prstGeom>
                  </pic:spPr>
                </pic:pic>
              </a:graphicData>
            </a:graphic>
          </wp:inline>
        </w:drawing>
      </w:r>
    </w:p>
    <w:p w:rsidRPr="009E684D" w:rsidR="00852317" w:rsidRDefault="00000000" w14:paraId="496BDF09"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6-1 灌溉策略</w:t>
      </w:r>
    </w:p>
    <w:p w:rsidRPr="009E684D" w:rsidR="00852317" w:rsidRDefault="00000000" w14:paraId="4A584ACA"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在灌溉策略页面点击新增策略或某行的编辑进入灌溉策略编辑。表单分左右两列，左侧选择适用作物、生育阶段和分区，右侧设置触发模式、墒情阈值、目标水量和最长时长，下一行填写允许开始和结束时间以及执行方式，底部提供保存、重置和取消。目标水量和最长时长必须大于零，允许开始时间要早于结束时间，墒情阈值只对墒情触发模式生效；保存后返回列表并生成新版本，取消不会改变原策略。</w:t>
      </w:r>
    </w:p>
    <w:p w:rsidRPr="009E684D" w:rsidR="00852317" w:rsidRDefault="00000000" w14:paraId="3839FE27"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56A96E44" wp14:editId="3CF81406">
            <wp:extent cx="4635500" cy="30903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灌溉策略编辑.png"/>
                    <pic:cNvPicPr/>
                  </pic:nvPicPr>
                  <pic:blipFill>
                    <a:blip r:embed="rId18"/>
                    <a:stretch>
                      <a:fillRect/>
                    </a:stretch>
                  </pic:blipFill>
                  <pic:spPr>
                    <a:xfrm>
                      <a:off x="0" y="0"/>
                      <a:ext cx="4635500" cy="3090333"/>
                    </a:xfrm>
                    <a:prstGeom prst="rect">
                      <a:avLst/>
                    </a:prstGeom>
                  </pic:spPr>
                </pic:pic>
              </a:graphicData>
            </a:graphic>
          </wp:inline>
        </w:drawing>
      </w:r>
    </w:p>
    <w:p w:rsidRPr="009E684D" w:rsidR="00852317" w:rsidRDefault="00000000" w14:paraId="23D7DEAF"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6-2 灌溉策略编辑</w:t>
      </w:r>
    </w:p>
    <w:p w:rsidRPr="009E684D" w:rsidR="00852317" w:rsidRDefault="00000000" w14:paraId="2B86A21D"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6.2 灌溉计划</w:t>
      </w:r>
    </w:p>
    <w:p w:rsidRPr="009E684D" w:rsidR="00852317" w:rsidRDefault="00000000" w14:paraId="6705F166"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点击左侧灌溉作业下的灌溉计划进入列表。首行设置日期范围、泵站和状态，点击查询刷新计划，新建计划进入轮灌计划编排；上部泵站轮灌时间轴按日期展示已运行、草稿和已发布的计划，草稿使用浅色虚线，不能当作已占用资源；下部十五行计划表列出计划编号、名称、泵站、目标分区、计划时间、状态和版本。点击计划可以查看详情，草稿计划可以继续编排。</w:t>
      </w:r>
      <w:proofErr w:type="gramStart"/>
      <w:proofErr w:type="gramEnd"/>
      <w:proofErr w:type="gramStart"/>
      <w:proofErr w:type="gramEnd"/>
    </w:p>
    <w:p w:rsidRPr="009E684D" w:rsidR="00852317" w:rsidRDefault="00000000" w14:paraId="6A0ABF1A"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1425048C" wp14:editId="6B2C2495">
            <wp:extent cx="4635500" cy="3090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灌溉计划.png"/>
                    <pic:cNvPicPr/>
                  </pic:nvPicPr>
                  <pic:blipFill>
                    <a:blip r:embed="rId19"/>
                    <a:stretch>
                      <a:fillRect/>
                    </a:stretch>
                  </pic:blipFill>
                  <pic:spPr>
                    <a:xfrm>
                      <a:off x="0" y="0"/>
                      <a:ext cx="4635500" cy="3090333"/>
                    </a:xfrm>
                    <a:prstGeom prst="rect">
                      <a:avLst/>
                    </a:prstGeom>
                  </pic:spPr>
                </pic:pic>
              </a:graphicData>
            </a:graphic>
          </wp:inline>
        </w:drawing>
      </w:r>
    </w:p>
    <w:p w:rsidRPr="009E684D" w:rsidR="00852317" w:rsidRDefault="00000000" w14:paraId="39523B9C"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6-3 灌溉计划</w:t>
      </w:r>
    </w:p>
    <w:p w:rsidRPr="009E684D" w:rsidR="00852317" w:rsidRDefault="00000000" w14:paraId="22C5B07B"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在灌溉计划页面点击新建计划或打开草稿计划进入轮灌计划编排。首行填写计划名称和计划时间，候选分区可以多选后点击添加，主区域十五行轮灌步骤按顺序列出分区、目标水量、计划开始时间和时长，支持调整顺序和数值；底部资源检查状态初始为待重新检查，修改步骤后检查结果会失效。点击检查资源会核对泵站、分区和时间占用，存在冲突时列出冲突对象，确认可用后才能保存；取消返回计划列表，不保留本次编排。</w:t>
      </w:r>
      <w:proofErr w:type="gramStart"/>
      <w:proofErr w:type="gramEnd"/>
    </w:p>
    <w:p w:rsidRPr="009E684D" w:rsidR="00852317" w:rsidRDefault="00000000" w14:paraId="15102C3D"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17844B09" wp14:editId="493F691E">
            <wp:extent cx="4635500" cy="30903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轮灌计划编排.png"/>
                    <pic:cNvPicPr/>
                  </pic:nvPicPr>
                  <pic:blipFill>
                    <a:blip r:embed="rId20"/>
                    <a:stretch>
                      <a:fillRect/>
                    </a:stretch>
                  </pic:blipFill>
                  <pic:spPr>
                    <a:xfrm>
                      <a:off x="0" y="0"/>
                      <a:ext cx="4635500" cy="3090333"/>
                    </a:xfrm>
                    <a:prstGeom prst="rect">
                      <a:avLst/>
                    </a:prstGeom>
                  </pic:spPr>
                </pic:pic>
              </a:graphicData>
            </a:graphic>
          </wp:inline>
        </w:drawing>
      </w:r>
    </w:p>
    <w:p w:rsidRPr="009E684D" w:rsidR="00852317" w:rsidRDefault="00000000" w14:paraId="287DD390"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6-4 轮灌计划编排</w:t>
      </w:r>
    </w:p>
    <w:p w:rsidRPr="009E684D" w:rsidR="00852317" w:rsidRDefault="00000000" w14:paraId="7E2A0603"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6.3 灌溉运行</w:t>
      </w:r>
    </w:p>
    <w:p w:rsidRPr="009E684D" w:rsidR="00852317" w:rsidRDefault="00000000" w14:paraId="2D35A4F7"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点击左侧灌溉作业下的灌溉运行进入页面。首行按泵站和运行状态筛选，顶部一张活动运行卡显示当前分区、流量和压力，旁边一张待执行卡显示运行编号和计划时间并提供启动按钮；下部十五行历史运行表按田块列出运行编号、计划、开始时间、结束时间、目标水量、结算水量和状态，当前截图中历史记录筛选为西泵南畦。活动运行和待执行任务都可以点击查看或启动，已完成运行只能查看。</w:t>
      </w:r>
      <w:proofErr w:type="gramStart"/>
      <w:proofErr w:type="gramEnd"/>
      <w:proofErr w:type="gramStart"/>
      <w:proofErr w:type="gramEnd"/>
      <w:proofErr w:type="gramStart"/>
      <w:proofErr w:type="gramEnd"/>
      <w:proofErr w:type="gramStart"/>
      <w:proofErr w:type="gramEnd"/>
    </w:p>
    <w:p w:rsidRPr="009E684D" w:rsidR="00852317" w:rsidRDefault="00000000" w14:paraId="7E066594"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20B07D5D" wp14:editId="2DC62DFB">
            <wp:extent cx="4572000" cy="30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灌溉运行.png"/>
                    <pic:cNvPicPr/>
                  </pic:nvPicPr>
                  <pic:blipFill>
                    <a:blip r:embed="rId21"/>
                    <a:stretch>
                      <a:fillRect/>
                    </a:stretch>
                  </pic:blipFill>
                  <pic:spPr>
                    <a:xfrm>
                      <a:off x="0" y="0"/>
                      <a:ext cx="4572000" cy="3048000"/>
                    </a:xfrm>
                    <a:prstGeom prst="rect">
                      <a:avLst/>
                    </a:prstGeom>
                  </pic:spPr>
                </pic:pic>
              </a:graphicData>
            </a:graphic>
          </wp:inline>
        </w:drawing>
      </w:r>
    </w:p>
    <w:p w:rsidRPr="009E684D" w:rsidR="00852317" w:rsidRDefault="00000000" w14:paraId="5673D467"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6-5 灌溉运行</w:t>
      </w:r>
    </w:p>
    <w:p w:rsidRPr="009E684D" w:rsidR="00852317" w:rsidRDefault="00000000" w14:paraId="34A85427"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在灌溉运行页面点击活动运行或历史运行的查看进入灌溉执行控制。顶部是返回按钮、运行编号、关联计划和状态，右侧暂停、恢复、停止按钮按运行状态启用；三张卡分别显示开始时间、结束时间和已结算水量，中部有轮灌步骤、指令记录和计量明细三个标签页。计量明细按分区列出计量开始、结束、水量和计量方式，指令记录展示受理、通信应答和动作确认三个阶段；已完成运行的暂停、恢复和停止按钮为灰色，指令受理也不等同于动作完成。</w:t>
      </w:r>
      <w:proofErr w:type="gramStart"/>
      <w:proofErr w:type="gramEnd"/>
    </w:p>
    <w:p w:rsidRPr="009E684D" w:rsidR="00852317" w:rsidRDefault="00000000" w14:paraId="38B122C0"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26DEBDD1" wp14:editId="4A24C747">
            <wp:extent cx="4572000" cy="30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灌溉执行控制.png"/>
                    <pic:cNvPicPr/>
                  </pic:nvPicPr>
                  <pic:blipFill>
                    <a:blip r:embed="rId22"/>
                    <a:stretch>
                      <a:fillRect/>
                    </a:stretch>
                  </pic:blipFill>
                  <pic:spPr>
                    <a:xfrm>
                      <a:off x="0" y="0"/>
                      <a:ext cx="4572000" cy="3048000"/>
                    </a:xfrm>
                    <a:prstGeom prst="rect">
                      <a:avLst/>
                    </a:prstGeom>
                  </pic:spPr>
                </pic:pic>
              </a:graphicData>
            </a:graphic>
          </wp:inline>
        </w:drawing>
      </w:r>
    </w:p>
    <w:p w:rsidRPr="009E684D" w:rsidR="00852317" w:rsidRDefault="00000000" w14:paraId="7E8EFDA2"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6-6 灌溉执行控制</w:t>
      </w:r>
    </w:p>
    <w:p w:rsidRPr="009E684D" w:rsidR="00852317" w:rsidRDefault="00000000" w14:paraId="4EA5208B" w14:textId="77777777">
      <w:pPr>
        <w:pStyle w:val="1"/>
        <w:keepNext w:val="true"/>
        <w:keepLines w:val="true"/>
        <w:pageBreakBefore w:val="false"/>
        <w:widowControl w:val="true"/>
        <w:snapToGrid w:val="false"/>
        <w:spacing w:before="220" w:after="140" w:line="360" w:lineRule="auto"/>
        <w:rPr>
          <w:color w:val="000000" w:themeColor="text1"/>
          <w:lang w:eastAsia="zh-CN"/>
        </w:rPr>
      </w:pPr>
      <w:r w:rsidRPr="009E684D">
        <w:rPr>
          <w:color w:val="000000" w:themeColor="text1"/>
          <w:lang w:eastAsia="zh-CN"/>
        </w:rPr>
        <w:t>七、异常维护</w:t>
      </w:r>
    </w:p>
    <w:p w:rsidRPr="009E684D" w:rsidR="00852317" w:rsidRDefault="00000000" w14:paraId="2FDE5588" w14:textId="77777777">
      <w:pPr>
        <w:keepNext w:val="false"/>
        <w:keepLines w:val="false"/>
        <w:pageBreakBefore w:val="false"/>
        <w:widowControl w:val="true"/>
        <w:snapToGrid w:val="false"/>
        <w:spacing w:before="40" w:after="240" w:line="360" w:lineRule="auto"/>
        <w:rPr>
          <w:rFonts w:hint="eastAsia"/>
          <w:color w:val="000000" w:themeColor="text1"/>
          <w:lang w:eastAsia="zh-CN"/>
        </w:rPr>
      </w:pPr>
      <w:proofErr w:type="gramStart"/>
      <w:r w:rsidRPr="009E684D">
        <w:rPr>
          <w:color w:val="000000" w:themeColor="text1"/>
          <w:lang w:eastAsia="zh-CN"/>
        </w:rPr>
        <w:t xml:space="preserve">异常维护分组处理运行过程中的设备、数据、压力、流量和工单问题，告警和工单可以相互关联。</w:t>
      </w:r>
      <w:proofErr w:type="gramEnd"/>
    </w:p>
    <w:p w:rsidRPr="009E684D" w:rsidR="00852317" w:rsidRDefault="00000000" w14:paraId="7F83FE7F" w14:textId="77777777">
      <w:pPr>
        <w:pStyle w:val="21"/>
        <w:keepNext w:val="true"/>
        <w:keepLines w:val="true"/>
        <w:pageBreakBefore w:val="false"/>
        <w:widowControl w:val="true"/>
        <w:snapToGrid w:val="false"/>
        <w:spacing w:before="180" w:after="140" w:line="360" w:lineRule="auto"/>
        <w:rPr>
          <w:color w:val="000000" w:themeColor="text1"/>
          <w:lang w:eastAsia="zh-CN"/>
        </w:rPr>
      </w:pPr>
      <w:r w:rsidRPr="009E684D">
        <w:rPr>
          <w:color w:val="000000" w:themeColor="text1"/>
          <w:lang w:eastAsia="zh-CN"/>
        </w:rPr>
        <w:t xml:space="preserve">7.1 运行告警</w:t>
      </w:r>
    </w:p>
    <w:p w:rsidRPr="009E684D" w:rsidR="00852317" w:rsidRDefault="00000000" w14:paraId="05C741E8" w14:textId="77777777">
      <w:pPr>
        <w:keepNext w:val="false"/>
        <w:keepLines w:val="false"/>
        <w:pageBreakBefore w:val="false"/>
        <w:widowControl w:val="true"/>
        <w:snapToGrid w:val="false"/>
        <w:spacing w:before="40" w:after="240" w:line="360" w:lineRule="auto"/>
        <w:rPr>
          <w:rFonts w:hint="eastAsia"/>
          <w:color w:val="000000" w:themeColor="text1"/>
          <w:lang w:eastAsia="zh-CN"/>
        </w:rPr>
      </w:pPr>
      <w:r w:rsidRPr="009E684D">
        <w:rPr>
          <w:color w:val="000000" w:themeColor="text1"/>
          <w:lang w:eastAsia="zh-CN"/>
        </w:rPr>
        <w:t xml:space="preserve">点击左侧异常维护下的运行告警进入列表。首行按严重度、处理态和恢复态筛选，默认显示全部；四张计数卡汇总严重、未处理、已派工和已恢复数量，十五行告警表列出告警编号、名称、设备、分区、发生时间、处理态和恢复态，首行河沿告警保持已派工、未恢复。选中告警后，页面底部显示关联工单、责任人和处理期限，可以办理知悉、派工或关闭；未恢复的告警不能直接关闭，处理人和处理时间会一并记录。</w:t>
      </w:r>
      <w:proofErr w:type="gramStart"/>
      <w:proofErr w:type="gramEnd"/>
      <w:proofErr w:type="gramStart"/>
      <w:proofErr w:type="gramEnd"/>
    </w:p>
    <w:p w:rsidRPr="009E684D" w:rsidR="00852317" w:rsidRDefault="00000000" w14:paraId="483806D2" w14:textId="77777777">
      <w:pPr>
        <w:keepNext w:val="true"/>
        <w:keepLines w:val="true"/>
        <w:pageBreakBefore w:val="false"/>
        <w:widowControl w:val="true"/>
        <w:snapToGrid w:val="false"/>
        <w:spacing w:before="80" w:after="80" w:line="20" w:lineRule="atLeast"/>
        <w:jc w:val="center"/>
        <w:rPr>
          <w:rFonts w:hint="eastAsia"/>
          <w:color w:val="000000" w:themeColor="text1"/>
        </w:rPr>
      </w:pPr>
      <w:r w:rsidRPr="009E684D">
        <w:rPr>
          <w:noProof/>
          <w:color w:val="000000" w:themeColor="text1"/>
        </w:rPr>
        <w:lastRenderedPageBreak/>
        <w:drawing>
          <wp:inline distT="0" distB="0" distL="0" distR="0" wp14:anchorId="7FFDCC26" wp14:editId="27B5D66D">
            <wp:extent cx="5397500" cy="35983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运行告警.png"/>
                    <pic:cNvPicPr/>
                  </pic:nvPicPr>
                  <pic:blipFill>
                    <a:blip r:embed="rId23"/>
                    <a:stretch>
                      <a:fillRect/>
                    </a:stretch>
                  </pic:blipFill>
                  <pic:spPr>
                    <a:xfrm>
                      <a:off x="0" y="0"/>
                      <a:ext cx="5397500" cy="3598333"/>
                    </a:xfrm>
                    <a:prstGeom prst="rect">
                      <a:avLst/>
                    </a:prstGeom>
                  </pic:spPr>
                </pic:pic>
              </a:graphicData>
            </a:graphic>
          </wp:inline>
        </w:drawing>
      </w:r>
    </w:p>
    <w:p w:rsidRPr="009E684D" w:rsidR="00852317" w:rsidRDefault="00000000" w14:paraId="286A8034" w14:textId="77777777">
      <w:pPr>
        <w:keepNext w:val="false"/>
        <w:keepLines w:val="true"/>
        <w:pageBreakBefore w:val="false"/>
        <w:widowControl w:val="true"/>
        <w:snapToGrid w:val="false"/>
        <w:spacing w:before="40" w:after="220" w:line="240" w:lineRule="auto"/>
        <w:jc w:val="center"/>
        <w:rPr>
          <w:rFonts w:hint="eastAsia"/>
          <w:color w:val="000000" w:themeColor="text1"/>
          <w:lang w:eastAsia="zh-CN"/>
        </w:rPr>
      </w:pPr>
      <w:r w:rsidRPr="009E684D">
        <w:rPr>
          <w:color w:val="000000" w:themeColor="text1"/>
          <w:lang w:eastAsia="zh-CN"/>
        </w:rPr>
        <w:t>图 7-1 运行告警</w:t>
      </w:r>
    </w:p>
    <w:p w:rsidRPr="009E684D" w:rsidR="00852317" w:rsidRDefault="00000000" w14:paraId="18C52389" w14:textId="77777777">
      <w:pPr>
        <w:pStyle w:val="21"/>
        <w:keepNext w:val="true"/>
        <w:keepLines w:val="true"/>
        <w:pageBreakBefore w:val="false"/>
        <w:widowControl w:val="true"/>
        <w:snapToGrid w:val="false"/>
        <w:spacing w:before="180" w:after="140" w:line="360" w:lineRule="auto"/>
        <w:rPr>
          <w:color w:val="000000" w:themeColor="text1"/>
          <w:lang w:eastAsia="zh-CN"/>
        </w:rPr>
      </w:pPr>
      <w:r w:rsidRPr="009E684D">
        <w:rPr>
          <w:color w:val="000000" w:themeColor="text1"/>
          <w:lang w:eastAsia="zh-CN"/>
        </w:rPr>
        <w:t xml:space="preserve">7.2 巡检与维护</w:t>
      </w:r>
    </w:p>
    <w:p w:rsidRPr="009E684D" w:rsidR="00852317" w:rsidRDefault="00000000" w14:paraId="5DF0EDAC" w14:textId="77777777">
      <w:pPr>
        <w:keepNext w:val="false"/>
        <w:keepLines w:val="false"/>
        <w:pageBreakBefore w:val="false"/>
        <w:widowControl w:val="true"/>
        <w:snapToGrid w:val="false"/>
        <w:spacing w:before="40" w:after="240" w:line="360" w:lineRule="auto"/>
        <w:rPr>
          <w:rFonts w:hint="eastAsia"/>
          <w:color w:val="000000" w:themeColor="text1"/>
          <w:lang w:eastAsia="zh-CN"/>
        </w:rPr>
      </w:pPr>
      <w:r w:rsidRPr="009E684D">
        <w:rPr>
          <w:color w:val="000000" w:themeColor="text1"/>
          <w:lang w:eastAsia="zh-CN"/>
        </w:rPr>
        <w:t xml:space="preserve">点击左侧异常维护下的巡检与维护进入工单看板。首行按责任人和类型筛选，查询刷新工单，新建工单用于登记巡检发现的问题；主区域按待接单、处理中、待验收、已完成四条泳道排列工单卡，当前分别有三、五、二、五张，处理中泳道同时包含处理中和已退回，退回卡带琥珀色标签。工单卡显示编号、分区、责任人、期限和状态，巡检人员可以接单并提交处理结果，管理员可以验收或退回；处理结果需要足够说明，退回要填写原因，未恢复的工单不能通过验收。</w:t>
      </w:r>
      <w:proofErr w:type="gramStart"/>
      <w:proofErr w:type="gramEnd"/>
      <w:proofErr w:type="gramStart"/>
      <w:proofErr w:type="gramEnd"/>
      <w:proofErr w:type="gramStart"/>
      <w:proofErr w:type="gramEnd"/>
    </w:p>
    <w:p w:rsidR="00852317" w:rsidRDefault="00852317" w14:paraId="7EDAD472" w14:textId="58927ADA">
      <w:pPr>
        <w:keepNext w:val="false"/>
        <w:keepLines w:val="false"/>
        <w:pageBreakBefore w:val="false"/>
        <w:widowControl w:val="true"/>
        <w:snapToGrid w:val="false"/>
        <w:spacing w:before="0" w:after="0" w:line="20" w:lineRule="exact"/>
        <w:jc w:val="center"/>
        <w:rPr>
          <w:color w:val="000000" w:themeColor="text1"/>
          <w:sz w:val="2"/>
          <w:lang w:eastAsia="zh-CN"/>
        </w:rPr>
      </w:pPr>
    </w:p>
    <w:p w:rsidRPr="009E684D" w:rsidR="00936A63" w:rsidRDefault="00936A63" w14:paraId="409310A9" w14:textId="5C9ACFD8">
      <w:pPr>
        <w:keepNext w:val="true"/>
        <w:keepLines w:val="true"/>
        <w:pageBreakBefore w:val="false"/>
        <w:widowControl w:val="true"/>
        <w:snapToGrid w:val="false"/>
        <w:spacing w:before="0" w:after="40" w:line="20" w:lineRule="atLeast"/>
        <w:jc w:val="center"/>
        <w:rPr>
          <w:rFonts w:hint="eastAsia"/>
          <w:color w:val="000000" w:themeColor="text1"/>
          <w:lang w:eastAsia="zh-CN"/>
        </w:rPr>
      </w:pPr>
      <w:r>
        <w:rPr>
          <w:noProof/>
        </w:rPr>
        <w:drawing>
          <wp:inline distT="0" distB="0" distL="0" distR="0" wp14:anchorId="71122548" wp14:editId="0B0BDCCB">
            <wp:extent cx="4381500" cy="2921337"/>
            <wp:effectExtent l="0" t="0" r="1270" b="6985"/>
            <wp:docPr id="1474237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1500" cy="2921337"/>
                    </a:xfrm>
                    <a:prstGeom prst="rect">
                      <a:avLst/>
                    </a:prstGeom>
                    <a:noFill/>
                    <a:ln>
                      <a:noFill/>
                    </a:ln>
                  </pic:spPr>
                </pic:pic>
              </a:graphicData>
            </a:graphic>
          </wp:inline>
        </w:drawing>
      </w:r>
    </w:p>
    <w:p w:rsidRPr="009E684D" w:rsidR="00852317" w:rsidRDefault="00000000" w14:paraId="2C150802"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7-2 巡检与维护</w:t>
      </w:r>
    </w:p>
    <w:p w:rsidRPr="009E684D" w:rsidR="00852317" w:rsidRDefault="00000000" w14:paraId="3DE11276" w14:textId="77777777">
      <w:pPr>
        <w:pStyle w:val="1"/>
        <w:keepNext w:val="true"/>
        <w:keepLines w:val="true"/>
        <w:pageBreakBefore w:val="false"/>
        <w:widowControl w:val="true"/>
        <w:snapToGrid w:val="false"/>
        <w:spacing w:before="200" w:after="60" w:line="276" w:lineRule="auto"/>
        <w:rPr>
          <w:color w:val="000000" w:themeColor="text1"/>
          <w:lang w:eastAsia="zh-CN"/>
        </w:rPr>
      </w:pPr>
      <w:r w:rsidRPr="009E684D">
        <w:rPr>
          <w:color w:val="000000" w:themeColor="text1"/>
          <w:lang w:eastAsia="zh-CN"/>
        </w:rPr>
        <w:t>八、统计分析</w:t>
      </w:r>
    </w:p>
    <w:p w:rsidRPr="009E684D" w:rsidR="00852317" w:rsidRDefault="00000000" w14:paraId="7E8E1B9F"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统计分析分组按种植季和日期区间核对用水账本，帮助管理人员区分实测、分摊和估算数据。</w:t>
      </w:r>
      <w:proofErr w:type="gramStart"/>
      <w:proofErr w:type="gramEnd"/>
    </w:p>
    <w:p w:rsidRPr="009E684D" w:rsidR="00852317" w:rsidRDefault="00000000" w14:paraId="2CC68C0A"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8.1 用水与节水分析</w:t>
      </w:r>
    </w:p>
    <w:p w:rsidRPr="009E684D" w:rsidR="00852317" w:rsidRDefault="00000000" w14:paraId="57F7170D"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点击左侧统计分析下的用水与节水分析进入页面。首行选择农场、种植季和日期区间，点击查询刷新数据，导出按当前筛选生成明细文件；四张指标卡显示区间总水量、实测水量、分摊水量和亩均用水，田块比较用水平条图展示十五块田的用水量，基准区单独注明可比窗口，下方十五行水量明细列出账本编号、田块、日期、水量、计量方式和状态，底部显示导出任务进度。基准不可比时不计算节水率，导出使用当前筛选和有效账本快照。</w:t>
      </w:r>
    </w:p>
    <w:p w:rsidRPr="009E684D" w:rsidR="00936A63" w:rsidRDefault="00936A63" w14:paraId="70FBA80D" w14:textId="4969ABB0">
      <w:pPr>
        <w:keepNext w:val="true"/>
        <w:keepLines w:val="true"/>
        <w:pageBreakBefore w:val="false"/>
        <w:widowControl w:val="true"/>
        <w:snapToGrid w:val="false"/>
        <w:spacing w:before="0" w:after="40" w:line="20" w:lineRule="atLeast"/>
        <w:jc w:val="center"/>
        <w:rPr>
          <w:rFonts w:hint="eastAsia"/>
          <w:color w:val="000000" w:themeColor="text1"/>
          <w:lang w:eastAsia="zh-CN"/>
        </w:rPr>
      </w:pPr>
      <w:r>
        <w:rPr>
          <w:noProof/>
        </w:rPr>
        <w:lastRenderedPageBreak/>
        <w:drawing>
          <wp:inline distT="0" distB="0" distL="0" distR="0" wp14:anchorId="6AC1DF41" wp14:editId="36BAF688">
            <wp:extent cx="4381500" cy="2921337"/>
            <wp:effectExtent l="0" t="0" r="0" b="2540"/>
            <wp:docPr id="12511025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1500" cy="2921337"/>
                    </a:xfrm>
                    <a:prstGeom prst="rect">
                      <a:avLst/>
                    </a:prstGeom>
                    <a:noFill/>
                    <a:ln>
                      <a:noFill/>
                    </a:ln>
                  </pic:spPr>
                </pic:pic>
              </a:graphicData>
            </a:graphic>
          </wp:inline>
        </w:drawing>
      </w:r>
    </w:p>
    <w:p w:rsidRPr="009E684D" w:rsidR="00852317" w:rsidRDefault="00000000" w14:paraId="4802EE45"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8-1 用水与节水分析</w:t>
      </w:r>
    </w:p>
    <w:p w:rsidRPr="009E684D" w:rsidR="00852317" w:rsidRDefault="00000000" w14:paraId="337B9CA4" w14:textId="77777777">
      <w:pPr>
        <w:pStyle w:val="1"/>
        <w:keepNext w:val="true"/>
        <w:keepLines w:val="true"/>
        <w:pageBreakBefore w:val="false"/>
        <w:widowControl w:val="true"/>
        <w:snapToGrid w:val="false"/>
        <w:spacing w:before="200" w:after="60" w:line="276" w:lineRule="auto"/>
        <w:rPr>
          <w:color w:val="000000" w:themeColor="text1"/>
          <w:lang w:eastAsia="zh-CN"/>
        </w:rPr>
      </w:pPr>
      <w:r w:rsidRPr="009E684D">
        <w:rPr>
          <w:color w:val="000000" w:themeColor="text1"/>
          <w:lang w:eastAsia="zh-CN"/>
        </w:rPr>
        <w:t>九、系统管理</w:t>
      </w:r>
    </w:p>
    <w:p w:rsidRPr="009E684D" w:rsidR="00852317" w:rsidRDefault="00000000" w14:paraId="283515AC"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系统管理分组面向管理员，维护账号权限和运行参数，并提供操作与指令审计。</w:t>
      </w:r>
    </w:p>
    <w:p w:rsidRPr="009E684D" w:rsidR="00852317" w:rsidRDefault="00000000" w14:paraId="178D3603"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9.1 账号与系统配置</w:t>
      </w:r>
    </w:p>
    <w:p w:rsidRPr="009E684D" w:rsidR="00852317" w:rsidRDefault="00000000" w14:paraId="1F5DD25B" w14:textId="608BB253">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 xml:space="preserve">点击左侧系统管理下的账号与系统配置进入页面。首行有用户权限和运行参数两个标签页，用户权限页提供新增账号。运行参数页展示数据过期阈值 120 秒、应答超时 12 秒、动作确认 48 秒和最长编排 30 天。编辑账号时可以调整角色、联系电话和授权田块，不能停用自己或最后一个管理员。</w:t>
      </w:r>
      <w:proofErr w:type="gramStart"/>
      <w:proofErr w:type="gramEnd"/>
      <w:proofErr w:type="gramStart"/>
      <w:proofErr w:type="gramEnd"/>
    </w:p>
    <w:p w:rsidRPr="009E684D" w:rsidR="00936A63" w:rsidRDefault="00936A63" w14:paraId="4D226823" w14:textId="496A649E">
      <w:pPr>
        <w:keepNext w:val="true"/>
        <w:keepLines w:val="true"/>
        <w:pageBreakBefore w:val="false"/>
        <w:widowControl w:val="true"/>
        <w:snapToGrid w:val="false"/>
        <w:spacing w:before="0" w:after="40" w:line="20" w:lineRule="atLeast"/>
        <w:jc w:val="center"/>
        <w:rPr>
          <w:rFonts w:hint="eastAsia"/>
          <w:color w:val="000000" w:themeColor="text1"/>
          <w:lang w:eastAsia="zh-CN"/>
        </w:rPr>
      </w:pPr>
      <w:r>
        <w:rPr>
          <w:noProof/>
        </w:rPr>
        <w:lastRenderedPageBreak/>
        <w:drawing>
          <wp:inline distT="0" distB="0" distL="0" distR="0" wp14:anchorId="0C447AFC" wp14:editId="50220E79">
            <wp:extent cx="4445000" cy="2963675"/>
            <wp:effectExtent l="0" t="0" r="635" b="0"/>
            <wp:docPr id="9302985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5000" cy="2963675"/>
                    </a:xfrm>
                    <a:prstGeom prst="rect">
                      <a:avLst/>
                    </a:prstGeom>
                    <a:noFill/>
                    <a:ln>
                      <a:noFill/>
                    </a:ln>
                  </pic:spPr>
                </pic:pic>
              </a:graphicData>
            </a:graphic>
          </wp:inline>
        </w:drawing>
      </w:r>
    </w:p>
    <w:p w:rsidRPr="009E684D" w:rsidR="00852317" w:rsidRDefault="00000000" w14:paraId="705E0B9A" w14:textId="77777777">
      <w:pPr>
        <w:keepNext w:val="false"/>
        <w:keepLines w:val="true"/>
        <w:pageBreakBefore w:val="false"/>
        <w:widowControl w:val="true"/>
        <w:snapToGrid w:val="false"/>
        <w:spacing w:before="0" w:after="100" w:line="240" w:lineRule="auto"/>
        <w:jc w:val="center"/>
        <w:rPr>
          <w:rFonts w:hint="eastAsia"/>
          <w:color w:val="000000" w:themeColor="text1"/>
          <w:lang w:eastAsia="zh-CN"/>
        </w:rPr>
      </w:pPr>
      <w:r w:rsidRPr="009E684D">
        <w:rPr>
          <w:color w:val="000000" w:themeColor="text1"/>
          <w:lang w:eastAsia="zh-CN"/>
        </w:rPr>
        <w:t>图 9-1 账号与系统配置</w:t>
      </w:r>
    </w:p>
    <w:p w:rsidRPr="009E684D" w:rsidR="00852317" w:rsidRDefault="00000000" w14:paraId="62EFFFD0" w14:textId="77777777">
      <w:pPr>
        <w:pStyle w:val="21"/>
        <w:keepNext w:val="true"/>
        <w:keepLines w:val="true"/>
        <w:pageBreakBefore w:val="false"/>
        <w:widowControl w:val="true"/>
        <w:snapToGrid w:val="false"/>
        <w:spacing w:before="140" w:after="60" w:line="276" w:lineRule="auto"/>
        <w:rPr>
          <w:color w:val="000000" w:themeColor="text1"/>
          <w:lang w:eastAsia="zh-CN"/>
        </w:rPr>
      </w:pPr>
      <w:r w:rsidRPr="009E684D">
        <w:rPr>
          <w:color w:val="000000" w:themeColor="text1"/>
          <w:lang w:eastAsia="zh-CN"/>
        </w:rPr>
        <w:t xml:space="preserve">9.2 操作与指令审计</w:t>
      </w:r>
    </w:p>
    <w:p w:rsidRPr="009E684D" w:rsidR="00852317" w:rsidRDefault="00000000" w14:paraId="2C35CBEB" w14:textId="77777777">
      <w:pPr>
        <w:keepNext w:val="false"/>
        <w:keepLines w:val="false"/>
        <w:pageBreakBefore w:val="false"/>
        <w:widowControl w:val="true"/>
        <w:snapToGrid w:val="false"/>
        <w:spacing w:before="0" w:after="80" w:line="276" w:lineRule="auto"/>
        <w:rPr>
          <w:rFonts w:hint="eastAsia"/>
          <w:color w:val="000000" w:themeColor="text1"/>
          <w:lang w:eastAsia="zh-CN"/>
        </w:rPr>
      </w:pPr>
      <w:r w:rsidRPr="009E684D">
        <w:rPr>
          <w:color w:val="000000" w:themeColor="text1"/>
          <w:lang w:eastAsia="zh-CN"/>
        </w:rPr>
        <w:t>点击左侧系统管理下的操作与指令审计进入页面。首行按操作人、对象和日期区间筛选，查询刷新只读审计表，十五行记录列出发生时间、操作人、动作、对象、对象编号、处理结果和关联指令；选中一条记录后，下方横向链路展示该事件的受理、通信应答和动作确认时间。审计表只读，受理和成功分开显示，缺少阶段时间时标记为待反馈，便于核对操作是否真正作用到设备。</w:t>
      </w:r>
    </w:p>
    <w:p w:rsidRPr="009E684D" w:rsidR="00852317" w:rsidRDefault="00000000" w14:paraId="26DCCBCB" w14:textId="77777777">
      <w:pPr>
        <w:keepNext w:val="true"/>
        <w:keepLines w:val="true"/>
        <w:pageBreakBefore w:val="false"/>
        <w:widowControl w:val="true"/>
        <w:snapToGrid w:val="false"/>
        <w:spacing w:before="0" w:after="40" w:line="20" w:lineRule="atLeast"/>
        <w:jc w:val="center"/>
        <w:rPr>
          <w:rFonts w:hint="eastAsia"/>
          <w:color w:val="000000" w:themeColor="text1"/>
        </w:rPr>
      </w:pPr>
      <w:r w:rsidRPr="009E684D">
        <w:rPr>
          <w:noProof/>
          <w:color w:val="000000" w:themeColor="text1"/>
        </w:rPr>
        <w:lastRenderedPageBreak/>
        <w:drawing>
          <wp:inline distT="0" distB="0" distL="0" distR="0" wp14:anchorId="3CF066BE" wp14:editId="6DA25386">
            <wp:extent cx="4445000" cy="29633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操作与指令审计.png"/>
                    <pic:cNvPicPr/>
                  </pic:nvPicPr>
                  <pic:blipFill>
                    <a:blip r:embed="rId27"/>
                    <a:stretch>
                      <a:fillRect/>
                    </a:stretch>
                  </pic:blipFill>
                  <pic:spPr>
                    <a:xfrm>
                      <a:off x="0" y="0"/>
                      <a:ext cx="4445000" cy="2963333"/>
                    </a:xfrm>
                    <a:prstGeom prst="rect">
                      <a:avLst/>
                    </a:prstGeom>
                  </pic:spPr>
                </pic:pic>
              </a:graphicData>
            </a:graphic>
          </wp:inline>
        </w:drawing>
      </w:r>
    </w:p>
    <w:p w:rsidRPr="009E684D" w:rsidR="00852317" w:rsidRDefault="00000000" w14:paraId="7F82E0EA" w14:textId="77777777">
      <w:pPr>
        <w:keepNext w:val="false"/>
        <w:keepLines w:val="true"/>
        <w:pageBreakBefore w:val="false"/>
        <w:widowControl w:val="true"/>
        <w:snapToGrid w:val="false"/>
        <w:spacing w:before="0" w:after="100" w:line="240" w:lineRule="auto"/>
        <w:jc w:val="center"/>
        <w:rPr>
          <w:rFonts w:hint="eastAsia"/>
          <w:color w:val="000000" w:themeColor="text1"/>
        </w:rPr>
      </w:pPr>
      <w:r w:rsidRPr="009E684D">
        <w:rPr>
          <w:color w:val="000000" w:themeColor="text1"/>
        </w:rPr>
        <w:t>图 9-2 操作与指令审计</w:t>
      </w:r>
    </w:p>
    <w:sectPr w:rsidRPr="009E684D" w:rsidR="00852317" w:rsidSect="00034616">
      <w:headerReference w:type="default" r:id="rId28"/>
      <w:footerReference w:type="default" r:id="rId29"/>
      <w:pgSz w:w="11906" w:h="16838"/>
      <w:pgMar w:top="1440" w:right="1440" w:bottom="1440" w:left="179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F2545" w:rsidRDefault="00DF2545" w14:paraId="75AB1360" w14:textId="77777777">
      <w:pPr>
        <w:spacing w:after="0" w:line="240" w:lineRule="auto"/>
        <w:rPr>
          <w:rFonts w:hint="eastAsia"/>
        </w:rPr>
      </w:pPr>
      <w:r>
        <w:separator/>
      </w:r>
    </w:p>
  </w:endnote>
  <w:endnote w:type="continuationSeparator" w:id="0">
    <w:p w:rsidR="00DF2545" w:rsidRDefault="00DF2545" w14:paraId="5F86F02F"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E2B1E" w14:textId="77777777" w:rsidR="00852317" w:rsidRDefault="00852317">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F2545" w:rsidRDefault="00DF2545" w14:paraId="7526E0BF" w14:textId="77777777">
      <w:pPr>
        <w:spacing w:after="0" w:line="240" w:lineRule="auto"/>
        <w:rPr>
          <w:rFonts w:hint="eastAsia"/>
        </w:rPr>
      </w:pPr>
      <w:r>
        <w:separator/>
      </w:r>
    </w:p>
  </w:footnote>
  <w:footnote w:type="continuationSeparator" w:id="0">
    <w:p w:rsidR="00DF2545" w:rsidRDefault="00DF2545" w14:paraId="721BDFB5"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05FD2" w14:textId="77777777" w:rsidR="00852317" w:rsidRDefault="00852317">
    <w:pPr>
      <w:pStyle w:val="a5"/>
      <w:rPr>
        <w:rFonts w:hint="eastAsia"/>
      </w:rPr>
    </w:pPr>
  </w:p>
  <w:tbl>
    <w:tblPr>
      <w:tblW w:w="0" w:type="auto"/>
      <w:tblLook w:val="04A0" w:firstRow="1" w:lastRow="0" w:firstColumn="1" w:lastColumn="0" w:noHBand="0" w:noVBand="1"/>
    </w:tblPr>
    <w:tblGrid>
      <w:gridCol w:w="4452"/>
      <w:gridCol w:w="4433"/>
    </w:tblGrid>
    <w:tr w:rsidR="00852317" w14:paraId="727BE16D" w14:textId="77777777">
      <w:tc>
        <w:tcPr>
          <w:tcW w:w="4961" w:type="dxa"/>
          <w:tcBorders>
            <w:top w:val="nil"/>
            <w:left w:val="nil"/>
            <w:bottom w:val="nil"/>
            <w:right w:val="nil"/>
          </w:tcBorders>
        </w:tcPr>
        <w:p w14:paraId="4D58C17F" w14:textId="77777777" w:rsidR="00852317" w:rsidRDefault="00000000">
          <w:pPr>
            <w:spacing w:after="0" w:line="240" w:lineRule="exact"/>
            <w:rPr>
              <w:rFonts w:hint="eastAsia"/>
              <w:lang w:eastAsia="zh-CN"/>
            </w:rPr>
          </w:pPr>
          <w:r>
            <w:rPr>
              <w:sz w:val="16"/>
              <w:lang w:eastAsia="zh-CN"/>
            </w:rPr>
            <w:t>田间智能浅埋微灌节水灌溉管控系统 V1.0</w:t>
          </w:r>
        </w:p>
      </w:tc>
      <w:tc>
        <w:tcPr>
          <w:tcW w:w="4961" w:type="dxa"/>
          <w:tcBorders>
            <w:top w:val="nil"/>
            <w:left w:val="nil"/>
            <w:bottom w:val="nil"/>
            <w:right w:val="nil"/>
          </w:tcBorders>
        </w:tcPr>
        <w:p w14:paraId="6104068B" w14:textId="77777777" w:rsidR="00852317" w:rsidRDefault="00000000">
          <w:pPr>
            <w:spacing w:after="0" w:line="240" w:lineRule="exact"/>
            <w:jc w:val="right"/>
            <w:rPr>
              <w:rFonts w:hint="eastAsia"/>
            </w:rPr>
          </w:pPr>
          <w:r>
            <w:rPr>
              <w:sz w:val="16"/>
            </w:rPr>
            <w:t xml:space="preserve">第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页</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color w:val="000000"/>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color w:val="000000"/>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color w:val="000000"/>
      </w:rPr>
    </w:lvl>
  </w:abstractNum>
  <w:num w:numId="1" w16cid:durableId="1241477234">
    <w:abstractNumId w:val="8"/>
  </w:num>
  <w:num w:numId="2" w16cid:durableId="477917168">
    <w:abstractNumId w:val="6"/>
  </w:num>
  <w:num w:numId="3" w16cid:durableId="384571068">
    <w:abstractNumId w:val="5"/>
  </w:num>
  <w:num w:numId="4" w16cid:durableId="509956255">
    <w:abstractNumId w:val="4"/>
  </w:num>
  <w:num w:numId="5" w16cid:durableId="1661957909">
    <w:abstractNumId w:val="7"/>
  </w:num>
  <w:num w:numId="6" w16cid:durableId="739981274">
    <w:abstractNumId w:val="3"/>
  </w:num>
  <w:num w:numId="7" w16cid:durableId="1990819647">
    <w:abstractNumId w:val="2"/>
  </w:num>
  <w:num w:numId="8" w16cid:durableId="251397948">
    <w:abstractNumId w:val="1"/>
  </w:num>
  <w:num w:numId="9" w16cid:durableId="198123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675"/>
    <w:rsid w:val="0015074B"/>
    <w:rsid w:val="00163B17"/>
    <w:rsid w:val="001C3BFD"/>
    <w:rsid w:val="002868AD"/>
    <w:rsid w:val="0029639D"/>
    <w:rsid w:val="00326F90"/>
    <w:rsid w:val="00582207"/>
    <w:rsid w:val="005D6B49"/>
    <w:rsid w:val="006215FC"/>
    <w:rsid w:val="00852317"/>
    <w:rsid w:val="00936A63"/>
    <w:rsid w:val="009E684D"/>
    <w:rsid w:val="00A02691"/>
    <w:rsid w:val="00A06B65"/>
    <w:rsid w:val="00A41B3C"/>
    <w:rsid w:val="00AA1D8D"/>
    <w:rsid w:val="00B47730"/>
    <w:rsid w:val="00CB0664"/>
    <w:rsid w:val="00DF25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0E3F0B"/>
  <w14:defaultImageDpi w14:val="300"/>
  <w15:docId w15:val="{75FE96BD-7EE1-4BDE-B24F-38E25026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color w:val="000000"/>
    </w:rPr>
  </w:style>
  <w:style w:type="character" w:styleId="af9">
    <w:name w:val="Emphasis"/>
    <w:basedOn w:val="a2"/>
    <w:uiPriority w:val="20"/>
    <w:qFormat/>
    <w:rsid w:val="00FC693F"/>
    <w:rPr>
      <w:i/>
      <w:iCs/>
      <w:color w:val="00000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tblPr>
      <w:tblStyleRowBandSize w:val="1"/>
      <w:tblStyleColBandSize w:val="1"/>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tblPr>
      <w:tblStyleRowBandSize w:val="1"/>
      <w:tblStyleColBandSize w:val="1"/>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tblPr>
      <w:tblStyleRowBandSize w:val="1"/>
      <w:tblStyleColBandSize w:val="1"/>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tblPr>
      <w:tblStyleRowBandSize w:val="1"/>
      <w:tblStyleColBandSize w:val="1"/>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tblPr>
      <w:tblStyleRowBandSize w:val="1"/>
      <w:tblStyleColBandSize w:val="1"/>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tblPr>
      <w:tblStyleRowBandSize w:val="1"/>
      <w:tblStyleColBandSize w:val="1"/>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20</Pages>
  <Words>2280</Words>
  <Characters>2326</Characters>
  <Application>Microsoft Office Word</Application>
  <DocSecurity>0</DocSecurity>
  <Lines>96</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wuwu wang</cp:lastModifiedBy>
  <cp:revision>14</cp:revision>
  <dcterms:created xsi:type="dcterms:W3CDTF">2013-12-23T23:15:00Z</dcterms:created>
  <dcterms:modified xsi:type="dcterms:W3CDTF">2026-10-27T11:41:00Z</dcterms:modified>
  <cp:category/>
</cp:coreProperties>
</file>